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6B399C3" w14:textId="0DACE804" w:rsidR="003B69F9" w:rsidRDefault="00C473AE" w:rsidP="003B69F9">
      <w:pPr>
        <w:sectPr w:rsidR="003B69F9" w:rsidSect="003B69F9">
          <w:headerReference w:type="default" r:id="rId8"/>
          <w:footerReference w:type="default" r:id="rId9"/>
          <w:headerReference w:type="first" r:id="rId10"/>
          <w:footerReference w:type="first" r:id="rId11"/>
          <w:type w:val="continuous"/>
          <w:pgSz w:w="11906" w:h="16838"/>
          <w:pgMar w:top="1134" w:right="1440" w:bottom="1134" w:left="1440" w:header="0" w:footer="539" w:gutter="0"/>
          <w:pgNumType w:start="0"/>
          <w:cols w:space="708"/>
          <w:titlePg/>
          <w:docGrid w:linePitch="360"/>
        </w:sectPr>
      </w:pPr>
      <w:bookmarkStart w:id="0" w:name="_Hlk163469935"/>
      <w:bookmarkStart w:id="1" w:name="_Toc150340162"/>
      <w:bookmarkStart w:id="2" w:name="_Toc118443209"/>
      <w:bookmarkEnd w:id="0"/>
      <w:r w:rsidRPr="00B11937">
        <w:rPr>
          <w:noProof/>
        </w:rPr>
        <w:drawing>
          <wp:anchor distT="0" distB="0" distL="114300" distR="114300" simplePos="0" relativeHeight="251658240" behindDoc="1" locked="0" layoutInCell="1" allowOverlap="0" wp14:anchorId="1A8E01DF" wp14:editId="00B5E57E">
            <wp:simplePos x="0" y="0"/>
            <wp:positionH relativeFrom="page">
              <wp:posOffset>0</wp:posOffset>
            </wp:positionH>
            <wp:positionV relativeFrom="page">
              <wp:posOffset>0</wp:posOffset>
            </wp:positionV>
            <wp:extent cx="7560000" cy="10692000"/>
            <wp:effectExtent l="0" t="0" r="3175" b="0"/>
            <wp:wrapNone/>
            <wp:docPr id="2088223988" name="Picture 2088223988" descr="Middle aged woman smiling and standing in classroom&#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223988" name="Picture 2088223988" descr="Middle aged woman smiling and standing in classroom&#10;">
                      <a:extLst>
                        <a:ext uri="{C183D7F6-B498-43B3-948B-1728B52AA6E4}">
                          <adec:decorative xmlns:adec="http://schemas.microsoft.com/office/drawing/2017/decorative" val="0"/>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sidR="003B69F9" w:rsidRPr="00997F6C">
        <w:rPr>
          <w:noProof/>
        </w:rPr>
        <w:drawing>
          <wp:inline distT="0" distB="0" distL="0" distR="0" wp14:anchorId="06867E26" wp14:editId="70A239BD">
            <wp:extent cx="3294580" cy="715784"/>
            <wp:effectExtent l="0" t="0" r="1270" b="8255"/>
            <wp:docPr id="1858956924" name="Picture 1858956924" descr="Australian Government Jobs and Skills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05474" name="Picture 1" descr="Australian Government Jobs and Skills Australia"/>
                    <pic:cNvPicPr/>
                  </pic:nvPicPr>
                  <pic:blipFill>
                    <a:blip r:embed="rId13"/>
                    <a:stretch>
                      <a:fillRect/>
                    </a:stretch>
                  </pic:blipFill>
                  <pic:spPr>
                    <a:xfrm>
                      <a:off x="0" y="0"/>
                      <a:ext cx="3524334" cy="765701"/>
                    </a:xfrm>
                    <a:prstGeom prst="rect">
                      <a:avLst/>
                    </a:prstGeom>
                  </pic:spPr>
                </pic:pic>
              </a:graphicData>
            </a:graphic>
          </wp:inline>
        </w:drawing>
      </w:r>
    </w:p>
    <w:p w14:paraId="531EA641" w14:textId="06E8024D" w:rsidR="003B69F9" w:rsidRPr="00B11937" w:rsidRDefault="003B69F9" w:rsidP="003B69F9">
      <w:r>
        <w:rPr>
          <w:noProof/>
        </w:rPr>
        <w:softHyphen/>
      </w:r>
      <w:r>
        <w:rPr>
          <w:noProof/>
        </w:rPr>
        <w:softHyphen/>
      </w:r>
    </w:p>
    <w:p w14:paraId="59DCF257" w14:textId="5BD3DADB" w:rsidR="003B69F9" w:rsidRPr="00DD0A32" w:rsidRDefault="003B69F9" w:rsidP="00C473AE">
      <w:pPr>
        <w:pStyle w:val="Title"/>
        <w:spacing w:before="2280" w:after="120"/>
        <w:rPr>
          <w:rFonts w:cs="Arial"/>
          <w:color w:val="FFFFFF"/>
          <w:spacing w:val="-2"/>
          <w:sz w:val="80"/>
          <w:szCs w:val="80"/>
        </w:rPr>
      </w:pPr>
      <w:r w:rsidRPr="00DD0A32">
        <w:rPr>
          <w:rFonts w:cs="Arial"/>
          <w:color w:val="FFFFFF"/>
          <w:spacing w:val="-2"/>
          <w:sz w:val="80"/>
          <w:szCs w:val="80"/>
        </w:rPr>
        <w:t>VET Workforce Study</w:t>
      </w:r>
    </w:p>
    <w:p w14:paraId="4406A4E8" w14:textId="09691464" w:rsidR="008F75E2" w:rsidRPr="005F28D3" w:rsidRDefault="00547CA4" w:rsidP="00294A9A">
      <w:pPr>
        <w:pStyle w:val="Dateoncover"/>
        <w:rPr>
          <w:spacing w:val="4"/>
        </w:rPr>
      </w:pPr>
      <w:r w:rsidRPr="005F28D3">
        <w:rPr>
          <w:color w:val="FFFFFF"/>
          <w:spacing w:val="4"/>
        </w:rPr>
        <w:t xml:space="preserve"> </w:t>
      </w:r>
      <w:r w:rsidR="00784976" w:rsidRPr="005F28D3">
        <w:rPr>
          <w:color w:val="FFFFFF"/>
          <w:spacing w:val="4"/>
        </w:rPr>
        <w:t>October</w:t>
      </w:r>
      <w:r w:rsidR="006D2AF0" w:rsidRPr="005F28D3">
        <w:rPr>
          <w:color w:val="FFFFFF"/>
          <w:spacing w:val="4"/>
        </w:rPr>
        <w:t xml:space="preserve"> </w:t>
      </w:r>
      <w:r w:rsidR="003B69F9" w:rsidRPr="005F28D3">
        <w:rPr>
          <w:color w:val="FFFFFF"/>
          <w:spacing w:val="4"/>
        </w:rPr>
        <w:t>2024</w:t>
      </w:r>
      <w:r w:rsidR="003B69F9" w:rsidRPr="005F28D3">
        <w:rPr>
          <w:color w:val="FFFFFF"/>
          <w:spacing w:val="4"/>
        </w:rPr>
        <w:softHyphen/>
      </w:r>
    </w:p>
    <w:p w14:paraId="50F0082F" w14:textId="62EA4D94" w:rsidR="005377F1" w:rsidRPr="007D3C1A" w:rsidRDefault="003B3580" w:rsidP="007D3C1A">
      <w:pPr>
        <w:pStyle w:val="Bodycopy"/>
        <w:rPr>
          <w:highlight w:val="yellow"/>
        </w:rPr>
      </w:pPr>
      <w:r>
        <w:rPr>
          <w:noProof/>
        </w:rPr>
        <w:lastRenderedPageBreak/>
        <w:drawing>
          <wp:anchor distT="0" distB="0" distL="114300" distR="114300" simplePos="0" relativeHeight="251658261" behindDoc="1" locked="1" layoutInCell="1" allowOverlap="0" wp14:anchorId="642DC835" wp14:editId="67C38043">
            <wp:simplePos x="0" y="0"/>
            <wp:positionH relativeFrom="page">
              <wp:posOffset>0</wp:posOffset>
            </wp:positionH>
            <wp:positionV relativeFrom="page">
              <wp:posOffset>635</wp:posOffset>
            </wp:positionV>
            <wp:extent cx="7581600" cy="10720800"/>
            <wp:effectExtent l="0" t="0" r="635" b="4445"/>
            <wp:wrapNone/>
            <wp:docPr id="936141427" name="Picture 1" descr="Birdseye view of sand and coas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141427" name="Picture 1" descr="Birdseye view of sand and coastline."/>
                    <pic:cNvPicPr/>
                  </pic:nvPicPr>
                  <pic:blipFill>
                    <a:blip r:embed="rId14">
                      <a:extLst>
                        <a:ext uri="{28A0092B-C50C-407E-A947-70E740481C1C}">
                          <a14:useLocalDpi xmlns:a14="http://schemas.microsoft.com/office/drawing/2010/main" val="0"/>
                        </a:ext>
                      </a:extLst>
                    </a:blip>
                    <a:stretch>
                      <a:fillRect/>
                    </a:stretch>
                  </pic:blipFill>
                  <pic:spPr>
                    <a:xfrm>
                      <a:off x="0" y="0"/>
                      <a:ext cx="7581600" cy="10720800"/>
                    </a:xfrm>
                    <a:prstGeom prst="rect">
                      <a:avLst/>
                    </a:prstGeom>
                  </pic:spPr>
                </pic:pic>
              </a:graphicData>
            </a:graphic>
            <wp14:sizeRelH relativeFrom="page">
              <wp14:pctWidth>0</wp14:pctWidth>
            </wp14:sizeRelH>
            <wp14:sizeRelV relativeFrom="page">
              <wp14:pctHeight>0</wp14:pctHeight>
            </wp14:sizeRelV>
          </wp:anchor>
        </w:drawing>
      </w:r>
    </w:p>
    <w:p w14:paraId="1C4224EA" w14:textId="14FE133E" w:rsidR="005377F1" w:rsidRDefault="003B3580">
      <w:r>
        <w:rPr>
          <w:noProof/>
        </w:rPr>
        <mc:AlternateContent>
          <mc:Choice Requires="wps">
            <w:drawing>
              <wp:anchor distT="45720" distB="45720" distL="114300" distR="114300" simplePos="0" relativeHeight="251658262" behindDoc="0" locked="0" layoutInCell="1" allowOverlap="1" wp14:anchorId="204D1F5B" wp14:editId="63BE12DC">
                <wp:simplePos x="0" y="0"/>
                <wp:positionH relativeFrom="page">
                  <wp:align>left</wp:align>
                </wp:positionH>
                <wp:positionV relativeFrom="page">
                  <wp:posOffset>7378065</wp:posOffset>
                </wp:positionV>
                <wp:extent cx="6645275" cy="1800860"/>
                <wp:effectExtent l="0" t="0" r="22225" b="27940"/>
                <wp:wrapSquare wrapText="bothSides"/>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1800860"/>
                        </a:xfrm>
                        <a:prstGeom prst="rect">
                          <a:avLst/>
                        </a:prstGeom>
                        <a:solidFill>
                          <a:srgbClr val="FFFFFF"/>
                        </a:solidFill>
                        <a:ln w="9525">
                          <a:solidFill>
                            <a:schemeClr val="bg1"/>
                          </a:solidFill>
                          <a:miter lim="800000"/>
                          <a:headEnd/>
                          <a:tailEnd/>
                        </a:ln>
                      </wps:spPr>
                      <wps:txbx>
                        <w:txbxContent>
                          <w:p w14:paraId="7EB52522" w14:textId="6EF1081D" w:rsidR="003B3580" w:rsidRPr="00C473AE" w:rsidRDefault="003B3580" w:rsidP="00B10E3D">
                            <w:pPr>
                              <w:pStyle w:val="Heading2"/>
                              <w:spacing w:before="480" w:after="240"/>
                              <w:ind w:firstLine="1276"/>
                              <w:rPr>
                                <w:color w:val="441170" w:themeColor="text2"/>
                              </w:rPr>
                            </w:pPr>
                            <w:bookmarkStart w:id="3" w:name="_Toc168999090"/>
                            <w:bookmarkStart w:id="4" w:name="_Toc169792722"/>
                            <w:bookmarkStart w:id="5" w:name="_Toc169801638"/>
                            <w:bookmarkStart w:id="6" w:name="_Toc170814323"/>
                            <w:bookmarkStart w:id="7" w:name="_Toc170815458"/>
                            <w:bookmarkStart w:id="8" w:name="_Toc170816559"/>
                            <w:bookmarkStart w:id="9" w:name="_Toc174096349"/>
                            <w:bookmarkStart w:id="10" w:name="_Toc176770971"/>
                            <w:r w:rsidRPr="00C473AE">
                              <w:rPr>
                                <w:color w:val="441170" w:themeColor="text2"/>
                              </w:rPr>
                              <w:t>Acknowledgement of Country</w:t>
                            </w:r>
                            <w:bookmarkEnd w:id="3"/>
                            <w:bookmarkEnd w:id="4"/>
                            <w:bookmarkEnd w:id="5"/>
                            <w:bookmarkEnd w:id="6"/>
                            <w:bookmarkEnd w:id="7"/>
                            <w:bookmarkEnd w:id="8"/>
                            <w:bookmarkEnd w:id="9"/>
                            <w:bookmarkEnd w:id="10"/>
                          </w:p>
                          <w:p w14:paraId="7D954FBC" w14:textId="76CADD8C" w:rsidR="003B3580" w:rsidRDefault="003B3580" w:rsidP="00B10E3D">
                            <w:pPr>
                              <w:pStyle w:val="Bodycopy"/>
                              <w:spacing w:before="120"/>
                              <w:ind w:left="1276" w:right="227"/>
                            </w:pPr>
                            <w:r w:rsidRPr="003B3580">
                              <w:t>Jobs and Skills Australia acknowledges the Traditional Owners of Country throughout Australia and recognises the continuing connection to lands, waters and communities. We pay our respect to Aboriginal and Torres Strait Islander cultures, and to Elders past and present.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04D1F5B" id="_x0000_t202" coordsize="21600,21600" o:spt="202" path="m,l,21600r21600,l21600,xe">
                <v:stroke joinstyle="miter"/>
                <v:path gradientshapeok="t" o:connecttype="rect"/>
              </v:shapetype>
              <v:shape id="Text Box 2" o:spid="_x0000_s1026" type="#_x0000_t202" alt="&quot;&quot;" style="position:absolute;margin-left:0;margin-top:580.95pt;width:523.25pt;height:141.8pt;z-index:251658262;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" strokecolor="white [3212]">
                <v:textbox>
                  <w:txbxContent>
                    <w:p w14:paraId="7EB52522" w14:textId="6EF1081D" w:rsidR="003B3580" w:rsidRPr="00C473AE" w:rsidRDefault="003B3580" w:rsidP="00B10E3D">
                      <w:pPr>
                        <w:pStyle w:val="Heading2"/>
                        <w:spacing w:before="480" w:after="240"/>
                        <w:ind w:firstLine="1276"/>
                        <w:rPr>
                          <w:color w:val="441170" w:themeColor="text2"/>
                        </w:rPr>
                      </w:pPr>
                      <w:bookmarkStart w:id="11" w:name="_Toc168999090"/>
                      <w:bookmarkStart w:id="12" w:name="_Toc169792722"/>
                      <w:bookmarkStart w:id="13" w:name="_Toc169801638"/>
                      <w:bookmarkStart w:id="14" w:name="_Toc170814323"/>
                      <w:bookmarkStart w:id="15" w:name="_Toc170815458"/>
                      <w:bookmarkStart w:id="16" w:name="_Toc170816559"/>
                      <w:bookmarkStart w:id="17" w:name="_Toc174096349"/>
                      <w:bookmarkStart w:id="18" w:name="_Toc176770971"/>
                      <w:r w:rsidRPr="00C473AE">
                        <w:rPr>
                          <w:color w:val="441170" w:themeColor="text2"/>
                        </w:rPr>
                        <w:t>Acknowledgement of Country</w:t>
                      </w:r>
                      <w:bookmarkEnd w:id="11"/>
                      <w:bookmarkEnd w:id="12"/>
                      <w:bookmarkEnd w:id="13"/>
                      <w:bookmarkEnd w:id="14"/>
                      <w:bookmarkEnd w:id="15"/>
                      <w:bookmarkEnd w:id="16"/>
                      <w:bookmarkEnd w:id="17"/>
                      <w:bookmarkEnd w:id="18"/>
                    </w:p>
                    <w:p w14:paraId="7D954FBC" w14:textId="76CADD8C" w:rsidR="003B3580" w:rsidRDefault="003B3580" w:rsidP="00B10E3D">
                      <w:pPr>
                        <w:pStyle w:val="Bodycopy"/>
                        <w:spacing w:before="120"/>
                        <w:ind w:left="1276" w:right="227"/>
                      </w:pPr>
                      <w:r w:rsidRPr="003B3580">
                        <w:t>Jobs and Skills Australia acknowledges the Traditional Owners of Country throughout Australia and recognises the continuing connection to lands, waters and communities. We pay our respect to Aboriginal and Torres Strait Islander cultures, and to Elders past and present.</w:t>
                      </w:r>
                    </w:p>
                  </w:txbxContent>
                </v:textbox>
                <w10:wrap type="square" anchorx="page" anchory="page"/>
              </v:shape>
            </w:pict>
          </mc:Fallback>
        </mc:AlternateContent>
      </w:r>
      <w:r w:rsidR="005377F1">
        <w:br w:type="page"/>
      </w:r>
    </w:p>
    <w:p w14:paraId="4F07DA54" w14:textId="77777777" w:rsidR="0037116A" w:rsidRDefault="0037116A" w:rsidP="00C7035C">
      <w:pPr>
        <w:spacing w:before="460"/>
      </w:pPr>
    </w:p>
    <w:bookmarkStart w:id="19" w:name="_Toc364534595" w:displacedByCustomXml="next"/>
    <w:bookmarkStart w:id="20" w:name="_Toc1605184238" w:displacedByCustomXml="next"/>
    <w:bookmarkStart w:id="21" w:name="_Toc143766455" w:displacedByCustomXml="next"/>
    <w:bookmarkStart w:id="22" w:name="_Toc354319971" w:displacedByCustomXml="next"/>
    <w:bookmarkStart w:id="23" w:name="_Toc1938763741" w:displacedByCustomXml="next"/>
    <w:bookmarkStart w:id="24" w:name="_Toc118443202" w:displacedByCustomXml="next"/>
    <w:sdt>
      <w:sdtPr>
        <w:rPr>
          <w:rFonts w:eastAsiaTheme="minorHAnsi" w:cstheme="minorBidi"/>
          <w:color w:val="441170" w:themeColor="text2"/>
          <w:sz w:val="22"/>
          <w:szCs w:val="22"/>
          <w:lang w:val="en-AU"/>
        </w:rPr>
        <w:id w:val="1514625401"/>
        <w:docPartObj>
          <w:docPartGallery w:val="Table of Contents"/>
          <w:docPartUnique/>
        </w:docPartObj>
      </w:sdtPr>
      <w:sdtEndPr/>
      <w:sdtContent>
        <w:p w14:paraId="0CFF29B7" w14:textId="77777777" w:rsidR="008A26D7" w:rsidRDefault="00AE3E27" w:rsidP="006D446F">
          <w:pPr>
            <w:pStyle w:val="TOCHeading"/>
            <w:rPr>
              <w:noProof/>
            </w:rPr>
          </w:pPr>
          <w:r>
            <w:t>Contents</w:t>
          </w:r>
          <w:r w:rsidR="00E12A8F">
            <w:fldChar w:fldCharType="begin"/>
          </w:r>
          <w:r w:rsidR="001B3506">
            <w:instrText>TOC \o "1-2" \z \u \h</w:instrText>
          </w:r>
          <w:r w:rsidR="00E12A8F">
            <w:fldChar w:fldCharType="separate"/>
          </w:r>
        </w:p>
        <w:p w14:paraId="33F00C13" w14:textId="22971EA6"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71" w:history="1">
            <w:r w:rsidR="008A26D7" w:rsidRPr="006A5852">
              <w:rPr>
                <w:rStyle w:val="Hyperlink"/>
              </w:rPr>
              <w:t>Acknowledgement of Country</w:t>
            </w:r>
            <w:r w:rsidR="008A26D7">
              <w:rPr>
                <w:webHidden/>
              </w:rPr>
              <w:tab/>
            </w:r>
            <w:r w:rsidR="008A26D7">
              <w:rPr>
                <w:webHidden/>
              </w:rPr>
              <w:fldChar w:fldCharType="begin"/>
            </w:r>
            <w:r w:rsidR="008A26D7">
              <w:rPr>
                <w:webHidden/>
              </w:rPr>
              <w:instrText xml:space="preserve"> PAGEREF _Toc176770971 \h </w:instrText>
            </w:r>
            <w:r w:rsidR="008A26D7">
              <w:rPr>
                <w:webHidden/>
              </w:rPr>
            </w:r>
            <w:r w:rsidR="008A26D7">
              <w:rPr>
                <w:webHidden/>
              </w:rPr>
              <w:fldChar w:fldCharType="separate"/>
            </w:r>
            <w:r w:rsidR="008A26D7">
              <w:rPr>
                <w:webHidden/>
              </w:rPr>
              <w:t>1</w:t>
            </w:r>
            <w:r w:rsidR="008A26D7">
              <w:rPr>
                <w:webHidden/>
              </w:rPr>
              <w:fldChar w:fldCharType="end"/>
            </w:r>
          </w:hyperlink>
        </w:p>
        <w:p w14:paraId="1B0C1064" w14:textId="17F19E71" w:rsidR="008A26D7" w:rsidRDefault="006730A7">
          <w:pPr>
            <w:pStyle w:val="TOC1"/>
            <w:rPr>
              <w:rFonts w:asciiTheme="minorHAnsi" w:eastAsiaTheme="minorEastAsia" w:hAnsiTheme="minorHAnsi"/>
              <w:b w:val="0"/>
              <w:noProof/>
              <w:color w:val="auto"/>
              <w:kern w:val="2"/>
              <w:sz w:val="24"/>
              <w:szCs w:val="24"/>
              <w:lang w:eastAsia="en-AU"/>
              <w14:ligatures w14:val="standardContextual"/>
            </w:rPr>
          </w:pPr>
          <w:hyperlink w:anchor="_Toc176770972" w:history="1">
            <w:r w:rsidR="008A26D7" w:rsidRPr="006A5852">
              <w:rPr>
                <w:rStyle w:val="Hyperlink"/>
                <w:noProof/>
              </w:rPr>
              <w:t>Glossary</w:t>
            </w:r>
            <w:r w:rsidR="008A26D7">
              <w:rPr>
                <w:noProof/>
                <w:webHidden/>
              </w:rPr>
              <w:tab/>
            </w:r>
            <w:r w:rsidR="008A26D7">
              <w:rPr>
                <w:noProof/>
                <w:webHidden/>
              </w:rPr>
              <w:fldChar w:fldCharType="begin"/>
            </w:r>
            <w:r w:rsidR="008A26D7">
              <w:rPr>
                <w:noProof/>
                <w:webHidden/>
              </w:rPr>
              <w:instrText xml:space="preserve"> PAGEREF _Toc176770972 \h </w:instrText>
            </w:r>
            <w:r w:rsidR="008A26D7">
              <w:rPr>
                <w:noProof/>
                <w:webHidden/>
              </w:rPr>
            </w:r>
            <w:r w:rsidR="008A26D7">
              <w:rPr>
                <w:noProof/>
                <w:webHidden/>
              </w:rPr>
              <w:fldChar w:fldCharType="separate"/>
            </w:r>
            <w:r w:rsidR="008A26D7">
              <w:rPr>
                <w:noProof/>
                <w:webHidden/>
              </w:rPr>
              <w:t>3</w:t>
            </w:r>
            <w:r w:rsidR="008A26D7">
              <w:rPr>
                <w:noProof/>
                <w:webHidden/>
              </w:rPr>
              <w:fldChar w:fldCharType="end"/>
            </w:r>
          </w:hyperlink>
        </w:p>
        <w:p w14:paraId="38DD9DDA" w14:textId="51801810" w:rsidR="008A26D7" w:rsidRDefault="006730A7">
          <w:pPr>
            <w:pStyle w:val="TOC1"/>
            <w:tabs>
              <w:tab w:val="left" w:pos="1440"/>
            </w:tabs>
            <w:rPr>
              <w:rFonts w:asciiTheme="minorHAnsi" w:eastAsiaTheme="minorEastAsia" w:hAnsiTheme="minorHAnsi"/>
              <w:b w:val="0"/>
              <w:noProof/>
              <w:color w:val="auto"/>
              <w:kern w:val="2"/>
              <w:sz w:val="24"/>
              <w:szCs w:val="24"/>
              <w:lang w:eastAsia="en-AU"/>
              <w14:ligatures w14:val="standardContextual"/>
            </w:rPr>
          </w:pPr>
          <w:hyperlink w:anchor="_Toc176770973" w:history="1">
            <w:r w:rsidR="008A26D7" w:rsidRPr="006A5852">
              <w:rPr>
                <w:rStyle w:val="Hyperlink"/>
                <w:noProof/>
              </w:rPr>
              <w:t>Chapter 1:</w:t>
            </w:r>
            <w:r w:rsidR="008A26D7">
              <w:rPr>
                <w:rFonts w:asciiTheme="minorHAnsi" w:eastAsiaTheme="minorEastAsia" w:hAnsiTheme="minorHAnsi"/>
                <w:b w:val="0"/>
                <w:noProof/>
                <w:color w:val="auto"/>
                <w:kern w:val="2"/>
                <w:sz w:val="24"/>
                <w:szCs w:val="24"/>
                <w:lang w:eastAsia="en-AU"/>
                <w14:ligatures w14:val="standardContextual"/>
              </w:rPr>
              <w:t xml:space="preserve"> </w:t>
            </w:r>
            <w:r w:rsidR="008A26D7" w:rsidRPr="006A5852">
              <w:rPr>
                <w:rStyle w:val="Hyperlink"/>
                <w:noProof/>
              </w:rPr>
              <w:t>The Study</w:t>
            </w:r>
            <w:r w:rsidR="008A26D7">
              <w:rPr>
                <w:noProof/>
                <w:webHidden/>
              </w:rPr>
              <w:tab/>
            </w:r>
            <w:r w:rsidR="008A26D7">
              <w:rPr>
                <w:noProof/>
                <w:webHidden/>
              </w:rPr>
              <w:fldChar w:fldCharType="begin"/>
            </w:r>
            <w:r w:rsidR="008A26D7">
              <w:rPr>
                <w:noProof/>
                <w:webHidden/>
              </w:rPr>
              <w:instrText xml:space="preserve"> PAGEREF _Toc176770973 \h </w:instrText>
            </w:r>
            <w:r w:rsidR="008A26D7">
              <w:rPr>
                <w:noProof/>
                <w:webHidden/>
              </w:rPr>
            </w:r>
            <w:r w:rsidR="008A26D7">
              <w:rPr>
                <w:noProof/>
                <w:webHidden/>
              </w:rPr>
              <w:fldChar w:fldCharType="separate"/>
            </w:r>
            <w:r w:rsidR="008A26D7">
              <w:rPr>
                <w:noProof/>
                <w:webHidden/>
              </w:rPr>
              <w:t>5</w:t>
            </w:r>
            <w:r w:rsidR="008A26D7">
              <w:rPr>
                <w:noProof/>
                <w:webHidden/>
              </w:rPr>
              <w:fldChar w:fldCharType="end"/>
            </w:r>
          </w:hyperlink>
        </w:p>
        <w:p w14:paraId="28FD7FA6" w14:textId="27B89B49"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74" w:history="1">
            <w:r w:rsidR="008A26D7" w:rsidRPr="006A5852">
              <w:rPr>
                <w:rStyle w:val="Hyperlink"/>
              </w:rPr>
              <w:t>Defining, measuring, and categorising the VET workforce</w:t>
            </w:r>
            <w:r w:rsidR="008A26D7">
              <w:rPr>
                <w:webHidden/>
              </w:rPr>
              <w:tab/>
            </w:r>
            <w:r w:rsidR="008A26D7">
              <w:rPr>
                <w:webHidden/>
              </w:rPr>
              <w:fldChar w:fldCharType="begin"/>
            </w:r>
            <w:r w:rsidR="008A26D7">
              <w:rPr>
                <w:webHidden/>
              </w:rPr>
              <w:instrText xml:space="preserve"> PAGEREF _Toc176770974 \h </w:instrText>
            </w:r>
            <w:r w:rsidR="008A26D7">
              <w:rPr>
                <w:webHidden/>
              </w:rPr>
            </w:r>
            <w:r w:rsidR="008A26D7">
              <w:rPr>
                <w:webHidden/>
              </w:rPr>
              <w:fldChar w:fldCharType="separate"/>
            </w:r>
            <w:r w:rsidR="008A26D7">
              <w:rPr>
                <w:webHidden/>
              </w:rPr>
              <w:t>6</w:t>
            </w:r>
            <w:r w:rsidR="008A26D7">
              <w:rPr>
                <w:webHidden/>
              </w:rPr>
              <w:fldChar w:fldCharType="end"/>
            </w:r>
          </w:hyperlink>
        </w:p>
        <w:p w14:paraId="2016D9C6" w14:textId="5B3B053F"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75" w:history="1">
            <w:r w:rsidR="008A26D7" w:rsidRPr="006A5852">
              <w:rPr>
                <w:rStyle w:val="Hyperlink"/>
              </w:rPr>
              <w:t>A new approach: a VET workforce taxonomy and occupational framework</w:t>
            </w:r>
            <w:r w:rsidR="008A26D7">
              <w:rPr>
                <w:webHidden/>
              </w:rPr>
              <w:tab/>
            </w:r>
            <w:r w:rsidR="008A26D7">
              <w:rPr>
                <w:webHidden/>
              </w:rPr>
              <w:fldChar w:fldCharType="begin"/>
            </w:r>
            <w:r w:rsidR="008A26D7">
              <w:rPr>
                <w:webHidden/>
              </w:rPr>
              <w:instrText xml:space="preserve"> PAGEREF _Toc176770975 \h </w:instrText>
            </w:r>
            <w:r w:rsidR="008A26D7">
              <w:rPr>
                <w:webHidden/>
              </w:rPr>
            </w:r>
            <w:r w:rsidR="008A26D7">
              <w:rPr>
                <w:webHidden/>
              </w:rPr>
              <w:fldChar w:fldCharType="separate"/>
            </w:r>
            <w:r w:rsidR="008A26D7">
              <w:rPr>
                <w:webHidden/>
              </w:rPr>
              <w:t>12</w:t>
            </w:r>
            <w:r w:rsidR="008A26D7">
              <w:rPr>
                <w:webHidden/>
              </w:rPr>
              <w:fldChar w:fldCharType="end"/>
            </w:r>
          </w:hyperlink>
        </w:p>
        <w:p w14:paraId="27AD4BEF" w14:textId="3E41FD86"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76" w:history="1">
            <w:r w:rsidR="008A26D7" w:rsidRPr="006A5852">
              <w:rPr>
                <w:rStyle w:val="Hyperlink"/>
              </w:rPr>
              <w:t>The sector context – workforce implications</w:t>
            </w:r>
            <w:r w:rsidR="008A26D7">
              <w:rPr>
                <w:webHidden/>
              </w:rPr>
              <w:tab/>
            </w:r>
            <w:r w:rsidR="008A26D7">
              <w:rPr>
                <w:webHidden/>
              </w:rPr>
              <w:fldChar w:fldCharType="begin"/>
            </w:r>
            <w:r w:rsidR="008A26D7">
              <w:rPr>
                <w:webHidden/>
              </w:rPr>
              <w:instrText xml:space="preserve"> PAGEREF _Toc176770976 \h </w:instrText>
            </w:r>
            <w:r w:rsidR="008A26D7">
              <w:rPr>
                <w:webHidden/>
              </w:rPr>
            </w:r>
            <w:r w:rsidR="008A26D7">
              <w:rPr>
                <w:webHidden/>
              </w:rPr>
              <w:fldChar w:fldCharType="separate"/>
            </w:r>
            <w:r w:rsidR="008A26D7">
              <w:rPr>
                <w:webHidden/>
              </w:rPr>
              <w:t>16</w:t>
            </w:r>
            <w:r w:rsidR="008A26D7">
              <w:rPr>
                <w:webHidden/>
              </w:rPr>
              <w:fldChar w:fldCharType="end"/>
            </w:r>
          </w:hyperlink>
        </w:p>
        <w:p w14:paraId="3E46E2D8" w14:textId="336194B9"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77" w:history="1">
            <w:r w:rsidR="008A26D7" w:rsidRPr="006A5852">
              <w:rPr>
                <w:rStyle w:val="Hyperlink"/>
              </w:rPr>
              <w:t>Report structure</w:t>
            </w:r>
            <w:r w:rsidR="008A26D7">
              <w:rPr>
                <w:webHidden/>
              </w:rPr>
              <w:tab/>
            </w:r>
            <w:r w:rsidR="008A26D7">
              <w:rPr>
                <w:webHidden/>
              </w:rPr>
              <w:fldChar w:fldCharType="begin"/>
            </w:r>
            <w:r w:rsidR="008A26D7">
              <w:rPr>
                <w:webHidden/>
              </w:rPr>
              <w:instrText xml:space="preserve"> PAGEREF _Toc176770977 \h </w:instrText>
            </w:r>
            <w:r w:rsidR="008A26D7">
              <w:rPr>
                <w:webHidden/>
              </w:rPr>
            </w:r>
            <w:r w:rsidR="008A26D7">
              <w:rPr>
                <w:webHidden/>
              </w:rPr>
              <w:fldChar w:fldCharType="separate"/>
            </w:r>
            <w:r w:rsidR="008A26D7">
              <w:rPr>
                <w:webHidden/>
              </w:rPr>
              <w:t>23</w:t>
            </w:r>
            <w:r w:rsidR="008A26D7">
              <w:rPr>
                <w:webHidden/>
              </w:rPr>
              <w:fldChar w:fldCharType="end"/>
            </w:r>
          </w:hyperlink>
        </w:p>
        <w:p w14:paraId="40795C33" w14:textId="0338C15B"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78" w:history="1">
            <w:r w:rsidR="008A26D7" w:rsidRPr="006A5852">
              <w:rPr>
                <w:rStyle w:val="Hyperlink"/>
              </w:rPr>
              <w:t>Summary of key findings</w:t>
            </w:r>
            <w:r w:rsidR="008A26D7">
              <w:rPr>
                <w:webHidden/>
              </w:rPr>
              <w:tab/>
            </w:r>
            <w:r w:rsidR="008A26D7">
              <w:rPr>
                <w:webHidden/>
              </w:rPr>
              <w:fldChar w:fldCharType="begin"/>
            </w:r>
            <w:r w:rsidR="008A26D7">
              <w:rPr>
                <w:webHidden/>
              </w:rPr>
              <w:instrText xml:space="preserve"> PAGEREF _Toc176770978 \h </w:instrText>
            </w:r>
            <w:r w:rsidR="008A26D7">
              <w:rPr>
                <w:webHidden/>
              </w:rPr>
            </w:r>
            <w:r w:rsidR="008A26D7">
              <w:rPr>
                <w:webHidden/>
              </w:rPr>
              <w:fldChar w:fldCharType="separate"/>
            </w:r>
            <w:r w:rsidR="008A26D7">
              <w:rPr>
                <w:webHidden/>
              </w:rPr>
              <w:t>24</w:t>
            </w:r>
            <w:r w:rsidR="008A26D7">
              <w:rPr>
                <w:webHidden/>
              </w:rPr>
              <w:fldChar w:fldCharType="end"/>
            </w:r>
          </w:hyperlink>
        </w:p>
        <w:p w14:paraId="0AD2E14E" w14:textId="20EE7071" w:rsidR="008A26D7" w:rsidRDefault="006730A7">
          <w:pPr>
            <w:pStyle w:val="TOC1"/>
            <w:tabs>
              <w:tab w:val="left" w:pos="1440"/>
            </w:tabs>
            <w:rPr>
              <w:rFonts w:asciiTheme="minorHAnsi" w:eastAsiaTheme="minorEastAsia" w:hAnsiTheme="minorHAnsi"/>
              <w:b w:val="0"/>
              <w:noProof/>
              <w:color w:val="auto"/>
              <w:kern w:val="2"/>
              <w:sz w:val="24"/>
              <w:szCs w:val="24"/>
              <w:lang w:eastAsia="en-AU"/>
              <w14:ligatures w14:val="standardContextual"/>
            </w:rPr>
          </w:pPr>
          <w:hyperlink w:anchor="_Toc176770979" w:history="1">
            <w:r w:rsidR="008A26D7" w:rsidRPr="006A5852">
              <w:rPr>
                <w:rStyle w:val="Hyperlink"/>
                <w:noProof/>
              </w:rPr>
              <w:t>Chapter 2:</w:t>
            </w:r>
            <w:r w:rsidR="008A26D7">
              <w:rPr>
                <w:rFonts w:asciiTheme="minorHAnsi" w:eastAsiaTheme="minorEastAsia" w:hAnsiTheme="minorHAnsi"/>
                <w:b w:val="0"/>
                <w:noProof/>
                <w:color w:val="auto"/>
                <w:kern w:val="2"/>
                <w:sz w:val="24"/>
                <w:szCs w:val="24"/>
                <w:lang w:eastAsia="en-AU"/>
                <w14:ligatures w14:val="standardContextual"/>
              </w:rPr>
              <w:t xml:space="preserve"> </w:t>
            </w:r>
            <w:r w:rsidR="008A26D7" w:rsidRPr="006A5852">
              <w:rPr>
                <w:rStyle w:val="Hyperlink"/>
                <w:noProof/>
              </w:rPr>
              <w:t>Understanding the workforce</w:t>
            </w:r>
            <w:r w:rsidR="008A26D7">
              <w:rPr>
                <w:noProof/>
                <w:webHidden/>
              </w:rPr>
              <w:tab/>
            </w:r>
            <w:r w:rsidR="008A26D7">
              <w:rPr>
                <w:noProof/>
                <w:webHidden/>
              </w:rPr>
              <w:fldChar w:fldCharType="begin"/>
            </w:r>
            <w:r w:rsidR="008A26D7">
              <w:rPr>
                <w:noProof/>
                <w:webHidden/>
              </w:rPr>
              <w:instrText xml:space="preserve"> PAGEREF _Toc176770979 \h </w:instrText>
            </w:r>
            <w:r w:rsidR="008A26D7">
              <w:rPr>
                <w:noProof/>
                <w:webHidden/>
              </w:rPr>
            </w:r>
            <w:r w:rsidR="008A26D7">
              <w:rPr>
                <w:noProof/>
                <w:webHidden/>
              </w:rPr>
              <w:fldChar w:fldCharType="separate"/>
            </w:r>
            <w:r w:rsidR="008A26D7">
              <w:rPr>
                <w:noProof/>
                <w:webHidden/>
              </w:rPr>
              <w:t>26</w:t>
            </w:r>
            <w:r w:rsidR="008A26D7">
              <w:rPr>
                <w:noProof/>
                <w:webHidden/>
              </w:rPr>
              <w:fldChar w:fldCharType="end"/>
            </w:r>
          </w:hyperlink>
        </w:p>
        <w:p w14:paraId="571A1978" w14:textId="390155B3"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80" w:history="1">
            <w:r w:rsidR="008A26D7" w:rsidRPr="006A5852">
              <w:rPr>
                <w:rStyle w:val="Hyperlink"/>
              </w:rPr>
              <w:t>Workforce size, growth, and predominant roles</w:t>
            </w:r>
            <w:r w:rsidR="008A26D7">
              <w:rPr>
                <w:webHidden/>
              </w:rPr>
              <w:tab/>
            </w:r>
            <w:r w:rsidR="008A26D7">
              <w:rPr>
                <w:webHidden/>
              </w:rPr>
              <w:fldChar w:fldCharType="begin"/>
            </w:r>
            <w:r w:rsidR="008A26D7">
              <w:rPr>
                <w:webHidden/>
              </w:rPr>
              <w:instrText xml:space="preserve"> PAGEREF _Toc176770980 \h </w:instrText>
            </w:r>
            <w:r w:rsidR="008A26D7">
              <w:rPr>
                <w:webHidden/>
              </w:rPr>
            </w:r>
            <w:r w:rsidR="008A26D7">
              <w:rPr>
                <w:webHidden/>
              </w:rPr>
              <w:fldChar w:fldCharType="separate"/>
            </w:r>
            <w:r w:rsidR="008A26D7">
              <w:rPr>
                <w:webHidden/>
              </w:rPr>
              <w:t>27</w:t>
            </w:r>
            <w:r w:rsidR="008A26D7">
              <w:rPr>
                <w:webHidden/>
              </w:rPr>
              <w:fldChar w:fldCharType="end"/>
            </w:r>
          </w:hyperlink>
        </w:p>
        <w:p w14:paraId="1F4FE9E9" w14:textId="4D9D19B5"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81" w:history="1">
            <w:r w:rsidR="008A26D7" w:rsidRPr="006A5852">
              <w:rPr>
                <w:rStyle w:val="Hyperlink"/>
              </w:rPr>
              <w:t>Demographic characteristics</w:t>
            </w:r>
            <w:r w:rsidR="008A26D7">
              <w:rPr>
                <w:webHidden/>
              </w:rPr>
              <w:tab/>
            </w:r>
            <w:r w:rsidR="008A26D7">
              <w:rPr>
                <w:webHidden/>
              </w:rPr>
              <w:fldChar w:fldCharType="begin"/>
            </w:r>
            <w:r w:rsidR="008A26D7">
              <w:rPr>
                <w:webHidden/>
              </w:rPr>
              <w:instrText xml:space="preserve"> PAGEREF _Toc176770981 \h </w:instrText>
            </w:r>
            <w:r w:rsidR="008A26D7">
              <w:rPr>
                <w:webHidden/>
              </w:rPr>
            </w:r>
            <w:r w:rsidR="008A26D7">
              <w:rPr>
                <w:webHidden/>
              </w:rPr>
              <w:fldChar w:fldCharType="separate"/>
            </w:r>
            <w:r w:rsidR="008A26D7">
              <w:rPr>
                <w:webHidden/>
              </w:rPr>
              <w:t>30</w:t>
            </w:r>
            <w:r w:rsidR="008A26D7">
              <w:rPr>
                <w:webHidden/>
              </w:rPr>
              <w:fldChar w:fldCharType="end"/>
            </w:r>
          </w:hyperlink>
        </w:p>
        <w:p w14:paraId="57CD56E6" w14:textId="5EF242A7"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82" w:history="1">
            <w:r w:rsidR="008A26D7" w:rsidRPr="006A5852">
              <w:rPr>
                <w:rStyle w:val="Hyperlink"/>
              </w:rPr>
              <w:t>Geographic characteristics</w:t>
            </w:r>
            <w:r w:rsidR="008A26D7">
              <w:rPr>
                <w:webHidden/>
              </w:rPr>
              <w:tab/>
            </w:r>
            <w:r w:rsidR="008A26D7">
              <w:rPr>
                <w:webHidden/>
              </w:rPr>
              <w:fldChar w:fldCharType="begin"/>
            </w:r>
            <w:r w:rsidR="008A26D7">
              <w:rPr>
                <w:webHidden/>
              </w:rPr>
              <w:instrText xml:space="preserve"> PAGEREF _Toc176770982 \h </w:instrText>
            </w:r>
            <w:r w:rsidR="008A26D7">
              <w:rPr>
                <w:webHidden/>
              </w:rPr>
            </w:r>
            <w:r w:rsidR="008A26D7">
              <w:rPr>
                <w:webHidden/>
              </w:rPr>
              <w:fldChar w:fldCharType="separate"/>
            </w:r>
            <w:r w:rsidR="008A26D7">
              <w:rPr>
                <w:webHidden/>
              </w:rPr>
              <w:t>40</w:t>
            </w:r>
            <w:r w:rsidR="008A26D7">
              <w:rPr>
                <w:webHidden/>
              </w:rPr>
              <w:fldChar w:fldCharType="end"/>
            </w:r>
          </w:hyperlink>
        </w:p>
        <w:p w14:paraId="7B8BABCA" w14:textId="55C2EF5A"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83" w:history="1">
            <w:r w:rsidR="008A26D7" w:rsidRPr="006A5852">
              <w:rPr>
                <w:rStyle w:val="Hyperlink"/>
              </w:rPr>
              <w:t>Employment characteristics</w:t>
            </w:r>
            <w:r w:rsidR="008A26D7">
              <w:rPr>
                <w:webHidden/>
              </w:rPr>
              <w:tab/>
            </w:r>
            <w:r w:rsidR="008A26D7">
              <w:rPr>
                <w:webHidden/>
              </w:rPr>
              <w:fldChar w:fldCharType="begin"/>
            </w:r>
            <w:r w:rsidR="008A26D7">
              <w:rPr>
                <w:webHidden/>
              </w:rPr>
              <w:instrText xml:space="preserve"> PAGEREF _Toc176770983 \h </w:instrText>
            </w:r>
            <w:r w:rsidR="008A26D7">
              <w:rPr>
                <w:webHidden/>
              </w:rPr>
            </w:r>
            <w:r w:rsidR="008A26D7">
              <w:rPr>
                <w:webHidden/>
              </w:rPr>
              <w:fldChar w:fldCharType="separate"/>
            </w:r>
            <w:r w:rsidR="008A26D7">
              <w:rPr>
                <w:webHidden/>
              </w:rPr>
              <w:t>41</w:t>
            </w:r>
            <w:r w:rsidR="008A26D7">
              <w:rPr>
                <w:webHidden/>
              </w:rPr>
              <w:fldChar w:fldCharType="end"/>
            </w:r>
          </w:hyperlink>
        </w:p>
        <w:p w14:paraId="384A5659" w14:textId="4A486B70"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84" w:history="1">
            <w:r w:rsidR="008A26D7" w:rsidRPr="006A5852">
              <w:rPr>
                <w:rStyle w:val="Hyperlink"/>
              </w:rPr>
              <w:t>VET workforce data – current and potential future states</w:t>
            </w:r>
            <w:r w:rsidR="008A26D7">
              <w:rPr>
                <w:webHidden/>
              </w:rPr>
              <w:tab/>
            </w:r>
            <w:r w:rsidR="008A26D7">
              <w:rPr>
                <w:webHidden/>
              </w:rPr>
              <w:fldChar w:fldCharType="begin"/>
            </w:r>
            <w:r w:rsidR="008A26D7">
              <w:rPr>
                <w:webHidden/>
              </w:rPr>
              <w:instrText xml:space="preserve"> PAGEREF _Toc176770984 \h </w:instrText>
            </w:r>
            <w:r w:rsidR="008A26D7">
              <w:rPr>
                <w:webHidden/>
              </w:rPr>
            </w:r>
            <w:r w:rsidR="008A26D7">
              <w:rPr>
                <w:webHidden/>
              </w:rPr>
              <w:fldChar w:fldCharType="separate"/>
            </w:r>
            <w:r w:rsidR="008A26D7">
              <w:rPr>
                <w:webHidden/>
              </w:rPr>
              <w:t>54</w:t>
            </w:r>
            <w:r w:rsidR="008A26D7">
              <w:rPr>
                <w:webHidden/>
              </w:rPr>
              <w:fldChar w:fldCharType="end"/>
            </w:r>
          </w:hyperlink>
        </w:p>
        <w:p w14:paraId="16DF78D0" w14:textId="616E06C0"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85" w:history="1">
            <w:r w:rsidR="008A26D7" w:rsidRPr="006A5852">
              <w:rPr>
                <w:rStyle w:val="Hyperlink"/>
              </w:rPr>
              <w:t>Conclusion</w:t>
            </w:r>
            <w:r w:rsidR="008A26D7">
              <w:rPr>
                <w:webHidden/>
              </w:rPr>
              <w:tab/>
            </w:r>
            <w:r w:rsidR="008A26D7">
              <w:rPr>
                <w:webHidden/>
              </w:rPr>
              <w:fldChar w:fldCharType="begin"/>
            </w:r>
            <w:r w:rsidR="008A26D7">
              <w:rPr>
                <w:webHidden/>
              </w:rPr>
              <w:instrText xml:space="preserve"> PAGEREF _Toc176770985 \h </w:instrText>
            </w:r>
            <w:r w:rsidR="008A26D7">
              <w:rPr>
                <w:webHidden/>
              </w:rPr>
            </w:r>
            <w:r w:rsidR="008A26D7">
              <w:rPr>
                <w:webHidden/>
              </w:rPr>
              <w:fldChar w:fldCharType="separate"/>
            </w:r>
            <w:r w:rsidR="008A26D7">
              <w:rPr>
                <w:webHidden/>
              </w:rPr>
              <w:t>60</w:t>
            </w:r>
            <w:r w:rsidR="008A26D7">
              <w:rPr>
                <w:webHidden/>
              </w:rPr>
              <w:fldChar w:fldCharType="end"/>
            </w:r>
          </w:hyperlink>
        </w:p>
        <w:p w14:paraId="162A8D4B" w14:textId="421E80E9" w:rsidR="008A26D7" w:rsidRDefault="006730A7">
          <w:pPr>
            <w:pStyle w:val="TOC1"/>
            <w:tabs>
              <w:tab w:val="left" w:pos="1440"/>
            </w:tabs>
            <w:rPr>
              <w:rFonts w:asciiTheme="minorHAnsi" w:eastAsiaTheme="minorEastAsia" w:hAnsiTheme="minorHAnsi"/>
              <w:b w:val="0"/>
              <w:noProof/>
              <w:color w:val="auto"/>
              <w:kern w:val="2"/>
              <w:sz w:val="24"/>
              <w:szCs w:val="24"/>
              <w:lang w:eastAsia="en-AU"/>
              <w14:ligatures w14:val="standardContextual"/>
            </w:rPr>
          </w:pPr>
          <w:hyperlink w:anchor="_Toc176770986" w:history="1">
            <w:r w:rsidR="008A26D7" w:rsidRPr="006A5852">
              <w:rPr>
                <w:rStyle w:val="Hyperlink"/>
                <w:noProof/>
              </w:rPr>
              <w:t>Chapter 3:</w:t>
            </w:r>
            <w:r w:rsidR="008A26D7">
              <w:rPr>
                <w:rFonts w:asciiTheme="minorHAnsi" w:eastAsiaTheme="minorEastAsia" w:hAnsiTheme="minorHAnsi"/>
                <w:b w:val="0"/>
                <w:noProof/>
                <w:color w:val="auto"/>
                <w:kern w:val="2"/>
                <w:sz w:val="24"/>
                <w:szCs w:val="24"/>
                <w:lang w:eastAsia="en-AU"/>
                <w14:ligatures w14:val="standardContextual"/>
              </w:rPr>
              <w:t xml:space="preserve"> </w:t>
            </w:r>
            <w:r w:rsidR="008A26D7" w:rsidRPr="006A5852">
              <w:rPr>
                <w:rStyle w:val="Hyperlink"/>
                <w:noProof/>
              </w:rPr>
              <w:t>Job profiles and pathways</w:t>
            </w:r>
            <w:r w:rsidR="008A26D7">
              <w:rPr>
                <w:noProof/>
                <w:webHidden/>
              </w:rPr>
              <w:tab/>
            </w:r>
            <w:r w:rsidR="008A26D7">
              <w:rPr>
                <w:noProof/>
                <w:webHidden/>
              </w:rPr>
              <w:fldChar w:fldCharType="begin"/>
            </w:r>
            <w:r w:rsidR="008A26D7">
              <w:rPr>
                <w:noProof/>
                <w:webHidden/>
              </w:rPr>
              <w:instrText xml:space="preserve"> PAGEREF _Toc176770986 \h </w:instrText>
            </w:r>
            <w:r w:rsidR="008A26D7">
              <w:rPr>
                <w:noProof/>
                <w:webHidden/>
              </w:rPr>
            </w:r>
            <w:r w:rsidR="008A26D7">
              <w:rPr>
                <w:noProof/>
                <w:webHidden/>
              </w:rPr>
              <w:fldChar w:fldCharType="separate"/>
            </w:r>
            <w:r w:rsidR="008A26D7">
              <w:rPr>
                <w:noProof/>
                <w:webHidden/>
              </w:rPr>
              <w:t>61</w:t>
            </w:r>
            <w:r w:rsidR="008A26D7">
              <w:rPr>
                <w:noProof/>
                <w:webHidden/>
              </w:rPr>
              <w:fldChar w:fldCharType="end"/>
            </w:r>
          </w:hyperlink>
        </w:p>
        <w:p w14:paraId="797B45E4" w14:textId="3FCE9009"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87" w:history="1">
            <w:r w:rsidR="008A26D7" w:rsidRPr="006A5852">
              <w:rPr>
                <w:rStyle w:val="Hyperlink"/>
              </w:rPr>
              <w:t>Training pathways</w:t>
            </w:r>
            <w:r w:rsidR="008A26D7">
              <w:rPr>
                <w:webHidden/>
              </w:rPr>
              <w:tab/>
            </w:r>
            <w:r w:rsidR="008A26D7">
              <w:rPr>
                <w:webHidden/>
              </w:rPr>
              <w:fldChar w:fldCharType="begin"/>
            </w:r>
            <w:r w:rsidR="008A26D7">
              <w:rPr>
                <w:webHidden/>
              </w:rPr>
              <w:instrText xml:space="preserve"> PAGEREF _Toc176770987 \h </w:instrText>
            </w:r>
            <w:r w:rsidR="008A26D7">
              <w:rPr>
                <w:webHidden/>
              </w:rPr>
            </w:r>
            <w:r w:rsidR="008A26D7">
              <w:rPr>
                <w:webHidden/>
              </w:rPr>
              <w:fldChar w:fldCharType="separate"/>
            </w:r>
            <w:r w:rsidR="008A26D7">
              <w:rPr>
                <w:webHidden/>
              </w:rPr>
              <w:t>62</w:t>
            </w:r>
            <w:r w:rsidR="008A26D7">
              <w:rPr>
                <w:webHidden/>
              </w:rPr>
              <w:fldChar w:fldCharType="end"/>
            </w:r>
          </w:hyperlink>
        </w:p>
        <w:p w14:paraId="09353F42" w14:textId="3AD37930"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88" w:history="1">
            <w:r w:rsidR="008A26D7" w:rsidRPr="006A5852">
              <w:rPr>
                <w:rStyle w:val="Hyperlink"/>
              </w:rPr>
              <w:t>Job profiles</w:t>
            </w:r>
            <w:r w:rsidR="008A26D7">
              <w:rPr>
                <w:webHidden/>
              </w:rPr>
              <w:tab/>
            </w:r>
            <w:r w:rsidR="008A26D7">
              <w:rPr>
                <w:webHidden/>
              </w:rPr>
              <w:fldChar w:fldCharType="begin"/>
            </w:r>
            <w:r w:rsidR="008A26D7">
              <w:rPr>
                <w:webHidden/>
              </w:rPr>
              <w:instrText xml:space="preserve"> PAGEREF _Toc176770988 \h </w:instrText>
            </w:r>
            <w:r w:rsidR="008A26D7">
              <w:rPr>
                <w:webHidden/>
              </w:rPr>
            </w:r>
            <w:r w:rsidR="008A26D7">
              <w:rPr>
                <w:webHidden/>
              </w:rPr>
              <w:fldChar w:fldCharType="separate"/>
            </w:r>
            <w:r w:rsidR="008A26D7">
              <w:rPr>
                <w:webHidden/>
              </w:rPr>
              <w:t>69</w:t>
            </w:r>
            <w:r w:rsidR="008A26D7">
              <w:rPr>
                <w:webHidden/>
              </w:rPr>
              <w:fldChar w:fldCharType="end"/>
            </w:r>
          </w:hyperlink>
        </w:p>
        <w:p w14:paraId="5AC86B2A" w14:textId="22271E2B"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89" w:history="1">
            <w:r w:rsidR="008A26D7" w:rsidRPr="006A5852">
              <w:rPr>
                <w:rStyle w:val="Hyperlink"/>
              </w:rPr>
              <w:t>Conclusion</w:t>
            </w:r>
            <w:r w:rsidR="008A26D7">
              <w:rPr>
                <w:webHidden/>
              </w:rPr>
              <w:tab/>
            </w:r>
            <w:r w:rsidR="008A26D7">
              <w:rPr>
                <w:webHidden/>
              </w:rPr>
              <w:fldChar w:fldCharType="begin"/>
            </w:r>
            <w:r w:rsidR="008A26D7">
              <w:rPr>
                <w:webHidden/>
              </w:rPr>
              <w:instrText xml:space="preserve"> PAGEREF _Toc176770989 \h </w:instrText>
            </w:r>
            <w:r w:rsidR="008A26D7">
              <w:rPr>
                <w:webHidden/>
              </w:rPr>
            </w:r>
            <w:r w:rsidR="008A26D7">
              <w:rPr>
                <w:webHidden/>
              </w:rPr>
              <w:fldChar w:fldCharType="separate"/>
            </w:r>
            <w:r w:rsidR="008A26D7">
              <w:rPr>
                <w:webHidden/>
              </w:rPr>
              <w:t>102</w:t>
            </w:r>
            <w:r w:rsidR="008A26D7">
              <w:rPr>
                <w:webHidden/>
              </w:rPr>
              <w:fldChar w:fldCharType="end"/>
            </w:r>
          </w:hyperlink>
        </w:p>
        <w:p w14:paraId="55C42032" w14:textId="02B34753" w:rsidR="008A26D7" w:rsidRDefault="006730A7">
          <w:pPr>
            <w:pStyle w:val="TOC1"/>
            <w:tabs>
              <w:tab w:val="left" w:pos="1440"/>
            </w:tabs>
            <w:rPr>
              <w:rFonts w:asciiTheme="minorHAnsi" w:eastAsiaTheme="minorEastAsia" w:hAnsiTheme="minorHAnsi"/>
              <w:b w:val="0"/>
              <w:noProof/>
              <w:color w:val="auto"/>
              <w:kern w:val="2"/>
              <w:sz w:val="24"/>
              <w:szCs w:val="24"/>
              <w:lang w:eastAsia="en-AU"/>
              <w14:ligatures w14:val="standardContextual"/>
            </w:rPr>
          </w:pPr>
          <w:hyperlink w:anchor="_Toc176770990" w:history="1">
            <w:r w:rsidR="008A26D7" w:rsidRPr="006A5852">
              <w:rPr>
                <w:rStyle w:val="Hyperlink"/>
                <w:noProof/>
              </w:rPr>
              <w:t>Chapter 4:</w:t>
            </w:r>
            <w:r w:rsidR="008A26D7">
              <w:rPr>
                <w:rFonts w:asciiTheme="minorHAnsi" w:eastAsiaTheme="minorEastAsia" w:hAnsiTheme="minorHAnsi"/>
                <w:b w:val="0"/>
                <w:noProof/>
                <w:color w:val="auto"/>
                <w:kern w:val="2"/>
                <w:sz w:val="24"/>
                <w:szCs w:val="24"/>
                <w:lang w:eastAsia="en-AU"/>
                <w14:ligatures w14:val="standardContextual"/>
              </w:rPr>
              <w:t xml:space="preserve"> </w:t>
            </w:r>
            <w:r w:rsidR="008A26D7" w:rsidRPr="006A5852">
              <w:rPr>
                <w:rStyle w:val="Hyperlink"/>
                <w:noProof/>
              </w:rPr>
              <w:t>Workforce demand and supply pipelines</w:t>
            </w:r>
            <w:r w:rsidR="008A26D7">
              <w:rPr>
                <w:noProof/>
                <w:webHidden/>
              </w:rPr>
              <w:tab/>
            </w:r>
            <w:r w:rsidR="008A26D7">
              <w:rPr>
                <w:noProof/>
                <w:webHidden/>
              </w:rPr>
              <w:fldChar w:fldCharType="begin"/>
            </w:r>
            <w:r w:rsidR="008A26D7">
              <w:rPr>
                <w:noProof/>
                <w:webHidden/>
              </w:rPr>
              <w:instrText xml:space="preserve"> PAGEREF _Toc176770990 \h </w:instrText>
            </w:r>
            <w:r w:rsidR="008A26D7">
              <w:rPr>
                <w:noProof/>
                <w:webHidden/>
              </w:rPr>
            </w:r>
            <w:r w:rsidR="008A26D7">
              <w:rPr>
                <w:noProof/>
                <w:webHidden/>
              </w:rPr>
              <w:fldChar w:fldCharType="separate"/>
            </w:r>
            <w:r w:rsidR="008A26D7">
              <w:rPr>
                <w:noProof/>
                <w:webHidden/>
              </w:rPr>
              <w:t>103</w:t>
            </w:r>
            <w:r w:rsidR="008A26D7">
              <w:rPr>
                <w:noProof/>
                <w:webHidden/>
              </w:rPr>
              <w:fldChar w:fldCharType="end"/>
            </w:r>
          </w:hyperlink>
        </w:p>
        <w:p w14:paraId="6013F441" w14:textId="1904A286"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91" w:history="1">
            <w:r w:rsidR="008A26D7" w:rsidRPr="006A5852">
              <w:rPr>
                <w:rStyle w:val="Hyperlink"/>
              </w:rPr>
              <w:t>Workforce demand and supply</w:t>
            </w:r>
            <w:r w:rsidR="008A26D7">
              <w:rPr>
                <w:webHidden/>
              </w:rPr>
              <w:tab/>
            </w:r>
            <w:r w:rsidR="008A26D7">
              <w:rPr>
                <w:webHidden/>
              </w:rPr>
              <w:fldChar w:fldCharType="begin"/>
            </w:r>
            <w:r w:rsidR="008A26D7">
              <w:rPr>
                <w:webHidden/>
              </w:rPr>
              <w:instrText xml:space="preserve"> PAGEREF _Toc176770991 \h </w:instrText>
            </w:r>
            <w:r w:rsidR="008A26D7">
              <w:rPr>
                <w:webHidden/>
              </w:rPr>
            </w:r>
            <w:r w:rsidR="008A26D7">
              <w:rPr>
                <w:webHidden/>
              </w:rPr>
              <w:fldChar w:fldCharType="separate"/>
            </w:r>
            <w:r w:rsidR="008A26D7">
              <w:rPr>
                <w:webHidden/>
              </w:rPr>
              <w:t>103</w:t>
            </w:r>
            <w:r w:rsidR="008A26D7">
              <w:rPr>
                <w:webHidden/>
              </w:rPr>
              <w:fldChar w:fldCharType="end"/>
            </w:r>
          </w:hyperlink>
        </w:p>
        <w:p w14:paraId="788E5680" w14:textId="5CDBDBD3"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92" w:history="1">
            <w:r w:rsidR="008A26D7" w:rsidRPr="006A5852">
              <w:rPr>
                <w:rStyle w:val="Hyperlink"/>
              </w:rPr>
              <w:t>Training pipeline</w:t>
            </w:r>
            <w:r w:rsidR="008A26D7">
              <w:rPr>
                <w:webHidden/>
              </w:rPr>
              <w:tab/>
            </w:r>
            <w:r w:rsidR="008A26D7">
              <w:rPr>
                <w:webHidden/>
              </w:rPr>
              <w:fldChar w:fldCharType="begin"/>
            </w:r>
            <w:r w:rsidR="008A26D7">
              <w:rPr>
                <w:webHidden/>
              </w:rPr>
              <w:instrText xml:space="preserve"> PAGEREF _Toc176770992 \h </w:instrText>
            </w:r>
            <w:r w:rsidR="008A26D7">
              <w:rPr>
                <w:webHidden/>
              </w:rPr>
            </w:r>
            <w:r w:rsidR="008A26D7">
              <w:rPr>
                <w:webHidden/>
              </w:rPr>
              <w:fldChar w:fldCharType="separate"/>
            </w:r>
            <w:r w:rsidR="008A26D7">
              <w:rPr>
                <w:webHidden/>
              </w:rPr>
              <w:t>111</w:t>
            </w:r>
            <w:r w:rsidR="008A26D7">
              <w:rPr>
                <w:webHidden/>
              </w:rPr>
              <w:fldChar w:fldCharType="end"/>
            </w:r>
          </w:hyperlink>
        </w:p>
        <w:p w14:paraId="07995421" w14:textId="1C666BA5"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93" w:history="1">
            <w:r w:rsidR="008A26D7" w:rsidRPr="006A5852">
              <w:rPr>
                <w:rStyle w:val="Hyperlink"/>
              </w:rPr>
              <w:t>Workforce transitions</w:t>
            </w:r>
            <w:r w:rsidR="008A26D7">
              <w:rPr>
                <w:webHidden/>
              </w:rPr>
              <w:tab/>
            </w:r>
            <w:r w:rsidR="008A26D7">
              <w:rPr>
                <w:webHidden/>
              </w:rPr>
              <w:fldChar w:fldCharType="begin"/>
            </w:r>
            <w:r w:rsidR="008A26D7">
              <w:rPr>
                <w:webHidden/>
              </w:rPr>
              <w:instrText xml:space="preserve"> PAGEREF _Toc176770993 \h </w:instrText>
            </w:r>
            <w:r w:rsidR="008A26D7">
              <w:rPr>
                <w:webHidden/>
              </w:rPr>
            </w:r>
            <w:r w:rsidR="008A26D7">
              <w:rPr>
                <w:webHidden/>
              </w:rPr>
              <w:fldChar w:fldCharType="separate"/>
            </w:r>
            <w:r w:rsidR="008A26D7">
              <w:rPr>
                <w:webHidden/>
              </w:rPr>
              <w:t>121</w:t>
            </w:r>
            <w:r w:rsidR="008A26D7">
              <w:rPr>
                <w:webHidden/>
              </w:rPr>
              <w:fldChar w:fldCharType="end"/>
            </w:r>
          </w:hyperlink>
        </w:p>
        <w:p w14:paraId="203D318F" w14:textId="77742FEF"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94" w:history="1">
            <w:r w:rsidR="008A26D7" w:rsidRPr="006A5852">
              <w:rPr>
                <w:rStyle w:val="Hyperlink"/>
              </w:rPr>
              <w:t>Conclusion</w:t>
            </w:r>
            <w:r w:rsidR="008A26D7">
              <w:rPr>
                <w:webHidden/>
              </w:rPr>
              <w:tab/>
            </w:r>
            <w:r w:rsidR="008A26D7">
              <w:rPr>
                <w:webHidden/>
              </w:rPr>
              <w:fldChar w:fldCharType="begin"/>
            </w:r>
            <w:r w:rsidR="008A26D7">
              <w:rPr>
                <w:webHidden/>
              </w:rPr>
              <w:instrText xml:space="preserve"> PAGEREF _Toc176770994 \h </w:instrText>
            </w:r>
            <w:r w:rsidR="008A26D7">
              <w:rPr>
                <w:webHidden/>
              </w:rPr>
            </w:r>
            <w:r w:rsidR="008A26D7">
              <w:rPr>
                <w:webHidden/>
              </w:rPr>
              <w:fldChar w:fldCharType="separate"/>
            </w:r>
            <w:r w:rsidR="008A26D7">
              <w:rPr>
                <w:webHidden/>
              </w:rPr>
              <w:t>127</w:t>
            </w:r>
            <w:r w:rsidR="008A26D7">
              <w:rPr>
                <w:webHidden/>
              </w:rPr>
              <w:fldChar w:fldCharType="end"/>
            </w:r>
          </w:hyperlink>
        </w:p>
        <w:p w14:paraId="66A2FDEF" w14:textId="5563F06B" w:rsidR="008A26D7" w:rsidRDefault="006730A7">
          <w:pPr>
            <w:pStyle w:val="TOC1"/>
            <w:rPr>
              <w:rFonts w:asciiTheme="minorHAnsi" w:eastAsiaTheme="minorEastAsia" w:hAnsiTheme="minorHAnsi"/>
              <w:b w:val="0"/>
              <w:noProof/>
              <w:color w:val="auto"/>
              <w:kern w:val="2"/>
              <w:sz w:val="24"/>
              <w:szCs w:val="24"/>
              <w:lang w:eastAsia="en-AU"/>
              <w14:ligatures w14:val="standardContextual"/>
            </w:rPr>
          </w:pPr>
          <w:hyperlink w:anchor="_Toc176770995" w:history="1">
            <w:r w:rsidR="008A26D7" w:rsidRPr="006A5852">
              <w:rPr>
                <w:rStyle w:val="Hyperlink"/>
                <w:noProof/>
              </w:rPr>
              <w:t>Chapter 5: Key findings</w:t>
            </w:r>
            <w:r w:rsidR="008A26D7">
              <w:rPr>
                <w:noProof/>
                <w:webHidden/>
              </w:rPr>
              <w:tab/>
            </w:r>
            <w:r w:rsidR="008A26D7">
              <w:rPr>
                <w:noProof/>
                <w:webHidden/>
              </w:rPr>
              <w:fldChar w:fldCharType="begin"/>
            </w:r>
            <w:r w:rsidR="008A26D7">
              <w:rPr>
                <w:noProof/>
                <w:webHidden/>
              </w:rPr>
              <w:instrText xml:space="preserve"> PAGEREF _Toc176770995 \h </w:instrText>
            </w:r>
            <w:r w:rsidR="008A26D7">
              <w:rPr>
                <w:noProof/>
                <w:webHidden/>
              </w:rPr>
            </w:r>
            <w:r w:rsidR="008A26D7">
              <w:rPr>
                <w:noProof/>
                <w:webHidden/>
              </w:rPr>
              <w:fldChar w:fldCharType="separate"/>
            </w:r>
            <w:r w:rsidR="008A26D7">
              <w:rPr>
                <w:noProof/>
                <w:webHidden/>
              </w:rPr>
              <w:t>128</w:t>
            </w:r>
            <w:r w:rsidR="008A26D7">
              <w:rPr>
                <w:noProof/>
                <w:webHidden/>
              </w:rPr>
              <w:fldChar w:fldCharType="end"/>
            </w:r>
          </w:hyperlink>
        </w:p>
        <w:p w14:paraId="15F4A280" w14:textId="4A4AA2B0"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96" w:history="1">
            <w:r w:rsidR="008A26D7" w:rsidRPr="006A5852">
              <w:rPr>
                <w:rStyle w:val="Hyperlink"/>
              </w:rPr>
              <w:t>Key findings</w:t>
            </w:r>
            <w:r w:rsidR="008A26D7">
              <w:rPr>
                <w:webHidden/>
              </w:rPr>
              <w:tab/>
            </w:r>
            <w:r w:rsidR="008A26D7">
              <w:rPr>
                <w:webHidden/>
              </w:rPr>
              <w:fldChar w:fldCharType="begin"/>
            </w:r>
            <w:r w:rsidR="008A26D7">
              <w:rPr>
                <w:webHidden/>
              </w:rPr>
              <w:instrText xml:space="preserve"> PAGEREF _Toc176770996 \h </w:instrText>
            </w:r>
            <w:r w:rsidR="008A26D7">
              <w:rPr>
                <w:webHidden/>
              </w:rPr>
            </w:r>
            <w:r w:rsidR="008A26D7">
              <w:rPr>
                <w:webHidden/>
              </w:rPr>
              <w:fldChar w:fldCharType="separate"/>
            </w:r>
            <w:r w:rsidR="008A26D7">
              <w:rPr>
                <w:webHidden/>
              </w:rPr>
              <w:t>128</w:t>
            </w:r>
            <w:r w:rsidR="008A26D7">
              <w:rPr>
                <w:webHidden/>
              </w:rPr>
              <w:fldChar w:fldCharType="end"/>
            </w:r>
          </w:hyperlink>
        </w:p>
        <w:p w14:paraId="650AD8D2" w14:textId="6F4F749C"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0997" w:history="1">
            <w:r w:rsidR="008A26D7" w:rsidRPr="006A5852">
              <w:rPr>
                <w:rStyle w:val="Hyperlink"/>
              </w:rPr>
              <w:t>Conclusion</w:t>
            </w:r>
            <w:r w:rsidR="008A26D7">
              <w:rPr>
                <w:webHidden/>
              </w:rPr>
              <w:tab/>
            </w:r>
            <w:r w:rsidR="008A26D7">
              <w:rPr>
                <w:webHidden/>
              </w:rPr>
              <w:fldChar w:fldCharType="begin"/>
            </w:r>
            <w:r w:rsidR="008A26D7">
              <w:rPr>
                <w:webHidden/>
              </w:rPr>
              <w:instrText xml:space="preserve"> PAGEREF _Toc176770997 \h </w:instrText>
            </w:r>
            <w:r w:rsidR="008A26D7">
              <w:rPr>
                <w:webHidden/>
              </w:rPr>
            </w:r>
            <w:r w:rsidR="008A26D7">
              <w:rPr>
                <w:webHidden/>
              </w:rPr>
              <w:fldChar w:fldCharType="separate"/>
            </w:r>
            <w:r w:rsidR="008A26D7">
              <w:rPr>
                <w:webHidden/>
              </w:rPr>
              <w:t>134</w:t>
            </w:r>
            <w:r w:rsidR="008A26D7">
              <w:rPr>
                <w:webHidden/>
              </w:rPr>
              <w:fldChar w:fldCharType="end"/>
            </w:r>
          </w:hyperlink>
        </w:p>
        <w:p w14:paraId="6C2CE5B3" w14:textId="2D62702A" w:rsidR="008A26D7" w:rsidRDefault="006730A7">
          <w:pPr>
            <w:pStyle w:val="TOC1"/>
            <w:tabs>
              <w:tab w:val="left" w:pos="1680"/>
            </w:tabs>
            <w:rPr>
              <w:rFonts w:asciiTheme="minorHAnsi" w:eastAsiaTheme="minorEastAsia" w:hAnsiTheme="minorHAnsi"/>
              <w:b w:val="0"/>
              <w:noProof/>
              <w:color w:val="auto"/>
              <w:kern w:val="2"/>
              <w:sz w:val="24"/>
              <w:szCs w:val="24"/>
              <w:lang w:eastAsia="en-AU"/>
              <w14:ligatures w14:val="standardContextual"/>
            </w:rPr>
          </w:pPr>
          <w:hyperlink w:anchor="_Toc176770998" w:history="1">
            <w:r w:rsidR="008A26D7" w:rsidRPr="006A5852">
              <w:rPr>
                <w:rStyle w:val="Hyperlink"/>
                <w:rFonts w:eastAsiaTheme="majorEastAsia" w:cstheme="majorBidi"/>
                <w:noProof/>
              </w:rPr>
              <w:t>Appendix A:</w:t>
            </w:r>
            <w:r w:rsidR="008A26D7">
              <w:rPr>
                <w:rFonts w:asciiTheme="minorHAnsi" w:eastAsiaTheme="minorEastAsia" w:hAnsiTheme="minorHAnsi"/>
                <w:b w:val="0"/>
                <w:noProof/>
                <w:color w:val="auto"/>
                <w:kern w:val="2"/>
                <w:sz w:val="24"/>
                <w:szCs w:val="24"/>
                <w:lang w:eastAsia="en-AU"/>
                <w14:ligatures w14:val="standardContextual"/>
              </w:rPr>
              <w:t xml:space="preserve"> </w:t>
            </w:r>
            <w:r w:rsidR="008A26D7" w:rsidRPr="006A5852">
              <w:rPr>
                <w:rStyle w:val="Hyperlink"/>
                <w:rFonts w:eastAsiaTheme="majorEastAsia" w:cstheme="majorBidi"/>
                <w:noProof/>
              </w:rPr>
              <w:t>VET workforce taxonomy and ANZSCO mapping</w:t>
            </w:r>
            <w:r w:rsidR="008A26D7">
              <w:rPr>
                <w:noProof/>
                <w:webHidden/>
              </w:rPr>
              <w:tab/>
            </w:r>
            <w:r w:rsidR="008A26D7">
              <w:rPr>
                <w:noProof/>
                <w:webHidden/>
              </w:rPr>
              <w:fldChar w:fldCharType="begin"/>
            </w:r>
            <w:r w:rsidR="008A26D7">
              <w:rPr>
                <w:noProof/>
                <w:webHidden/>
              </w:rPr>
              <w:instrText xml:space="preserve"> PAGEREF _Toc176770998 \h </w:instrText>
            </w:r>
            <w:r w:rsidR="008A26D7">
              <w:rPr>
                <w:noProof/>
                <w:webHidden/>
              </w:rPr>
            </w:r>
            <w:r w:rsidR="008A26D7">
              <w:rPr>
                <w:noProof/>
                <w:webHidden/>
              </w:rPr>
              <w:fldChar w:fldCharType="separate"/>
            </w:r>
            <w:r w:rsidR="008A26D7">
              <w:rPr>
                <w:noProof/>
                <w:webHidden/>
              </w:rPr>
              <w:t>135</w:t>
            </w:r>
            <w:r w:rsidR="008A26D7">
              <w:rPr>
                <w:noProof/>
                <w:webHidden/>
              </w:rPr>
              <w:fldChar w:fldCharType="end"/>
            </w:r>
          </w:hyperlink>
        </w:p>
        <w:p w14:paraId="1174F612" w14:textId="2629C104" w:rsidR="008A26D7" w:rsidRDefault="006730A7">
          <w:pPr>
            <w:pStyle w:val="TOC1"/>
            <w:tabs>
              <w:tab w:val="left" w:pos="1680"/>
            </w:tabs>
            <w:rPr>
              <w:rFonts w:asciiTheme="minorHAnsi" w:eastAsiaTheme="minorEastAsia" w:hAnsiTheme="minorHAnsi"/>
              <w:b w:val="0"/>
              <w:noProof/>
              <w:color w:val="auto"/>
              <w:kern w:val="2"/>
              <w:sz w:val="24"/>
              <w:szCs w:val="24"/>
              <w:lang w:eastAsia="en-AU"/>
              <w14:ligatures w14:val="standardContextual"/>
            </w:rPr>
          </w:pPr>
          <w:hyperlink w:anchor="_Toc176770999" w:history="1">
            <w:r w:rsidR="008A26D7" w:rsidRPr="006A5852">
              <w:rPr>
                <w:rStyle w:val="Hyperlink"/>
                <w:rFonts w:eastAsiaTheme="majorEastAsia" w:cstheme="majorBidi"/>
                <w:noProof/>
              </w:rPr>
              <w:t>Appendix B:</w:t>
            </w:r>
            <w:r w:rsidR="008A26D7">
              <w:rPr>
                <w:rFonts w:asciiTheme="minorHAnsi" w:eastAsiaTheme="minorEastAsia" w:hAnsiTheme="minorHAnsi"/>
                <w:b w:val="0"/>
                <w:noProof/>
                <w:color w:val="auto"/>
                <w:kern w:val="2"/>
                <w:sz w:val="24"/>
                <w:szCs w:val="24"/>
                <w:lang w:eastAsia="en-AU"/>
                <w14:ligatures w14:val="standardContextual"/>
              </w:rPr>
              <w:t xml:space="preserve"> </w:t>
            </w:r>
            <w:r w:rsidR="008A26D7" w:rsidRPr="006A5852">
              <w:rPr>
                <w:rStyle w:val="Hyperlink"/>
                <w:rFonts w:eastAsiaTheme="majorEastAsia" w:cstheme="majorBidi"/>
                <w:noProof/>
              </w:rPr>
              <w:t>TAFE and Dual Sector Workforce Profiles</w:t>
            </w:r>
            <w:r w:rsidR="008A26D7">
              <w:rPr>
                <w:noProof/>
                <w:webHidden/>
              </w:rPr>
              <w:tab/>
            </w:r>
            <w:r w:rsidR="008A26D7">
              <w:rPr>
                <w:noProof/>
                <w:webHidden/>
              </w:rPr>
              <w:fldChar w:fldCharType="begin"/>
            </w:r>
            <w:r w:rsidR="008A26D7">
              <w:rPr>
                <w:noProof/>
                <w:webHidden/>
              </w:rPr>
              <w:instrText xml:space="preserve"> PAGEREF _Toc176770999 \h </w:instrText>
            </w:r>
            <w:r w:rsidR="008A26D7">
              <w:rPr>
                <w:noProof/>
                <w:webHidden/>
              </w:rPr>
            </w:r>
            <w:r w:rsidR="008A26D7">
              <w:rPr>
                <w:noProof/>
                <w:webHidden/>
              </w:rPr>
              <w:fldChar w:fldCharType="separate"/>
            </w:r>
            <w:r w:rsidR="008A26D7">
              <w:rPr>
                <w:noProof/>
                <w:webHidden/>
              </w:rPr>
              <w:t>141</w:t>
            </w:r>
            <w:r w:rsidR="008A26D7">
              <w:rPr>
                <w:noProof/>
                <w:webHidden/>
              </w:rPr>
              <w:fldChar w:fldCharType="end"/>
            </w:r>
          </w:hyperlink>
        </w:p>
        <w:p w14:paraId="4F10D5B3" w14:textId="0ACC8E2A"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1000" w:history="1">
            <w:r w:rsidR="008A26D7" w:rsidRPr="006A5852">
              <w:rPr>
                <w:rStyle w:val="Hyperlink"/>
                <w:b/>
              </w:rPr>
              <w:t>TAFE Workforce Profile</w:t>
            </w:r>
            <w:r w:rsidR="008A26D7">
              <w:rPr>
                <w:webHidden/>
              </w:rPr>
              <w:tab/>
            </w:r>
            <w:r w:rsidR="008A26D7">
              <w:rPr>
                <w:webHidden/>
              </w:rPr>
              <w:fldChar w:fldCharType="begin"/>
            </w:r>
            <w:r w:rsidR="008A26D7">
              <w:rPr>
                <w:webHidden/>
              </w:rPr>
              <w:instrText xml:space="preserve"> PAGEREF _Toc176771000 \h </w:instrText>
            </w:r>
            <w:r w:rsidR="008A26D7">
              <w:rPr>
                <w:webHidden/>
              </w:rPr>
            </w:r>
            <w:r w:rsidR="008A26D7">
              <w:rPr>
                <w:webHidden/>
              </w:rPr>
              <w:fldChar w:fldCharType="separate"/>
            </w:r>
            <w:r w:rsidR="008A26D7">
              <w:rPr>
                <w:webHidden/>
              </w:rPr>
              <w:t>141</w:t>
            </w:r>
            <w:r w:rsidR="008A26D7">
              <w:rPr>
                <w:webHidden/>
              </w:rPr>
              <w:fldChar w:fldCharType="end"/>
            </w:r>
          </w:hyperlink>
        </w:p>
        <w:p w14:paraId="53E3009A" w14:textId="45379E1D" w:rsidR="008A26D7" w:rsidRDefault="006730A7">
          <w:pPr>
            <w:pStyle w:val="TOC2"/>
            <w:rPr>
              <w:rFonts w:asciiTheme="minorHAnsi" w:eastAsiaTheme="minorEastAsia" w:hAnsiTheme="minorHAnsi" w:cstheme="minorBidi"/>
              <w:color w:val="auto"/>
              <w:spacing w:val="0"/>
              <w:kern w:val="2"/>
              <w:sz w:val="24"/>
              <w:szCs w:val="24"/>
              <w:lang w:val="en-AU" w:eastAsia="en-AU"/>
              <w14:ligatures w14:val="standardContextual"/>
            </w:rPr>
          </w:pPr>
          <w:hyperlink w:anchor="_Toc176771001" w:history="1">
            <w:r w:rsidR="008A26D7" w:rsidRPr="006A5852">
              <w:rPr>
                <w:rStyle w:val="Hyperlink"/>
                <w:b/>
              </w:rPr>
              <w:t>The Dual Sector VET Workforce</w:t>
            </w:r>
            <w:r w:rsidR="008A26D7">
              <w:rPr>
                <w:webHidden/>
              </w:rPr>
              <w:tab/>
            </w:r>
            <w:r w:rsidR="008A26D7">
              <w:rPr>
                <w:webHidden/>
              </w:rPr>
              <w:fldChar w:fldCharType="begin"/>
            </w:r>
            <w:r w:rsidR="008A26D7">
              <w:rPr>
                <w:webHidden/>
              </w:rPr>
              <w:instrText xml:space="preserve"> PAGEREF _Toc176771001 \h </w:instrText>
            </w:r>
            <w:r w:rsidR="008A26D7">
              <w:rPr>
                <w:webHidden/>
              </w:rPr>
            </w:r>
            <w:r w:rsidR="008A26D7">
              <w:rPr>
                <w:webHidden/>
              </w:rPr>
              <w:fldChar w:fldCharType="separate"/>
            </w:r>
            <w:r w:rsidR="008A26D7">
              <w:rPr>
                <w:webHidden/>
              </w:rPr>
              <w:t>147</w:t>
            </w:r>
            <w:r w:rsidR="008A26D7">
              <w:rPr>
                <w:webHidden/>
              </w:rPr>
              <w:fldChar w:fldCharType="end"/>
            </w:r>
          </w:hyperlink>
        </w:p>
        <w:p w14:paraId="469B0636" w14:textId="4B419F56" w:rsidR="008A26D7" w:rsidRDefault="006730A7">
          <w:pPr>
            <w:pStyle w:val="TOC1"/>
            <w:rPr>
              <w:rFonts w:asciiTheme="minorHAnsi" w:eastAsiaTheme="minorEastAsia" w:hAnsiTheme="minorHAnsi"/>
              <w:b w:val="0"/>
              <w:noProof/>
              <w:color w:val="auto"/>
              <w:kern w:val="2"/>
              <w:sz w:val="24"/>
              <w:szCs w:val="24"/>
              <w:lang w:eastAsia="en-AU"/>
              <w14:ligatures w14:val="standardContextual"/>
            </w:rPr>
          </w:pPr>
          <w:hyperlink w:anchor="_Toc176771002" w:history="1">
            <w:r w:rsidR="008A26D7" w:rsidRPr="006A5852">
              <w:rPr>
                <w:rStyle w:val="Hyperlink"/>
                <w:noProof/>
              </w:rPr>
              <w:t>References</w:t>
            </w:r>
            <w:r w:rsidR="008A26D7">
              <w:rPr>
                <w:noProof/>
                <w:webHidden/>
              </w:rPr>
              <w:tab/>
            </w:r>
            <w:r w:rsidR="008A26D7">
              <w:rPr>
                <w:noProof/>
                <w:webHidden/>
              </w:rPr>
              <w:fldChar w:fldCharType="begin"/>
            </w:r>
            <w:r w:rsidR="008A26D7">
              <w:rPr>
                <w:noProof/>
                <w:webHidden/>
              </w:rPr>
              <w:instrText xml:space="preserve"> PAGEREF _Toc176771002 \h </w:instrText>
            </w:r>
            <w:r w:rsidR="008A26D7">
              <w:rPr>
                <w:noProof/>
                <w:webHidden/>
              </w:rPr>
            </w:r>
            <w:r w:rsidR="008A26D7">
              <w:rPr>
                <w:noProof/>
                <w:webHidden/>
              </w:rPr>
              <w:fldChar w:fldCharType="separate"/>
            </w:r>
            <w:r w:rsidR="008A26D7">
              <w:rPr>
                <w:noProof/>
                <w:webHidden/>
              </w:rPr>
              <w:t>149</w:t>
            </w:r>
            <w:r w:rsidR="008A26D7">
              <w:rPr>
                <w:noProof/>
                <w:webHidden/>
              </w:rPr>
              <w:fldChar w:fldCharType="end"/>
            </w:r>
          </w:hyperlink>
        </w:p>
        <w:p w14:paraId="6E71FDD8" w14:textId="614C5467" w:rsidR="00D227F5" w:rsidRDefault="00E12A8F" w:rsidP="009F7F8E">
          <w:pPr>
            <w:pStyle w:val="TOC1"/>
            <w:rPr>
              <w:rStyle w:val="Hyperlink"/>
              <w:noProof/>
              <w:spacing w:val="6"/>
              <w:kern w:val="2"/>
              <w:lang w:eastAsia="en-AU"/>
              <w14:ligatures w14:val="standardContextual"/>
            </w:rPr>
          </w:pPr>
          <w:r>
            <w:fldChar w:fldCharType="end"/>
          </w:r>
        </w:p>
      </w:sdtContent>
    </w:sdt>
    <w:p w14:paraId="2FFD07A3" w14:textId="219BF8AF" w:rsidR="5C3AAB13" w:rsidRDefault="14A7F277" w:rsidP="00715A3D">
      <w:pPr>
        <w:pStyle w:val="Heading1"/>
      </w:pPr>
      <w:bookmarkStart w:id="25" w:name="_Toc2056754021"/>
      <w:bookmarkStart w:id="26" w:name="_Toc176770972"/>
      <w:bookmarkEnd w:id="19"/>
      <w:r>
        <w:lastRenderedPageBreak/>
        <w:t>Glossary</w:t>
      </w:r>
      <w:bookmarkEnd w:id="25"/>
      <w:bookmarkEnd w:id="26"/>
    </w:p>
    <w:tbl>
      <w:tblPr>
        <w:tblStyle w:val="JSATable1"/>
        <w:tblW w:w="0" w:type="auto"/>
        <w:tblLayout w:type="fixed"/>
        <w:tblCellMar>
          <w:top w:w="0" w:type="dxa"/>
          <w:bottom w:w="0" w:type="dxa"/>
        </w:tblCellMar>
        <w:tblLook w:val="06A0" w:firstRow="1" w:lastRow="0" w:firstColumn="1" w:lastColumn="0" w:noHBand="1" w:noVBand="1"/>
      </w:tblPr>
      <w:tblGrid>
        <w:gridCol w:w="2127"/>
        <w:gridCol w:w="6917"/>
      </w:tblGrid>
      <w:tr w:rsidR="2D0AAF70" w14:paraId="52DEF39C" w14:textId="77777777" w:rsidTr="006B2A61">
        <w:trPr>
          <w:cnfStyle w:val="100000000000" w:firstRow="1" w:lastRow="0" w:firstColumn="0" w:lastColumn="0" w:oddVBand="0" w:evenVBand="0" w:oddHBand="0" w:evenHBand="0" w:firstRowFirstColumn="0" w:firstRowLastColumn="0" w:lastRowFirstColumn="0" w:lastRowLastColumn="0"/>
          <w:trHeight w:val="907"/>
          <w:tblHeader/>
        </w:trPr>
        <w:tc>
          <w:tcPr>
            <w:cnfStyle w:val="001000000100" w:firstRow="0" w:lastRow="0" w:firstColumn="1" w:lastColumn="0" w:oddVBand="0" w:evenVBand="0" w:oddHBand="0" w:evenHBand="0" w:firstRowFirstColumn="1" w:firstRowLastColumn="0" w:lastRowFirstColumn="0" w:lastRowLastColumn="0"/>
            <w:tcW w:w="2127" w:type="dxa"/>
            <w:tcBorders>
              <w:bottom w:val="nil"/>
            </w:tcBorders>
            <w:shd w:val="clear" w:color="auto" w:fill="441170" w:themeFill="text2"/>
          </w:tcPr>
          <w:p w14:paraId="081E21B3" w14:textId="7EFE1767" w:rsidR="2D0AAF70" w:rsidRDefault="2D0AAF70" w:rsidP="00017DC3">
            <w:pPr>
              <w:pStyle w:val="Tableheader"/>
              <w:spacing w:after="0"/>
              <w:jc w:val="left"/>
              <w:rPr>
                <w:lang w:val="en-GB"/>
              </w:rPr>
            </w:pPr>
            <w:r w:rsidRPr="2D0AAF70">
              <w:t xml:space="preserve">Abbreviation </w:t>
            </w:r>
          </w:p>
        </w:tc>
        <w:tc>
          <w:tcPr>
            <w:tcW w:w="6917" w:type="dxa"/>
            <w:tcBorders>
              <w:bottom w:val="nil"/>
            </w:tcBorders>
            <w:shd w:val="clear" w:color="auto" w:fill="441170" w:themeFill="text2"/>
          </w:tcPr>
          <w:p w14:paraId="3AA0CFE9" w14:textId="797D3E3F" w:rsidR="2D0AAF70" w:rsidRDefault="2D0AAF70" w:rsidP="00017DC3">
            <w:pPr>
              <w:pStyle w:val="Tableheader"/>
              <w:spacing w:after="0"/>
              <w:jc w:val="left"/>
              <w:cnfStyle w:val="100000000000" w:firstRow="1" w:lastRow="0" w:firstColumn="0" w:lastColumn="0" w:oddVBand="0" w:evenVBand="0" w:oddHBand="0" w:evenHBand="0" w:firstRowFirstColumn="0" w:firstRowLastColumn="0" w:lastRowFirstColumn="0" w:lastRowLastColumn="0"/>
              <w:rPr>
                <w:lang w:val="en-GB"/>
              </w:rPr>
            </w:pPr>
            <w:r w:rsidRPr="2D0AAF70">
              <w:t>What i</w:t>
            </w:r>
            <w:r w:rsidR="003B5EBF">
              <w:t>t</w:t>
            </w:r>
            <w:r w:rsidRPr="2D0AAF70">
              <w:t xml:space="preserve"> stands for </w:t>
            </w:r>
          </w:p>
        </w:tc>
      </w:tr>
      <w:tr w:rsidR="2D0AAF70" w14:paraId="744BEF20"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bottom w:val="single" w:sz="4" w:space="0" w:color="D9D9D9" w:themeColor="background1" w:themeShade="D9"/>
            </w:tcBorders>
            <w:vAlign w:val="center"/>
          </w:tcPr>
          <w:p w14:paraId="651F8BBC" w14:textId="015E3DA1"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ABS </w:t>
            </w:r>
          </w:p>
        </w:tc>
        <w:tc>
          <w:tcPr>
            <w:tcW w:w="6917" w:type="dxa"/>
            <w:tcBorders>
              <w:bottom w:val="single" w:sz="4" w:space="0" w:color="D9D9D9" w:themeColor="background1" w:themeShade="D9"/>
            </w:tcBorders>
            <w:vAlign w:val="center"/>
          </w:tcPr>
          <w:p w14:paraId="0DC7E9D0" w14:textId="7A7B61A5"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Australian Bureau of Statistics </w:t>
            </w:r>
          </w:p>
        </w:tc>
      </w:tr>
      <w:tr w:rsidR="2D0AAF70" w14:paraId="2A1578EF"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5614B051" w14:textId="44C0B3F6"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ACDE </w:t>
            </w:r>
          </w:p>
        </w:tc>
        <w:tc>
          <w:tcPr>
            <w:tcW w:w="6917" w:type="dxa"/>
            <w:tcBorders>
              <w:top w:val="single" w:sz="4" w:space="0" w:color="D9D9D9" w:themeColor="background1" w:themeShade="D9"/>
              <w:bottom w:val="single" w:sz="4" w:space="0" w:color="D9D9D9" w:themeColor="background1" w:themeShade="D9"/>
            </w:tcBorders>
            <w:vAlign w:val="center"/>
          </w:tcPr>
          <w:p w14:paraId="7CF5E43F" w14:textId="72CD3048"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Australian Council of Deans of Education </w:t>
            </w:r>
          </w:p>
        </w:tc>
      </w:tr>
      <w:tr w:rsidR="2D0AAF70" w14:paraId="31BEE31B"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71053385" w14:textId="1D2D2D2F"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ACDEVEG  </w:t>
            </w:r>
          </w:p>
        </w:tc>
        <w:tc>
          <w:tcPr>
            <w:tcW w:w="6917" w:type="dxa"/>
            <w:tcBorders>
              <w:top w:val="single" w:sz="4" w:space="0" w:color="D9D9D9" w:themeColor="background1" w:themeShade="D9"/>
              <w:bottom w:val="single" w:sz="4" w:space="0" w:color="D9D9D9" w:themeColor="background1" w:themeShade="D9"/>
            </w:tcBorders>
            <w:vAlign w:val="center"/>
          </w:tcPr>
          <w:p w14:paraId="0102F1AA" w14:textId="3F7E6857"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ACDE Vocational Education Group </w:t>
            </w:r>
          </w:p>
        </w:tc>
      </w:tr>
      <w:tr w:rsidR="2D0AAF70" w14:paraId="6D9C8096"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6C025098" w14:textId="0DDDDCB4"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ACE </w:t>
            </w:r>
          </w:p>
        </w:tc>
        <w:tc>
          <w:tcPr>
            <w:tcW w:w="6917" w:type="dxa"/>
            <w:tcBorders>
              <w:top w:val="single" w:sz="4" w:space="0" w:color="D9D9D9" w:themeColor="background1" w:themeShade="D9"/>
              <w:bottom w:val="single" w:sz="4" w:space="0" w:color="D9D9D9" w:themeColor="background1" w:themeShade="D9"/>
            </w:tcBorders>
            <w:vAlign w:val="center"/>
          </w:tcPr>
          <w:p w14:paraId="5D630E16" w14:textId="5D5B0787"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Adult and Community Education </w:t>
            </w:r>
          </w:p>
        </w:tc>
      </w:tr>
      <w:tr w:rsidR="2D0AAF70" w14:paraId="0BFC20BD"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20E6553C" w14:textId="05209386"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AEU </w:t>
            </w:r>
          </w:p>
        </w:tc>
        <w:tc>
          <w:tcPr>
            <w:tcW w:w="6917" w:type="dxa"/>
            <w:tcBorders>
              <w:top w:val="single" w:sz="4" w:space="0" w:color="D9D9D9" w:themeColor="background1" w:themeShade="D9"/>
              <w:bottom w:val="single" w:sz="4" w:space="0" w:color="D9D9D9" w:themeColor="background1" w:themeShade="D9"/>
            </w:tcBorders>
            <w:vAlign w:val="center"/>
          </w:tcPr>
          <w:p w14:paraId="05CF55F9" w14:textId="6195D830"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Australian Education Union </w:t>
            </w:r>
          </w:p>
        </w:tc>
      </w:tr>
      <w:tr w:rsidR="00B04136" w14:paraId="52DD2A42"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318D2F50" w14:textId="5D7C06FA" w:rsidR="00B04136" w:rsidRPr="00017DC3" w:rsidRDefault="00B04136" w:rsidP="00353037">
            <w:pPr>
              <w:pStyle w:val="Bodycopy"/>
              <w:spacing w:after="0" w:line="240" w:lineRule="auto"/>
              <w:rPr>
                <w:rFonts w:asciiTheme="minorHAnsi" w:hAnsiTheme="minorHAnsi" w:cstheme="minorHAnsi"/>
              </w:rPr>
            </w:pPr>
            <w:r w:rsidRPr="00017DC3">
              <w:rPr>
                <w:rFonts w:asciiTheme="minorHAnsi" w:hAnsiTheme="minorHAnsi" w:cstheme="minorHAnsi"/>
              </w:rPr>
              <w:t>AHPRA</w:t>
            </w:r>
          </w:p>
        </w:tc>
        <w:tc>
          <w:tcPr>
            <w:tcW w:w="6917" w:type="dxa"/>
            <w:tcBorders>
              <w:top w:val="single" w:sz="4" w:space="0" w:color="D9D9D9" w:themeColor="background1" w:themeShade="D9"/>
              <w:bottom w:val="single" w:sz="4" w:space="0" w:color="D9D9D9" w:themeColor="background1" w:themeShade="D9"/>
            </w:tcBorders>
            <w:vAlign w:val="center"/>
          </w:tcPr>
          <w:p w14:paraId="105CCACF" w14:textId="09AB15A0" w:rsidR="00B04136" w:rsidRPr="00017DC3" w:rsidRDefault="00B04136"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Australian Health Practitioner Regulation Agency</w:t>
            </w:r>
          </w:p>
        </w:tc>
      </w:tr>
      <w:tr w:rsidR="2D0AAF70" w14:paraId="4F545577"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3AB67201" w14:textId="76DC00CF"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ANZSCO </w:t>
            </w:r>
          </w:p>
        </w:tc>
        <w:tc>
          <w:tcPr>
            <w:tcW w:w="6917" w:type="dxa"/>
            <w:tcBorders>
              <w:top w:val="single" w:sz="4" w:space="0" w:color="D9D9D9" w:themeColor="background1" w:themeShade="D9"/>
              <w:bottom w:val="single" w:sz="4" w:space="0" w:color="D9D9D9" w:themeColor="background1" w:themeShade="D9"/>
            </w:tcBorders>
            <w:vAlign w:val="center"/>
          </w:tcPr>
          <w:p w14:paraId="34FB72D0" w14:textId="35045D35"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Australian and New Zealand Standard Classification of Occupations </w:t>
            </w:r>
          </w:p>
        </w:tc>
      </w:tr>
      <w:tr w:rsidR="2D0AAF70" w14:paraId="53EF913E"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694FD488" w14:textId="21E32C26"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ANZSIC </w:t>
            </w:r>
          </w:p>
        </w:tc>
        <w:tc>
          <w:tcPr>
            <w:tcW w:w="6917" w:type="dxa"/>
            <w:tcBorders>
              <w:top w:val="single" w:sz="4" w:space="0" w:color="D9D9D9" w:themeColor="background1" w:themeShade="D9"/>
              <w:bottom w:val="single" w:sz="4" w:space="0" w:color="D9D9D9" w:themeColor="background1" w:themeShade="D9"/>
            </w:tcBorders>
            <w:vAlign w:val="center"/>
          </w:tcPr>
          <w:p w14:paraId="76CF3D50" w14:textId="4CDAE12A"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Australian and New Zealand Standard Industrial Classification </w:t>
            </w:r>
          </w:p>
        </w:tc>
      </w:tr>
      <w:tr w:rsidR="2D0AAF70" w14:paraId="1748B18E"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5173BA36" w14:textId="00BDA46D"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AQF </w:t>
            </w:r>
          </w:p>
        </w:tc>
        <w:tc>
          <w:tcPr>
            <w:tcW w:w="6917" w:type="dxa"/>
            <w:tcBorders>
              <w:top w:val="single" w:sz="4" w:space="0" w:color="D9D9D9" w:themeColor="background1" w:themeShade="D9"/>
              <w:bottom w:val="single" w:sz="4" w:space="0" w:color="D9D9D9" w:themeColor="background1" w:themeShade="D9"/>
            </w:tcBorders>
            <w:vAlign w:val="center"/>
          </w:tcPr>
          <w:p w14:paraId="11B79F00" w14:textId="5D316810"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Australian Qualifications Framework </w:t>
            </w:r>
          </w:p>
        </w:tc>
      </w:tr>
      <w:tr w:rsidR="2D0AAF70" w14:paraId="7C2DD925"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2C3416F8" w14:textId="14178419"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ASQA </w:t>
            </w:r>
          </w:p>
        </w:tc>
        <w:tc>
          <w:tcPr>
            <w:tcW w:w="6917" w:type="dxa"/>
            <w:tcBorders>
              <w:top w:val="single" w:sz="4" w:space="0" w:color="D9D9D9" w:themeColor="background1" w:themeShade="D9"/>
              <w:bottom w:val="single" w:sz="4" w:space="0" w:color="D9D9D9" w:themeColor="background1" w:themeShade="D9"/>
            </w:tcBorders>
            <w:vAlign w:val="center"/>
          </w:tcPr>
          <w:p w14:paraId="342EC6B4" w14:textId="1F5A2745"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Australian Skills Quality Authority </w:t>
            </w:r>
          </w:p>
        </w:tc>
      </w:tr>
      <w:tr w:rsidR="2D0AAF70" w14:paraId="49DB457B"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71D43874" w14:textId="49F7C303"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ATAR </w:t>
            </w:r>
          </w:p>
        </w:tc>
        <w:tc>
          <w:tcPr>
            <w:tcW w:w="6917" w:type="dxa"/>
            <w:tcBorders>
              <w:top w:val="single" w:sz="4" w:space="0" w:color="D9D9D9" w:themeColor="background1" w:themeShade="D9"/>
              <w:bottom w:val="single" w:sz="4" w:space="0" w:color="D9D9D9" w:themeColor="background1" w:themeShade="D9"/>
            </w:tcBorders>
            <w:vAlign w:val="center"/>
          </w:tcPr>
          <w:p w14:paraId="39AE4CA3" w14:textId="34F0B778"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Australian Tertiary Admission Rank </w:t>
            </w:r>
          </w:p>
        </w:tc>
      </w:tr>
      <w:tr w:rsidR="2D0AAF70" w14:paraId="42DAFEDF" w14:textId="77777777" w:rsidTr="00353037">
        <w:trPr>
          <w:trHeight w:val="62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7332EAA0" w14:textId="70443C91"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AVETMISS </w:t>
            </w:r>
          </w:p>
        </w:tc>
        <w:tc>
          <w:tcPr>
            <w:tcW w:w="6917" w:type="dxa"/>
            <w:tcBorders>
              <w:top w:val="single" w:sz="4" w:space="0" w:color="D9D9D9" w:themeColor="background1" w:themeShade="D9"/>
              <w:bottom w:val="single" w:sz="4" w:space="0" w:color="D9D9D9" w:themeColor="background1" w:themeShade="D9"/>
            </w:tcBorders>
            <w:vAlign w:val="center"/>
          </w:tcPr>
          <w:p w14:paraId="5721E120" w14:textId="00465CA5"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Australian Vocational Education and </w:t>
            </w:r>
            <w:r w:rsidR="00D44877">
              <w:rPr>
                <w:rFonts w:asciiTheme="minorHAnsi" w:hAnsiTheme="minorHAnsi" w:cstheme="minorHAnsi"/>
              </w:rPr>
              <w:br/>
            </w:r>
            <w:r w:rsidRPr="00017DC3">
              <w:rPr>
                <w:rFonts w:asciiTheme="minorHAnsi" w:hAnsiTheme="minorHAnsi" w:cstheme="minorHAnsi"/>
              </w:rPr>
              <w:t xml:space="preserve">Training Management Information Statistical Standard </w:t>
            </w:r>
          </w:p>
        </w:tc>
      </w:tr>
      <w:tr w:rsidR="2D0AAF70" w14:paraId="0E2F3BC6"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422A3FAD" w14:textId="5C8B9831"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COE </w:t>
            </w:r>
          </w:p>
        </w:tc>
        <w:tc>
          <w:tcPr>
            <w:tcW w:w="6917" w:type="dxa"/>
            <w:tcBorders>
              <w:top w:val="single" w:sz="4" w:space="0" w:color="D9D9D9" w:themeColor="background1" w:themeShade="D9"/>
              <w:bottom w:val="single" w:sz="4" w:space="0" w:color="D9D9D9" w:themeColor="background1" w:themeShade="D9"/>
            </w:tcBorders>
            <w:vAlign w:val="center"/>
          </w:tcPr>
          <w:p w14:paraId="0CEC5CEA" w14:textId="4D5BFEB1"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Characteristics of Employment </w:t>
            </w:r>
          </w:p>
        </w:tc>
      </w:tr>
      <w:tr w:rsidR="2D0AAF70" w14:paraId="18A52145"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30ABF55E" w14:textId="4CCB9A85"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CPR </w:t>
            </w:r>
          </w:p>
        </w:tc>
        <w:tc>
          <w:tcPr>
            <w:tcW w:w="6917" w:type="dxa"/>
            <w:tcBorders>
              <w:top w:val="single" w:sz="4" w:space="0" w:color="D9D9D9" w:themeColor="background1" w:themeShade="D9"/>
              <w:bottom w:val="single" w:sz="4" w:space="0" w:color="D9D9D9" w:themeColor="background1" w:themeShade="D9"/>
            </w:tcBorders>
            <w:vAlign w:val="center"/>
          </w:tcPr>
          <w:p w14:paraId="2026A216" w14:textId="77B8CA55"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Cardiopulmonary </w:t>
            </w:r>
            <w:r w:rsidR="00E532B0" w:rsidRPr="00017DC3">
              <w:rPr>
                <w:rFonts w:asciiTheme="minorHAnsi" w:hAnsiTheme="minorHAnsi" w:cstheme="minorHAnsi"/>
              </w:rPr>
              <w:t>R</w:t>
            </w:r>
            <w:r w:rsidRPr="00017DC3">
              <w:rPr>
                <w:rFonts w:asciiTheme="minorHAnsi" w:hAnsiTheme="minorHAnsi" w:cstheme="minorHAnsi"/>
              </w:rPr>
              <w:t xml:space="preserve">esuscitation </w:t>
            </w:r>
          </w:p>
        </w:tc>
      </w:tr>
      <w:tr w:rsidR="2D0AAF70" w14:paraId="435AB7A0"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78662701" w14:textId="3DE2B41B"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DEWR </w:t>
            </w:r>
          </w:p>
        </w:tc>
        <w:tc>
          <w:tcPr>
            <w:tcW w:w="6917" w:type="dxa"/>
            <w:tcBorders>
              <w:top w:val="single" w:sz="4" w:space="0" w:color="D9D9D9" w:themeColor="background1" w:themeShade="D9"/>
              <w:bottom w:val="single" w:sz="4" w:space="0" w:color="D9D9D9" w:themeColor="background1" w:themeShade="D9"/>
            </w:tcBorders>
            <w:vAlign w:val="center"/>
          </w:tcPr>
          <w:p w14:paraId="1716AA2F" w14:textId="46F0C9E8"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Department of Employment and Workplace Relations </w:t>
            </w:r>
          </w:p>
        </w:tc>
      </w:tr>
      <w:tr w:rsidR="2D0AAF70" w14:paraId="36B2F593"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2B22521B" w14:textId="6FC8BECE"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ELICOS </w:t>
            </w:r>
          </w:p>
        </w:tc>
        <w:tc>
          <w:tcPr>
            <w:tcW w:w="6917" w:type="dxa"/>
            <w:tcBorders>
              <w:top w:val="single" w:sz="4" w:space="0" w:color="D9D9D9" w:themeColor="background1" w:themeShade="D9"/>
              <w:bottom w:val="single" w:sz="4" w:space="0" w:color="D9D9D9" w:themeColor="background1" w:themeShade="D9"/>
            </w:tcBorders>
            <w:vAlign w:val="center"/>
          </w:tcPr>
          <w:p w14:paraId="156F3AD4" w14:textId="184927F1"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English Language Intensive Courses for Overseas Students </w:t>
            </w:r>
          </w:p>
        </w:tc>
      </w:tr>
      <w:tr w:rsidR="2D0AAF70" w14:paraId="1D43837B"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412BBF62" w14:textId="1E993D2B"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ELT </w:t>
            </w:r>
          </w:p>
        </w:tc>
        <w:tc>
          <w:tcPr>
            <w:tcW w:w="6917" w:type="dxa"/>
            <w:tcBorders>
              <w:top w:val="single" w:sz="4" w:space="0" w:color="D9D9D9" w:themeColor="background1" w:themeShade="D9"/>
              <w:bottom w:val="single" w:sz="4" w:space="0" w:color="D9D9D9" w:themeColor="background1" w:themeShade="D9"/>
            </w:tcBorders>
            <w:vAlign w:val="center"/>
          </w:tcPr>
          <w:p w14:paraId="17CED353" w14:textId="19CFE2F0"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English Language Teaching or English Language Testing</w:t>
            </w:r>
          </w:p>
        </w:tc>
      </w:tr>
      <w:tr w:rsidR="2D0AAF70" w14:paraId="75AA2885"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2DB54C97" w14:textId="519565ED"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FSK</w:t>
            </w:r>
          </w:p>
        </w:tc>
        <w:tc>
          <w:tcPr>
            <w:tcW w:w="6917" w:type="dxa"/>
            <w:tcBorders>
              <w:top w:val="single" w:sz="4" w:space="0" w:color="D9D9D9" w:themeColor="background1" w:themeShade="D9"/>
              <w:bottom w:val="single" w:sz="4" w:space="0" w:color="D9D9D9" w:themeColor="background1" w:themeShade="D9"/>
            </w:tcBorders>
            <w:vAlign w:val="center"/>
          </w:tcPr>
          <w:p w14:paraId="3239994F" w14:textId="2D16AC4B"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Foundation Skills Training Package</w:t>
            </w:r>
          </w:p>
        </w:tc>
      </w:tr>
      <w:tr w:rsidR="2D0AAF70" w14:paraId="4CFECA49"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5D9F9636" w14:textId="3710797B"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FTE </w:t>
            </w:r>
          </w:p>
        </w:tc>
        <w:tc>
          <w:tcPr>
            <w:tcW w:w="6917" w:type="dxa"/>
            <w:tcBorders>
              <w:top w:val="single" w:sz="4" w:space="0" w:color="D9D9D9" w:themeColor="background1" w:themeShade="D9"/>
              <w:bottom w:val="single" w:sz="4" w:space="0" w:color="D9D9D9" w:themeColor="background1" w:themeShade="D9"/>
            </w:tcBorders>
            <w:vAlign w:val="center"/>
          </w:tcPr>
          <w:p w14:paraId="2A42574A" w14:textId="274EC4B5"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Full-time equivalent </w:t>
            </w:r>
          </w:p>
        </w:tc>
      </w:tr>
      <w:tr w:rsidR="2D0AAF70" w14:paraId="79E7980C"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68924050" w14:textId="3061806D"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IBSA </w:t>
            </w:r>
          </w:p>
        </w:tc>
        <w:tc>
          <w:tcPr>
            <w:tcW w:w="6917" w:type="dxa"/>
            <w:tcBorders>
              <w:top w:val="single" w:sz="4" w:space="0" w:color="D9D9D9" w:themeColor="background1" w:themeShade="D9"/>
              <w:bottom w:val="single" w:sz="4" w:space="0" w:color="D9D9D9" w:themeColor="background1" w:themeShade="D9"/>
            </w:tcBorders>
            <w:vAlign w:val="center"/>
          </w:tcPr>
          <w:p w14:paraId="3C39469C" w14:textId="6B2A98DD"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Innovation and Business Skills Australia </w:t>
            </w:r>
          </w:p>
        </w:tc>
      </w:tr>
      <w:tr w:rsidR="2D0AAF70" w14:paraId="77C4EF95"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640B6A72" w14:textId="2148E17B"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IELTS </w:t>
            </w:r>
          </w:p>
        </w:tc>
        <w:tc>
          <w:tcPr>
            <w:tcW w:w="6917" w:type="dxa"/>
            <w:tcBorders>
              <w:top w:val="single" w:sz="4" w:space="0" w:color="D9D9D9" w:themeColor="background1" w:themeShade="D9"/>
              <w:bottom w:val="single" w:sz="4" w:space="0" w:color="D9D9D9" w:themeColor="background1" w:themeShade="D9"/>
            </w:tcBorders>
            <w:vAlign w:val="center"/>
          </w:tcPr>
          <w:p w14:paraId="4D090C74" w14:textId="26B04A5A"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International English Language Testing System </w:t>
            </w:r>
          </w:p>
        </w:tc>
      </w:tr>
      <w:tr w:rsidR="2D0AAF70" w14:paraId="6994D835"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0FF38B99" w14:textId="23D35659"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IEU </w:t>
            </w:r>
          </w:p>
        </w:tc>
        <w:tc>
          <w:tcPr>
            <w:tcW w:w="6917" w:type="dxa"/>
            <w:tcBorders>
              <w:top w:val="single" w:sz="4" w:space="0" w:color="D9D9D9" w:themeColor="background1" w:themeShade="D9"/>
              <w:bottom w:val="single" w:sz="4" w:space="0" w:color="D9D9D9" w:themeColor="background1" w:themeShade="D9"/>
            </w:tcBorders>
            <w:vAlign w:val="center"/>
          </w:tcPr>
          <w:p w14:paraId="49AA9D9A" w14:textId="5B80D7F2"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Independent Education Union </w:t>
            </w:r>
          </w:p>
        </w:tc>
      </w:tr>
      <w:tr w:rsidR="2D0AAF70" w14:paraId="1F159952"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40A980FB" w14:textId="34F68EA5"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IVI </w:t>
            </w:r>
          </w:p>
        </w:tc>
        <w:tc>
          <w:tcPr>
            <w:tcW w:w="6917" w:type="dxa"/>
            <w:tcBorders>
              <w:top w:val="single" w:sz="4" w:space="0" w:color="D9D9D9" w:themeColor="background1" w:themeShade="D9"/>
              <w:bottom w:val="single" w:sz="4" w:space="0" w:color="D9D9D9" w:themeColor="background1" w:themeShade="D9"/>
            </w:tcBorders>
            <w:vAlign w:val="center"/>
          </w:tcPr>
          <w:p w14:paraId="35AFF402" w14:textId="0E87D543"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Internet Vacancy Index </w:t>
            </w:r>
          </w:p>
        </w:tc>
      </w:tr>
      <w:tr w:rsidR="2D0AAF70" w14:paraId="72849B49"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4AABD948" w14:textId="5544EFBD"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JSA </w:t>
            </w:r>
          </w:p>
        </w:tc>
        <w:tc>
          <w:tcPr>
            <w:tcW w:w="6917" w:type="dxa"/>
            <w:tcBorders>
              <w:top w:val="single" w:sz="4" w:space="0" w:color="D9D9D9" w:themeColor="background1" w:themeShade="D9"/>
              <w:bottom w:val="single" w:sz="4" w:space="0" w:color="D9D9D9" w:themeColor="background1" w:themeShade="D9"/>
            </w:tcBorders>
            <w:vAlign w:val="center"/>
          </w:tcPr>
          <w:p w14:paraId="663704DD" w14:textId="3843383A"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Jobs and Skills Australia  </w:t>
            </w:r>
          </w:p>
        </w:tc>
      </w:tr>
      <w:tr w:rsidR="2D0AAF70" w14:paraId="5248C70B"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3C5FD08E" w14:textId="1DA2B1F7"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JSC </w:t>
            </w:r>
          </w:p>
        </w:tc>
        <w:tc>
          <w:tcPr>
            <w:tcW w:w="6917" w:type="dxa"/>
            <w:tcBorders>
              <w:top w:val="single" w:sz="4" w:space="0" w:color="D9D9D9" w:themeColor="background1" w:themeShade="D9"/>
              <w:bottom w:val="single" w:sz="4" w:space="0" w:color="D9D9D9" w:themeColor="background1" w:themeShade="D9"/>
            </w:tcBorders>
            <w:vAlign w:val="center"/>
          </w:tcPr>
          <w:p w14:paraId="23930FA8" w14:textId="7E2D1814"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Jobs and Skills Council </w:t>
            </w:r>
          </w:p>
        </w:tc>
      </w:tr>
      <w:tr w:rsidR="2D0AAF70" w14:paraId="68823CAB"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319E4BFD" w14:textId="2D5C6D0C"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lastRenderedPageBreak/>
              <w:t xml:space="preserve">LLN </w:t>
            </w:r>
          </w:p>
        </w:tc>
        <w:tc>
          <w:tcPr>
            <w:tcW w:w="6917" w:type="dxa"/>
            <w:tcBorders>
              <w:top w:val="single" w:sz="4" w:space="0" w:color="D9D9D9" w:themeColor="background1" w:themeShade="D9"/>
              <w:bottom w:val="single" w:sz="4" w:space="0" w:color="D9D9D9" w:themeColor="background1" w:themeShade="D9"/>
            </w:tcBorders>
            <w:vAlign w:val="center"/>
          </w:tcPr>
          <w:p w14:paraId="55524DCB" w14:textId="1C0A7E89"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Language, Literacy and Numeracy </w:t>
            </w:r>
          </w:p>
        </w:tc>
      </w:tr>
      <w:tr w:rsidR="2D0AAF70" w14:paraId="411C69F0"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5B10773E" w14:textId="30BE2EF1"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LOTE </w:t>
            </w:r>
          </w:p>
        </w:tc>
        <w:tc>
          <w:tcPr>
            <w:tcW w:w="6917" w:type="dxa"/>
            <w:tcBorders>
              <w:top w:val="single" w:sz="4" w:space="0" w:color="D9D9D9" w:themeColor="background1" w:themeShade="D9"/>
              <w:bottom w:val="single" w:sz="4" w:space="0" w:color="D9D9D9" w:themeColor="background1" w:themeShade="D9"/>
            </w:tcBorders>
            <w:vAlign w:val="center"/>
          </w:tcPr>
          <w:p w14:paraId="38A9B7AC" w14:textId="3D5F6029"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Languages Other Than English </w:t>
            </w:r>
          </w:p>
        </w:tc>
      </w:tr>
      <w:tr w:rsidR="2D0AAF70" w14:paraId="38254628"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0496B5F6" w14:textId="7B128E71"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NCVER </w:t>
            </w:r>
          </w:p>
        </w:tc>
        <w:tc>
          <w:tcPr>
            <w:tcW w:w="6917" w:type="dxa"/>
            <w:tcBorders>
              <w:top w:val="single" w:sz="4" w:space="0" w:color="D9D9D9" w:themeColor="background1" w:themeShade="D9"/>
              <w:bottom w:val="single" w:sz="4" w:space="0" w:color="D9D9D9" w:themeColor="background1" w:themeShade="D9"/>
            </w:tcBorders>
            <w:vAlign w:val="center"/>
          </w:tcPr>
          <w:p w14:paraId="3360504E" w14:textId="3B4E4CDC"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National Centre for Vocational Education Research </w:t>
            </w:r>
          </w:p>
        </w:tc>
      </w:tr>
      <w:tr w:rsidR="2D0AAF70" w14:paraId="4AB935C9"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75ABF9EF" w14:textId="6C9D3446"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NEAS </w:t>
            </w:r>
          </w:p>
        </w:tc>
        <w:tc>
          <w:tcPr>
            <w:tcW w:w="6917" w:type="dxa"/>
            <w:tcBorders>
              <w:top w:val="single" w:sz="4" w:space="0" w:color="D9D9D9" w:themeColor="background1" w:themeShade="D9"/>
              <w:bottom w:val="single" w:sz="4" w:space="0" w:color="D9D9D9" w:themeColor="background1" w:themeShade="D9"/>
            </w:tcBorders>
            <w:vAlign w:val="center"/>
          </w:tcPr>
          <w:p w14:paraId="2A8A0FA4" w14:textId="58342609"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National E</w:t>
            </w:r>
            <w:r w:rsidR="00EA64C6">
              <w:rPr>
                <w:rFonts w:asciiTheme="minorHAnsi" w:hAnsiTheme="minorHAnsi" w:cstheme="minorHAnsi"/>
              </w:rPr>
              <w:t xml:space="preserve">xecutive Leadership Team </w:t>
            </w:r>
            <w:r w:rsidRPr="00017DC3">
              <w:rPr>
                <w:rFonts w:asciiTheme="minorHAnsi" w:hAnsiTheme="minorHAnsi" w:cstheme="minorHAnsi"/>
              </w:rPr>
              <w:t xml:space="preserve">Accreditation Scheme  </w:t>
            </w:r>
          </w:p>
        </w:tc>
      </w:tr>
      <w:tr w:rsidR="00B04136" w14:paraId="16D8FB37"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4F8A93AA" w14:textId="21DBFBA6" w:rsidR="00B04136" w:rsidRPr="00017DC3" w:rsidRDefault="00B04136" w:rsidP="00353037">
            <w:pPr>
              <w:pStyle w:val="Bodycopy"/>
              <w:spacing w:after="0" w:line="240" w:lineRule="auto"/>
              <w:rPr>
                <w:rFonts w:asciiTheme="minorHAnsi" w:hAnsiTheme="minorHAnsi" w:cstheme="minorHAnsi"/>
              </w:rPr>
            </w:pPr>
            <w:r w:rsidRPr="00017DC3">
              <w:rPr>
                <w:rFonts w:asciiTheme="minorHAnsi" w:hAnsiTheme="minorHAnsi" w:cstheme="minorHAnsi"/>
              </w:rPr>
              <w:t>NFD</w:t>
            </w:r>
          </w:p>
        </w:tc>
        <w:tc>
          <w:tcPr>
            <w:tcW w:w="6917" w:type="dxa"/>
            <w:tcBorders>
              <w:top w:val="single" w:sz="4" w:space="0" w:color="D9D9D9" w:themeColor="background1" w:themeShade="D9"/>
              <w:bottom w:val="single" w:sz="4" w:space="0" w:color="D9D9D9" w:themeColor="background1" w:themeShade="D9"/>
            </w:tcBorders>
            <w:vAlign w:val="center"/>
          </w:tcPr>
          <w:p w14:paraId="124FB4D5" w14:textId="54BF6508" w:rsidR="00B04136" w:rsidRPr="00017DC3" w:rsidRDefault="00B04136"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Not Further Defined</w:t>
            </w:r>
          </w:p>
        </w:tc>
      </w:tr>
      <w:tr w:rsidR="2D0AAF70" w14:paraId="1D6C5CCF"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7FABEAFD" w14:textId="412A45B3"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NSA </w:t>
            </w:r>
          </w:p>
        </w:tc>
        <w:tc>
          <w:tcPr>
            <w:tcW w:w="6917" w:type="dxa"/>
            <w:tcBorders>
              <w:top w:val="single" w:sz="4" w:space="0" w:color="D9D9D9" w:themeColor="background1" w:themeShade="D9"/>
              <w:bottom w:val="single" w:sz="4" w:space="0" w:color="D9D9D9" w:themeColor="background1" w:themeShade="D9"/>
            </w:tcBorders>
            <w:vAlign w:val="center"/>
          </w:tcPr>
          <w:p w14:paraId="7B73489D" w14:textId="6A9955A4"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National Skills Agreement </w:t>
            </w:r>
          </w:p>
        </w:tc>
      </w:tr>
      <w:tr w:rsidR="009F796B" w14:paraId="64B2DD5C"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25EB3374" w14:textId="0E0C23FF" w:rsidR="009F796B" w:rsidRPr="00017DC3" w:rsidRDefault="009F796B" w:rsidP="00353037">
            <w:pPr>
              <w:pStyle w:val="Bodycopy"/>
              <w:spacing w:after="0" w:line="240" w:lineRule="auto"/>
              <w:rPr>
                <w:rFonts w:asciiTheme="minorHAnsi" w:hAnsiTheme="minorHAnsi" w:cstheme="minorHAnsi"/>
              </w:rPr>
            </w:pPr>
            <w:r>
              <w:rPr>
                <w:rFonts w:asciiTheme="minorHAnsi" w:hAnsiTheme="minorHAnsi" w:cstheme="minorHAnsi"/>
              </w:rPr>
              <w:t>PLIDA</w:t>
            </w:r>
          </w:p>
        </w:tc>
        <w:tc>
          <w:tcPr>
            <w:tcW w:w="6917" w:type="dxa"/>
            <w:tcBorders>
              <w:top w:val="single" w:sz="4" w:space="0" w:color="D9D9D9" w:themeColor="background1" w:themeShade="D9"/>
              <w:bottom w:val="single" w:sz="4" w:space="0" w:color="D9D9D9" w:themeColor="background1" w:themeShade="D9"/>
            </w:tcBorders>
            <w:vAlign w:val="center"/>
          </w:tcPr>
          <w:p w14:paraId="4B21A48F" w14:textId="56A2F4A0" w:rsidR="009F796B" w:rsidRPr="00017DC3" w:rsidRDefault="009F796B"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2762C9">
              <w:t>Person Level Integrated Data Asset</w:t>
            </w:r>
          </w:p>
        </w:tc>
      </w:tr>
      <w:tr w:rsidR="2D0AAF70" w14:paraId="3AE8DF7F"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1FB42E99" w14:textId="74B9D435"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RTO </w:t>
            </w:r>
          </w:p>
        </w:tc>
        <w:tc>
          <w:tcPr>
            <w:tcW w:w="6917" w:type="dxa"/>
            <w:tcBorders>
              <w:top w:val="single" w:sz="4" w:space="0" w:color="D9D9D9" w:themeColor="background1" w:themeShade="D9"/>
              <w:bottom w:val="single" w:sz="4" w:space="0" w:color="D9D9D9" w:themeColor="background1" w:themeShade="D9"/>
            </w:tcBorders>
            <w:vAlign w:val="center"/>
          </w:tcPr>
          <w:p w14:paraId="6F96AE50" w14:textId="675D0135"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Registered Training Organisation </w:t>
            </w:r>
          </w:p>
        </w:tc>
      </w:tr>
      <w:tr w:rsidR="2D0AAF70" w14:paraId="0BEDD268"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51F58FB7" w14:textId="79A5434B"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SERA </w:t>
            </w:r>
          </w:p>
        </w:tc>
        <w:tc>
          <w:tcPr>
            <w:tcW w:w="6917" w:type="dxa"/>
            <w:tcBorders>
              <w:top w:val="single" w:sz="4" w:space="0" w:color="D9D9D9" w:themeColor="background1" w:themeShade="D9"/>
              <w:bottom w:val="single" w:sz="4" w:space="0" w:color="D9D9D9" w:themeColor="background1" w:themeShade="D9"/>
            </w:tcBorders>
            <w:vAlign w:val="center"/>
          </w:tcPr>
          <w:p w14:paraId="6B863FDA" w14:textId="346FDB81"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Survey of Employers who have Recently Advertised </w:t>
            </w:r>
          </w:p>
        </w:tc>
      </w:tr>
      <w:tr w:rsidR="2D0AAF70" w14:paraId="3AE107F4"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45A188BD" w14:textId="04479F04"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SOS </w:t>
            </w:r>
          </w:p>
        </w:tc>
        <w:tc>
          <w:tcPr>
            <w:tcW w:w="6917" w:type="dxa"/>
            <w:tcBorders>
              <w:top w:val="single" w:sz="4" w:space="0" w:color="D9D9D9" w:themeColor="background1" w:themeShade="D9"/>
              <w:bottom w:val="single" w:sz="4" w:space="0" w:color="D9D9D9" w:themeColor="background1" w:themeShade="D9"/>
            </w:tcBorders>
            <w:vAlign w:val="center"/>
          </w:tcPr>
          <w:p w14:paraId="1C2EC780" w14:textId="7AD37483"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Student Outcomes Survey </w:t>
            </w:r>
          </w:p>
        </w:tc>
      </w:tr>
      <w:tr w:rsidR="00E532B0" w14:paraId="4BEA3AC2"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170DD90B" w14:textId="3C19ADFE" w:rsidR="00E532B0" w:rsidRPr="00017DC3" w:rsidRDefault="00E532B0" w:rsidP="00353037">
            <w:pPr>
              <w:pStyle w:val="Bodycopy"/>
              <w:spacing w:after="0" w:line="240" w:lineRule="auto"/>
              <w:rPr>
                <w:rFonts w:asciiTheme="minorHAnsi" w:hAnsiTheme="minorHAnsi" w:cstheme="minorHAnsi"/>
              </w:rPr>
            </w:pPr>
            <w:r w:rsidRPr="00017DC3">
              <w:rPr>
                <w:rFonts w:asciiTheme="minorHAnsi" w:hAnsiTheme="minorHAnsi" w:cstheme="minorHAnsi"/>
              </w:rPr>
              <w:t>TAC</w:t>
            </w:r>
          </w:p>
        </w:tc>
        <w:tc>
          <w:tcPr>
            <w:tcW w:w="6917" w:type="dxa"/>
            <w:tcBorders>
              <w:top w:val="single" w:sz="4" w:space="0" w:color="D9D9D9" w:themeColor="background1" w:themeShade="D9"/>
              <w:bottom w:val="single" w:sz="4" w:space="0" w:color="D9D9D9" w:themeColor="background1" w:themeShade="D9"/>
            </w:tcBorders>
            <w:vAlign w:val="center"/>
          </w:tcPr>
          <w:p w14:paraId="094C3718" w14:textId="75DD1453" w:rsidR="00E532B0" w:rsidRPr="00017DC3" w:rsidRDefault="00E532B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Training Accreditation Council</w:t>
            </w:r>
          </w:p>
        </w:tc>
      </w:tr>
      <w:tr w:rsidR="2D0AAF70" w14:paraId="194FD138"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6C9BD066" w14:textId="1F63B621"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TAE  </w:t>
            </w:r>
          </w:p>
        </w:tc>
        <w:tc>
          <w:tcPr>
            <w:tcW w:w="6917" w:type="dxa"/>
            <w:tcBorders>
              <w:top w:val="single" w:sz="4" w:space="0" w:color="D9D9D9" w:themeColor="background1" w:themeShade="D9"/>
              <w:bottom w:val="single" w:sz="4" w:space="0" w:color="D9D9D9" w:themeColor="background1" w:themeShade="D9"/>
            </w:tcBorders>
            <w:vAlign w:val="center"/>
          </w:tcPr>
          <w:p w14:paraId="0C8761B7" w14:textId="16BF734B"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Training and Education </w:t>
            </w:r>
            <w:r w:rsidR="008F4CEC" w:rsidRPr="00017DC3">
              <w:rPr>
                <w:rFonts w:asciiTheme="minorHAnsi" w:hAnsiTheme="minorHAnsi" w:cstheme="minorHAnsi"/>
              </w:rPr>
              <w:t>Training Package</w:t>
            </w:r>
          </w:p>
        </w:tc>
      </w:tr>
      <w:tr w:rsidR="2D0AAF70" w14:paraId="4340DF71"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6A9D7B9D" w14:textId="7ABC5EF3"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TAFE </w:t>
            </w:r>
          </w:p>
        </w:tc>
        <w:tc>
          <w:tcPr>
            <w:tcW w:w="6917" w:type="dxa"/>
            <w:tcBorders>
              <w:top w:val="single" w:sz="4" w:space="0" w:color="D9D9D9" w:themeColor="background1" w:themeShade="D9"/>
              <w:bottom w:val="single" w:sz="4" w:space="0" w:color="D9D9D9" w:themeColor="background1" w:themeShade="D9"/>
            </w:tcBorders>
            <w:vAlign w:val="center"/>
          </w:tcPr>
          <w:p w14:paraId="075ABD1E" w14:textId="6213BF11"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Technical and Further Education </w:t>
            </w:r>
          </w:p>
        </w:tc>
      </w:tr>
      <w:tr w:rsidR="2D0AAF70" w14:paraId="4DEA50D4"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3653FCE8" w14:textId="548504E7"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TESOL </w:t>
            </w:r>
          </w:p>
        </w:tc>
        <w:tc>
          <w:tcPr>
            <w:tcW w:w="6917" w:type="dxa"/>
            <w:tcBorders>
              <w:top w:val="single" w:sz="4" w:space="0" w:color="D9D9D9" w:themeColor="background1" w:themeShade="D9"/>
              <w:bottom w:val="single" w:sz="4" w:space="0" w:color="D9D9D9" w:themeColor="background1" w:themeShade="D9"/>
            </w:tcBorders>
            <w:vAlign w:val="center"/>
          </w:tcPr>
          <w:p w14:paraId="246BF215" w14:textId="600095F5"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Teaching English to Speakers of Other Languages </w:t>
            </w:r>
          </w:p>
        </w:tc>
      </w:tr>
      <w:tr w:rsidR="2D0AAF70" w14:paraId="1190DECF"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12B616A3" w14:textId="4D3E6BD9"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TESQA </w:t>
            </w:r>
          </w:p>
        </w:tc>
        <w:tc>
          <w:tcPr>
            <w:tcW w:w="6917" w:type="dxa"/>
            <w:tcBorders>
              <w:top w:val="single" w:sz="4" w:space="0" w:color="D9D9D9" w:themeColor="background1" w:themeShade="D9"/>
              <w:bottom w:val="single" w:sz="4" w:space="0" w:color="D9D9D9" w:themeColor="background1" w:themeShade="D9"/>
            </w:tcBorders>
            <w:vAlign w:val="center"/>
          </w:tcPr>
          <w:p w14:paraId="59022A87" w14:textId="4F1B6CD4"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Tertiary Education Quality and Standards Agency </w:t>
            </w:r>
          </w:p>
        </w:tc>
      </w:tr>
      <w:tr w:rsidR="2D0AAF70" w14:paraId="303DE895"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6AE552BD" w14:textId="40F23749"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VET </w:t>
            </w:r>
          </w:p>
        </w:tc>
        <w:tc>
          <w:tcPr>
            <w:tcW w:w="6917" w:type="dxa"/>
            <w:tcBorders>
              <w:top w:val="single" w:sz="4" w:space="0" w:color="D9D9D9" w:themeColor="background1" w:themeShade="D9"/>
              <w:bottom w:val="single" w:sz="4" w:space="0" w:color="D9D9D9" w:themeColor="background1" w:themeShade="D9"/>
            </w:tcBorders>
            <w:vAlign w:val="center"/>
          </w:tcPr>
          <w:p w14:paraId="676B1F19" w14:textId="1280CA54"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Vocational Education and Training </w:t>
            </w:r>
          </w:p>
        </w:tc>
      </w:tr>
      <w:tr w:rsidR="2D0AAF70" w14:paraId="17BE1E18"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588C5820" w14:textId="430BC02A" w:rsidR="2D0AAF70" w:rsidRPr="00017DC3" w:rsidRDefault="2D0AAF70" w:rsidP="00353037">
            <w:pPr>
              <w:pStyle w:val="Bodycopy"/>
              <w:spacing w:after="0" w:line="240" w:lineRule="auto"/>
              <w:rPr>
                <w:rFonts w:asciiTheme="minorHAnsi" w:hAnsiTheme="minorHAnsi" w:cstheme="minorHAnsi"/>
              </w:rPr>
            </w:pPr>
            <w:r w:rsidRPr="00017DC3">
              <w:rPr>
                <w:rFonts w:asciiTheme="minorHAnsi" w:hAnsiTheme="minorHAnsi" w:cstheme="minorHAnsi"/>
              </w:rPr>
              <w:t xml:space="preserve">VNDA </w:t>
            </w:r>
          </w:p>
        </w:tc>
        <w:tc>
          <w:tcPr>
            <w:tcW w:w="6917" w:type="dxa"/>
            <w:tcBorders>
              <w:top w:val="single" w:sz="4" w:space="0" w:color="D9D9D9" w:themeColor="background1" w:themeShade="D9"/>
              <w:bottom w:val="single" w:sz="4" w:space="0" w:color="D9D9D9" w:themeColor="background1" w:themeShade="D9"/>
            </w:tcBorders>
            <w:vAlign w:val="center"/>
          </w:tcPr>
          <w:p w14:paraId="5681A4FD" w14:textId="353D4804" w:rsidR="2D0AAF70" w:rsidRPr="00017DC3" w:rsidRDefault="2D0AAF70"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 xml:space="preserve">VET National Data Asset </w:t>
            </w:r>
          </w:p>
        </w:tc>
      </w:tr>
      <w:tr w:rsidR="0001785D" w14:paraId="1DF516CF" w14:textId="77777777" w:rsidTr="00353037">
        <w:trPr>
          <w:trHeight w:val="454"/>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9D9D9" w:themeColor="background1" w:themeShade="D9"/>
              <w:bottom w:val="single" w:sz="4" w:space="0" w:color="D9D9D9" w:themeColor="background1" w:themeShade="D9"/>
            </w:tcBorders>
            <w:vAlign w:val="center"/>
          </w:tcPr>
          <w:p w14:paraId="6EEE202C" w14:textId="4177B52C" w:rsidR="0001785D" w:rsidRPr="00017DC3" w:rsidRDefault="0001785D" w:rsidP="00353037">
            <w:pPr>
              <w:pStyle w:val="Bodycopy"/>
              <w:spacing w:after="0" w:line="240" w:lineRule="auto"/>
              <w:rPr>
                <w:rFonts w:asciiTheme="minorHAnsi" w:hAnsiTheme="minorHAnsi" w:cstheme="minorHAnsi"/>
              </w:rPr>
            </w:pPr>
            <w:r w:rsidRPr="00017DC3">
              <w:rPr>
                <w:rFonts w:asciiTheme="minorHAnsi" w:hAnsiTheme="minorHAnsi" w:cstheme="minorHAnsi"/>
              </w:rPr>
              <w:t>VRQA</w:t>
            </w:r>
          </w:p>
        </w:tc>
        <w:tc>
          <w:tcPr>
            <w:tcW w:w="6917" w:type="dxa"/>
            <w:tcBorders>
              <w:top w:val="single" w:sz="4" w:space="0" w:color="D9D9D9" w:themeColor="background1" w:themeShade="D9"/>
              <w:bottom w:val="single" w:sz="4" w:space="0" w:color="D9D9D9" w:themeColor="background1" w:themeShade="D9"/>
            </w:tcBorders>
            <w:vAlign w:val="center"/>
          </w:tcPr>
          <w:p w14:paraId="4055283A" w14:textId="0D3C925D" w:rsidR="0001785D" w:rsidRPr="00017DC3" w:rsidRDefault="0001785D" w:rsidP="00353037">
            <w:pPr>
              <w:pStyle w:val="Bodycopy"/>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17DC3">
              <w:rPr>
                <w:rFonts w:asciiTheme="minorHAnsi" w:hAnsiTheme="minorHAnsi" w:cstheme="minorHAnsi"/>
              </w:rPr>
              <w:t>Victorian Registration and Qualifications Authority</w:t>
            </w:r>
          </w:p>
        </w:tc>
      </w:tr>
    </w:tbl>
    <w:p w14:paraId="22551B71" w14:textId="08DBB58B" w:rsidR="004E2FCF" w:rsidRDefault="004E2FCF" w:rsidP="2D0AAF70">
      <w:pPr>
        <w:spacing w:before="120" w:after="120" w:line="240" w:lineRule="auto"/>
        <w:rPr>
          <w:rFonts w:eastAsia="Arial" w:cs="Arial"/>
          <w:lang w:val="en-GB"/>
        </w:rPr>
      </w:pPr>
    </w:p>
    <w:p w14:paraId="55E68DD3" w14:textId="11EF483E" w:rsidR="2D0AAF70" w:rsidRPr="00377F75" w:rsidRDefault="004E2FCF" w:rsidP="005142C6">
      <w:pPr>
        <w:pStyle w:val="Footer"/>
        <w:rPr>
          <w:color w:val="auto"/>
          <w:lang w:val="en-GB"/>
        </w:rPr>
      </w:pPr>
      <w:r w:rsidRPr="00377F75">
        <w:rPr>
          <w:color w:val="auto"/>
          <w:lang w:val="en-GB"/>
        </w:rPr>
        <w:br w:type="page"/>
      </w:r>
    </w:p>
    <w:p w14:paraId="2377024E" w14:textId="2822B381" w:rsidR="00A50D9B" w:rsidRDefault="32258A55" w:rsidP="00386955">
      <w:pPr>
        <w:pStyle w:val="Heading1"/>
        <w:numPr>
          <w:ilvl w:val="0"/>
          <w:numId w:val="5"/>
        </w:numPr>
      </w:pPr>
      <w:bookmarkStart w:id="27" w:name="_Toc1336722804"/>
      <w:bookmarkStart w:id="28" w:name="_Toc1380070322"/>
      <w:bookmarkStart w:id="29" w:name="_Toc176770973"/>
      <w:r>
        <w:lastRenderedPageBreak/>
        <w:t xml:space="preserve">The </w:t>
      </w:r>
      <w:r w:rsidR="6CD29047">
        <w:t>S</w:t>
      </w:r>
      <w:r>
        <w:t>tudy</w:t>
      </w:r>
      <w:bookmarkEnd w:id="27"/>
      <w:bookmarkEnd w:id="28"/>
      <w:bookmarkEnd w:id="29"/>
      <w:bookmarkEnd w:id="23"/>
      <w:bookmarkEnd w:id="22"/>
      <w:bookmarkEnd w:id="21"/>
      <w:bookmarkEnd w:id="20"/>
      <w:r>
        <w:t xml:space="preserve"> </w:t>
      </w:r>
      <w:bookmarkEnd w:id="24"/>
    </w:p>
    <w:p w14:paraId="2942AE84" w14:textId="1A900E08" w:rsidR="00B90812" w:rsidRPr="002762C9" w:rsidRDefault="00AB3072" w:rsidP="002762C9">
      <w:pPr>
        <w:pStyle w:val="Bodycopy"/>
      </w:pPr>
      <w:r w:rsidRPr="002762C9">
        <w:t xml:space="preserve">Many of the skills shortages across the country rely on the VET system and </w:t>
      </w:r>
      <w:r w:rsidR="00D42A62" w:rsidRPr="002762C9">
        <w:t xml:space="preserve">its dual </w:t>
      </w:r>
      <w:r w:rsidRPr="002762C9">
        <w:t>professional</w:t>
      </w:r>
      <w:r w:rsidR="00D42A62" w:rsidRPr="002762C9">
        <w:t xml:space="preserve"> workforce </w:t>
      </w:r>
      <w:r w:rsidRPr="002762C9">
        <w:t xml:space="preserve">to teach </w:t>
      </w:r>
      <w:r w:rsidR="00D42A62" w:rsidRPr="002762C9">
        <w:t xml:space="preserve">and train Australia’s future workers. </w:t>
      </w:r>
      <w:r w:rsidRPr="002762C9">
        <w:t>If we do</w:t>
      </w:r>
      <w:r w:rsidR="00A2382B" w:rsidRPr="002762C9">
        <w:t xml:space="preserve"> </w:t>
      </w:r>
      <w:r w:rsidRPr="002762C9">
        <w:t>n</w:t>
      </w:r>
      <w:r w:rsidR="00A2382B" w:rsidRPr="002762C9">
        <w:t>o</w:t>
      </w:r>
      <w:r w:rsidRPr="002762C9">
        <w:t>t secure a sustainable VET workforce for the future, we cannot fix skills shortages in the wider Australian economy.</w:t>
      </w:r>
      <w:r w:rsidR="00D219EE" w:rsidRPr="002762C9">
        <w:t xml:space="preserve"> </w:t>
      </w:r>
      <w:r w:rsidRPr="002762C9">
        <w:t>The purpose of this report is to highlight the extent of this</w:t>
      </w:r>
      <w:r w:rsidR="00D219EE" w:rsidRPr="002762C9">
        <w:t xml:space="preserve"> challenge</w:t>
      </w:r>
      <w:r w:rsidR="00CB3E7B" w:rsidRPr="002762C9">
        <w:t xml:space="preserve"> and</w:t>
      </w:r>
      <w:r w:rsidR="00E95B5B" w:rsidRPr="002762C9">
        <w:t xml:space="preserve"> </w:t>
      </w:r>
      <w:r w:rsidR="00EB646D" w:rsidRPr="002762C9">
        <w:t xml:space="preserve">offer the data and evidence </w:t>
      </w:r>
      <w:r w:rsidR="00CB3E7B" w:rsidRPr="002762C9">
        <w:t>to</w:t>
      </w:r>
      <w:r w:rsidR="00EB646D" w:rsidRPr="002762C9">
        <w:t xml:space="preserve"> </w:t>
      </w:r>
      <w:r w:rsidR="00D219EE" w:rsidRPr="002762C9">
        <w:t xml:space="preserve">inform the </w:t>
      </w:r>
      <w:r w:rsidR="00E95B5B" w:rsidRPr="006B77FE">
        <w:rPr>
          <w:i/>
          <w:iCs/>
        </w:rPr>
        <w:t>VET Workforce Blueprin</w:t>
      </w:r>
      <w:r w:rsidR="00EB646D" w:rsidRPr="006B77FE">
        <w:rPr>
          <w:i/>
          <w:iCs/>
        </w:rPr>
        <w:t>t</w:t>
      </w:r>
      <w:r w:rsidR="00CB3E7B" w:rsidRPr="002762C9">
        <w:t xml:space="preserve">. </w:t>
      </w:r>
      <w:r w:rsidR="00B90812" w:rsidRPr="002762C9">
        <w:t xml:space="preserve">Both </w:t>
      </w:r>
      <w:r w:rsidR="00A2382B" w:rsidRPr="002762C9">
        <w:t xml:space="preserve">this report and the Blueprint </w:t>
      </w:r>
      <w:r w:rsidR="00B90812" w:rsidRPr="002762C9">
        <w:t xml:space="preserve">aim to ensure the long-term sustainability of the VET sector by supporting and growing the quality and capability of the VET workforce. </w:t>
      </w:r>
    </w:p>
    <w:p w14:paraId="114E7107" w14:textId="23798FCA" w:rsidR="00B90812" w:rsidRPr="002762C9" w:rsidRDefault="4B9C7451" w:rsidP="002762C9">
      <w:pPr>
        <w:pStyle w:val="Bodycopy"/>
      </w:pPr>
      <w:r w:rsidRPr="002762C9">
        <w:t xml:space="preserve">In particular, </w:t>
      </w:r>
      <w:r w:rsidR="4052CE4E" w:rsidRPr="002762C9">
        <w:t>the VET Workforce</w:t>
      </w:r>
      <w:r w:rsidR="00954A19">
        <w:t xml:space="preserve"> </w:t>
      </w:r>
      <w:r w:rsidR="00A564D4">
        <w:t>s</w:t>
      </w:r>
      <w:r w:rsidR="4052CE4E" w:rsidRPr="002762C9">
        <w:t>tudy</w:t>
      </w:r>
      <w:r w:rsidR="03B80FF9" w:rsidRPr="002762C9">
        <w:t>’s</w:t>
      </w:r>
      <w:r w:rsidR="4052CE4E" w:rsidRPr="002762C9">
        <w:t xml:space="preserve"> </w:t>
      </w:r>
      <w:r w:rsidRPr="002762C9">
        <w:t xml:space="preserve">purpose is to profile the existing workforce data available, identify its limits and elucidate why consistent, regular workforce data collection is needed to ensure </w:t>
      </w:r>
      <w:r w:rsidR="00954A19">
        <w:t xml:space="preserve">an </w:t>
      </w:r>
      <w:r w:rsidRPr="002762C9">
        <w:t>effective workforce strategy for this crucial part of Australia</w:t>
      </w:r>
      <w:r w:rsidR="5BC10CD2" w:rsidRPr="002762C9">
        <w:t>’s</w:t>
      </w:r>
      <w:r w:rsidRPr="002762C9">
        <w:t xml:space="preserve"> skills system. Indeed, </w:t>
      </w:r>
      <w:r w:rsidR="00A2382B" w:rsidRPr="002762C9">
        <w:t xml:space="preserve">more regular and systematic </w:t>
      </w:r>
      <w:r w:rsidR="00894E20" w:rsidRPr="002762C9">
        <w:t xml:space="preserve">data collection on the VET workforce </w:t>
      </w:r>
      <w:r w:rsidRPr="002762C9">
        <w:t>is a recommendation of this report.</w:t>
      </w:r>
    </w:p>
    <w:p w14:paraId="2387DDAC" w14:textId="1AD6F207" w:rsidR="00AB37D4" w:rsidRPr="002762C9" w:rsidRDefault="001D7D92" w:rsidP="002762C9">
      <w:pPr>
        <w:pStyle w:val="Bodycopy"/>
      </w:pPr>
      <w:r w:rsidRPr="002762C9">
        <w:t>Profiling VET jobs and pathways in</w:t>
      </w:r>
      <w:r w:rsidR="003432D7" w:rsidRPr="002762C9">
        <w:t>to</w:t>
      </w:r>
      <w:r w:rsidRPr="002762C9">
        <w:t xml:space="preserve">, out </w:t>
      </w:r>
      <w:r w:rsidR="003432D7" w:rsidRPr="002762C9">
        <w:t xml:space="preserve">of, </w:t>
      </w:r>
      <w:r w:rsidRPr="002762C9">
        <w:t xml:space="preserve">and within the sector is also </w:t>
      </w:r>
      <w:r w:rsidR="00F65A28" w:rsidRPr="002762C9">
        <w:t xml:space="preserve">key to this overarching study purpose. This profiling </w:t>
      </w:r>
      <w:r w:rsidR="006F22C4" w:rsidRPr="002762C9">
        <w:t xml:space="preserve">offers a </w:t>
      </w:r>
      <w:r w:rsidRPr="002762C9">
        <w:t xml:space="preserve">more contemporary understanding of the current and </w:t>
      </w:r>
      <w:r w:rsidR="006F22C4" w:rsidRPr="002762C9">
        <w:t>emerging</w:t>
      </w:r>
      <w:r w:rsidRPr="002762C9">
        <w:t xml:space="preserve"> VET workforce </w:t>
      </w:r>
      <w:r w:rsidR="006F22C4" w:rsidRPr="002762C9">
        <w:t>roles</w:t>
      </w:r>
      <w:r w:rsidR="00613404" w:rsidRPr="002762C9">
        <w:t xml:space="preserve"> across </w:t>
      </w:r>
      <w:r w:rsidR="00F65A28" w:rsidRPr="002762C9">
        <w:t>a diverse and changing sector</w:t>
      </w:r>
      <w:r w:rsidR="00B90812" w:rsidRPr="002762C9">
        <w:t xml:space="preserve"> and contextualises these shifts </w:t>
      </w:r>
      <w:r w:rsidR="00AB37D4" w:rsidRPr="002762C9">
        <w:t xml:space="preserve">in current policy reform and industry practice. </w:t>
      </w:r>
    </w:p>
    <w:p w14:paraId="2BC179DD" w14:textId="679FA123" w:rsidR="00B90812" w:rsidRPr="002762C9" w:rsidRDefault="00B90812" w:rsidP="002762C9">
      <w:pPr>
        <w:pStyle w:val="Bodycopy"/>
      </w:pPr>
      <w:r w:rsidRPr="002762C9">
        <w:t xml:space="preserve">This chapter outlines the study’s purpose, scope and approach in detail. </w:t>
      </w:r>
      <w:r w:rsidR="00AB37D4" w:rsidRPr="002762C9">
        <w:t>The first section focuses on defining, measuring and categorising the VET workforce</w:t>
      </w:r>
      <w:r w:rsidR="04E16B47" w:rsidRPr="002762C9">
        <w:t>,</w:t>
      </w:r>
      <w:r w:rsidR="00AB37D4" w:rsidRPr="002762C9">
        <w:t xml:space="preserve"> noting that there is no current regular VET workforce data collection at the national level</w:t>
      </w:r>
      <w:r w:rsidR="6E1BF843" w:rsidRPr="002762C9">
        <w:t>,</w:t>
      </w:r>
      <w:r w:rsidR="00AB37D4" w:rsidRPr="002762C9">
        <w:t xml:space="preserve"> and that VET workforce estimates in recent years have varied. It introduces the most recent survey of the </w:t>
      </w:r>
      <w:r w:rsidR="00894E20" w:rsidRPr="002762C9">
        <w:t>VET</w:t>
      </w:r>
      <w:r w:rsidR="008019D1" w:rsidRPr="002762C9">
        <w:t xml:space="preserve"> </w:t>
      </w:r>
      <w:r w:rsidR="00AB37D4" w:rsidRPr="002762C9">
        <w:t xml:space="preserve">workforce – the NCVER 2019 survey – and discusses how ABS industry and occupational codes shape and limit VET workforce data collection. </w:t>
      </w:r>
    </w:p>
    <w:p w14:paraId="7289A153" w14:textId="77777777" w:rsidR="00142C5D" w:rsidRPr="002762C9" w:rsidRDefault="00B90812" w:rsidP="002762C9">
      <w:pPr>
        <w:pStyle w:val="Bodycopy"/>
      </w:pPr>
      <w:r w:rsidRPr="002762C9">
        <w:t xml:space="preserve">The second section </w:t>
      </w:r>
      <w:r w:rsidR="00AB37D4" w:rsidRPr="002762C9">
        <w:t>outline</w:t>
      </w:r>
      <w:r w:rsidRPr="002762C9">
        <w:t>s</w:t>
      </w:r>
      <w:r w:rsidR="00AB37D4" w:rsidRPr="002762C9">
        <w:t xml:space="preserve"> our approach </w:t>
      </w:r>
      <w:r w:rsidRPr="002762C9">
        <w:t>to profiling the VET workforce</w:t>
      </w:r>
      <w:r w:rsidR="2262CA09" w:rsidRPr="002762C9">
        <w:t>,</w:t>
      </w:r>
      <w:r w:rsidRPr="002762C9">
        <w:t xml:space="preserve"> </w:t>
      </w:r>
      <w:r w:rsidR="4F595216" w:rsidRPr="002762C9">
        <w:t>using</w:t>
      </w:r>
      <w:r w:rsidRPr="002762C9">
        <w:t xml:space="preserve"> a new VET workforce taxonomy that categorises the sector into six segments</w:t>
      </w:r>
      <w:r w:rsidR="3FD5EFB1" w:rsidRPr="002762C9">
        <w:t>,</w:t>
      </w:r>
      <w:r w:rsidRPr="002762C9">
        <w:t xml:space="preserve"> for a more nuanced understanding of existing workforce data</w:t>
      </w:r>
      <w:r w:rsidR="09D138A0" w:rsidRPr="002762C9">
        <w:t xml:space="preserve"> – mainly </w:t>
      </w:r>
      <w:r w:rsidR="002D1B98" w:rsidRPr="002762C9">
        <w:t>using the 2021 C</w:t>
      </w:r>
      <w:r w:rsidR="09D138A0" w:rsidRPr="002762C9">
        <w:t>ensus</w:t>
      </w:r>
      <w:r w:rsidRPr="002762C9">
        <w:t xml:space="preserve">. </w:t>
      </w:r>
      <w:r w:rsidR="25E56AAE" w:rsidRPr="002762C9">
        <w:t>We also draw on P</w:t>
      </w:r>
      <w:r w:rsidR="76060DE3" w:rsidRPr="002762C9">
        <w:t>erson Level Integrated Data Asset (PLIDA)</w:t>
      </w:r>
      <w:r w:rsidR="2A044CA6" w:rsidRPr="002762C9">
        <w:t xml:space="preserve"> data</w:t>
      </w:r>
      <w:r w:rsidR="76060DE3" w:rsidRPr="002762C9">
        <w:t xml:space="preserve"> from the ABS </w:t>
      </w:r>
      <w:r w:rsidR="7C5F9CA8" w:rsidRPr="002762C9">
        <w:t xml:space="preserve">to </w:t>
      </w:r>
      <w:r w:rsidR="0B36891F" w:rsidRPr="002762C9">
        <w:t xml:space="preserve">compare against Census data and again provide a more nuanced understanding of the VET workforce. </w:t>
      </w:r>
      <w:r w:rsidR="7C5F9CA8" w:rsidRPr="002762C9">
        <w:t>PLIDA data</w:t>
      </w:r>
      <w:r w:rsidR="76060DE3" w:rsidRPr="002762C9">
        <w:t xml:space="preserve"> combines information on Australian’s education, employment, health, income and demographic data</w:t>
      </w:r>
      <w:r w:rsidR="6736D5EE" w:rsidRPr="002762C9">
        <w:t xml:space="preserve">. </w:t>
      </w:r>
    </w:p>
    <w:p w14:paraId="6B58BA6E" w14:textId="0A794D36" w:rsidR="00142C5D" w:rsidRPr="002762C9" w:rsidRDefault="76060DE3" w:rsidP="002762C9">
      <w:pPr>
        <w:pStyle w:val="Bodycopy"/>
      </w:pPr>
      <w:r w:rsidRPr="002762C9">
        <w:t xml:space="preserve">For example, we use data on individuals’ </w:t>
      </w:r>
      <w:r w:rsidR="00A564D4">
        <w:t>i</w:t>
      </w:r>
      <w:r w:rsidRPr="002762C9">
        <w:t xml:space="preserve">ncome </w:t>
      </w:r>
      <w:r w:rsidR="00A564D4">
        <w:t>t</w:t>
      </w:r>
      <w:r w:rsidRPr="002762C9">
        <w:t xml:space="preserve">ax </w:t>
      </w:r>
      <w:r w:rsidR="00041252">
        <w:t>r</w:t>
      </w:r>
      <w:r w:rsidR="00041252" w:rsidRPr="002762C9">
        <w:t>eturns</w:t>
      </w:r>
      <w:r w:rsidRPr="002762C9">
        <w:t xml:space="preserve"> from the Australian Taxation Office </w:t>
      </w:r>
      <w:r w:rsidR="1CCF87CB" w:rsidRPr="002762C9">
        <w:t xml:space="preserve">in the decade from </w:t>
      </w:r>
      <w:r w:rsidRPr="002762C9">
        <w:t xml:space="preserve">2011/12 to offer a </w:t>
      </w:r>
      <w:r w:rsidR="679807D1" w:rsidRPr="002762C9">
        <w:t xml:space="preserve">VET </w:t>
      </w:r>
      <w:r w:rsidRPr="002762C9">
        <w:t>workforce count</w:t>
      </w:r>
      <w:r w:rsidR="1C83A720" w:rsidRPr="002762C9">
        <w:t xml:space="preserve"> and demographic insights. We also use VET national activity data in PLIDA to explore training to employment pathways and </w:t>
      </w:r>
      <w:r w:rsidR="002601E8" w:rsidRPr="002762C9">
        <w:t>movements</w:t>
      </w:r>
      <w:r w:rsidR="7C890CD7" w:rsidRPr="002762C9">
        <w:t xml:space="preserve"> between VET teaching and other occupations.</w:t>
      </w:r>
    </w:p>
    <w:p w14:paraId="37A76CB2" w14:textId="1F127D27" w:rsidR="00F74132" w:rsidRPr="002762C9" w:rsidRDefault="0070069E" w:rsidP="002762C9">
      <w:pPr>
        <w:pStyle w:val="Bodycopy"/>
      </w:pPr>
      <w:r w:rsidRPr="002762C9">
        <w:t>The third</w:t>
      </w:r>
      <w:r w:rsidR="3AE6A670" w:rsidRPr="002762C9">
        <w:t xml:space="preserve"> section of this introductory chapter</w:t>
      </w:r>
      <w:r w:rsidRPr="002762C9">
        <w:t xml:space="preserve"> introduces the </w:t>
      </w:r>
      <w:r w:rsidR="699F3DD1" w:rsidRPr="002762C9">
        <w:t>regulatory and market context of VET with a focus on</w:t>
      </w:r>
      <w:r w:rsidR="35B673AB" w:rsidRPr="002762C9">
        <w:t xml:space="preserve"> their</w:t>
      </w:r>
      <w:r w:rsidR="000E38F8" w:rsidRPr="002762C9">
        <w:t xml:space="preserve"> workforce implicatio</w:t>
      </w:r>
      <w:r w:rsidR="43EA6A5E" w:rsidRPr="002762C9">
        <w:t>ns</w:t>
      </w:r>
      <w:r w:rsidR="00361722" w:rsidRPr="002762C9">
        <w:t xml:space="preserve">. </w:t>
      </w:r>
      <w:r w:rsidR="00793136" w:rsidRPr="002762C9">
        <w:t>Lastly, this chapter outlines</w:t>
      </w:r>
      <w:r w:rsidR="008F75E2" w:rsidRPr="002762C9">
        <w:t xml:space="preserve"> the structure of the report</w:t>
      </w:r>
      <w:r w:rsidR="5B37102D" w:rsidRPr="002762C9">
        <w:t xml:space="preserve"> and summarises the key findings of the study</w:t>
      </w:r>
      <w:r w:rsidR="00793136" w:rsidRPr="002762C9">
        <w:t xml:space="preserve">. </w:t>
      </w:r>
      <w:r w:rsidR="005965B7" w:rsidRPr="002762C9">
        <w:t xml:space="preserve">Overall, this chapter offers answers to </w:t>
      </w:r>
      <w:r w:rsidR="009C26C3">
        <w:t xml:space="preserve">the five </w:t>
      </w:r>
      <w:r w:rsidR="005965B7" w:rsidRPr="002762C9">
        <w:t xml:space="preserve">foundation </w:t>
      </w:r>
      <w:r w:rsidR="0018401C" w:rsidRPr="002762C9">
        <w:t xml:space="preserve">questions </w:t>
      </w:r>
      <w:r w:rsidR="005965B7" w:rsidRPr="002762C9">
        <w:t>in the study:</w:t>
      </w:r>
    </w:p>
    <w:p w14:paraId="31D1DA7F" w14:textId="77777777" w:rsidR="00F74132" w:rsidRDefault="00F74132">
      <w:pPr>
        <w:rPr>
          <w:spacing w:val="6"/>
        </w:rPr>
      </w:pPr>
      <w:r>
        <w:br w:type="page"/>
      </w:r>
    </w:p>
    <w:p w14:paraId="1D7EE7F7" w14:textId="32D2EFEB" w:rsidR="00514C03" w:rsidRPr="00F74132" w:rsidRDefault="00793136" w:rsidP="00F74132">
      <w:pPr>
        <w:pStyle w:val="ListBullet"/>
      </w:pPr>
      <w:r w:rsidRPr="00F74132">
        <w:lastRenderedPageBreak/>
        <w:t>What</w:t>
      </w:r>
      <w:r w:rsidR="005965B7" w:rsidRPr="00F74132">
        <w:t xml:space="preserve"> VET</w:t>
      </w:r>
      <w:r w:rsidRPr="00F74132">
        <w:t xml:space="preserve"> workforce data </w:t>
      </w:r>
      <w:r w:rsidR="005965B7" w:rsidRPr="00F74132">
        <w:t xml:space="preserve">currently </w:t>
      </w:r>
      <w:r w:rsidRPr="00F74132">
        <w:t>exists</w:t>
      </w:r>
      <w:r w:rsidR="005965B7" w:rsidRPr="00F74132">
        <w:t xml:space="preserve"> and </w:t>
      </w:r>
      <w:r w:rsidR="00717212" w:rsidRPr="00F74132">
        <w:t xml:space="preserve">how reliable is it? </w:t>
      </w:r>
      <w:r w:rsidR="00514C03" w:rsidRPr="00F74132">
        <w:t xml:space="preserve"> </w:t>
      </w:r>
    </w:p>
    <w:p w14:paraId="51C74713" w14:textId="02BA4B4C" w:rsidR="00F62320" w:rsidRPr="00F74132" w:rsidRDefault="00F62320" w:rsidP="00F74132">
      <w:pPr>
        <w:pStyle w:val="ListBullet"/>
      </w:pPr>
      <w:r w:rsidRPr="00F74132">
        <w:t>How do we define the VET workforce and wha</w:t>
      </w:r>
      <w:r w:rsidR="00383DEA" w:rsidRPr="00F74132">
        <w:t xml:space="preserve">t job </w:t>
      </w:r>
      <w:r w:rsidR="2C8A18EA" w:rsidRPr="00F74132">
        <w:t xml:space="preserve">areas and specific roles </w:t>
      </w:r>
      <w:r w:rsidRPr="00F74132">
        <w:t xml:space="preserve">are common? </w:t>
      </w:r>
    </w:p>
    <w:p w14:paraId="00C87250" w14:textId="513AF4C8" w:rsidR="00F62320" w:rsidRPr="00F74132" w:rsidRDefault="00F62320" w:rsidP="00F74132">
      <w:pPr>
        <w:pStyle w:val="ListBullet"/>
      </w:pPr>
      <w:r w:rsidRPr="00F74132">
        <w:t xml:space="preserve">Are the occupational and industry classifications </w:t>
      </w:r>
      <w:r w:rsidR="008541AB" w:rsidRPr="00F74132">
        <w:t xml:space="preserve">used in </w:t>
      </w:r>
      <w:r w:rsidR="00383DEA" w:rsidRPr="00F74132">
        <w:t xml:space="preserve">current </w:t>
      </w:r>
      <w:r w:rsidR="008541AB" w:rsidRPr="00F74132">
        <w:t xml:space="preserve">data collection fit-for-purpose? </w:t>
      </w:r>
    </w:p>
    <w:p w14:paraId="2E5280C1" w14:textId="70A14F32" w:rsidR="008F75E2" w:rsidRPr="00F74132" w:rsidRDefault="00F30AEC" w:rsidP="00F74132">
      <w:pPr>
        <w:pStyle w:val="ListBullet"/>
      </w:pPr>
      <w:r w:rsidRPr="00F74132">
        <w:t xml:space="preserve">How is the VET workforce regulated </w:t>
      </w:r>
      <w:r w:rsidR="43648539" w:rsidRPr="00F74132">
        <w:t>and how does the market context impact the workforce</w:t>
      </w:r>
      <w:r w:rsidR="008541AB" w:rsidRPr="00F74132">
        <w:t xml:space="preserve">? </w:t>
      </w:r>
    </w:p>
    <w:p w14:paraId="35ACD5AF" w14:textId="325AD4DD" w:rsidR="7BE49D94" w:rsidRPr="003D3A28" w:rsidRDefault="7BE49D94" w:rsidP="00F74132">
      <w:pPr>
        <w:pStyle w:val="ListBullet"/>
      </w:pPr>
      <w:r w:rsidRPr="00F74132">
        <w:t>What are the study’s key findings?</w:t>
      </w:r>
      <w:r w:rsidRPr="003D3A28">
        <w:t xml:space="preserve"> </w:t>
      </w:r>
    </w:p>
    <w:p w14:paraId="2E222EBA" w14:textId="51D20D9E" w:rsidR="008F75E2" w:rsidRPr="00BD706A" w:rsidRDefault="32258A55" w:rsidP="00B90812">
      <w:pPr>
        <w:pStyle w:val="Heading2"/>
        <w:rPr>
          <w:rFonts w:eastAsia="Arial" w:cs="Arial"/>
          <w:sz w:val="22"/>
          <w:szCs w:val="22"/>
        </w:rPr>
      </w:pPr>
      <w:bookmarkStart w:id="30" w:name="_Toc1887193673"/>
      <w:bookmarkStart w:id="31" w:name="_Toc1719328894"/>
      <w:bookmarkStart w:id="32" w:name="_Toc591584831"/>
      <w:bookmarkStart w:id="33" w:name="_Toc1224952075"/>
      <w:bookmarkStart w:id="34" w:name="_Toc1666767892"/>
      <w:bookmarkStart w:id="35" w:name="_Toc176770974"/>
      <w:r>
        <w:t xml:space="preserve">Defining, </w:t>
      </w:r>
      <w:r w:rsidR="5F73BED3">
        <w:t>measuring,</w:t>
      </w:r>
      <w:r>
        <w:t xml:space="preserve"> and categorising the VET workforce</w:t>
      </w:r>
      <w:bookmarkEnd w:id="30"/>
      <w:bookmarkEnd w:id="31"/>
      <w:bookmarkEnd w:id="32"/>
      <w:bookmarkEnd w:id="33"/>
      <w:bookmarkEnd w:id="34"/>
      <w:bookmarkEnd w:id="35"/>
    </w:p>
    <w:p w14:paraId="6CE742DE" w14:textId="5BB18439" w:rsidR="0018401C" w:rsidRPr="00F74132" w:rsidRDefault="0018401C" w:rsidP="00F74132">
      <w:pPr>
        <w:pStyle w:val="Bodycopy"/>
        <w:rPr>
          <w:rStyle w:val="EndnoteReference"/>
          <w:vertAlign w:val="baseline"/>
        </w:rPr>
      </w:pPr>
      <w:r w:rsidRPr="00F74132" w:rsidDel="000D78E9">
        <w:t>There is no c</w:t>
      </w:r>
      <w:r w:rsidRPr="00F74132" w:rsidDel="004079BE">
        <w:t>urrent</w:t>
      </w:r>
      <w:r w:rsidR="008E1EC9" w:rsidDel="004079BE">
        <w:t xml:space="preserve">, </w:t>
      </w:r>
      <w:r w:rsidRPr="00F74132">
        <w:t xml:space="preserve">regular VET workforce data collection at the national level </w:t>
      </w:r>
      <w:r w:rsidRPr="00F74132" w:rsidDel="004079BE">
        <w:t xml:space="preserve">and </w:t>
      </w:r>
      <w:r w:rsidRPr="00F74132">
        <w:t xml:space="preserve">VET workforce estimates </w:t>
      </w:r>
      <w:r w:rsidR="00196F98">
        <w:t xml:space="preserve">across </w:t>
      </w:r>
      <w:r w:rsidR="0087581B">
        <w:t xml:space="preserve">recent </w:t>
      </w:r>
      <w:r w:rsidR="00196F98">
        <w:t>studies</w:t>
      </w:r>
      <w:r w:rsidRPr="00F74132">
        <w:t xml:space="preserve"> have varied</w:t>
      </w:r>
      <w:r w:rsidR="008F07F3">
        <w:t xml:space="preserve"> due to different definitions and methodologies</w:t>
      </w:r>
      <w:r w:rsidRPr="00F74132">
        <w:t>. In 2011 the Productivity Commission estimated the total VET workforce was 223,000 workers.</w:t>
      </w:r>
      <w:r w:rsidRPr="00F74132">
        <w:rPr>
          <w:rStyle w:val="EndnoteReference"/>
        </w:rPr>
        <w:endnoteReference w:id="2"/>
      </w:r>
      <w:r w:rsidRPr="00F74132">
        <w:t xml:space="preserve"> In 2019 the NCVER VET Workforce survey estimated a workforce of 246,000 workers with just over 71,000 teachers.</w:t>
      </w:r>
      <w:r w:rsidRPr="008E1EC9">
        <w:rPr>
          <w:rStyle w:val="EndnoteReference"/>
        </w:rPr>
        <w:endnoteReference w:id="3"/>
      </w:r>
      <w:r w:rsidRPr="00F74132">
        <w:t xml:space="preserve"> In contrast</w:t>
      </w:r>
      <w:r w:rsidR="008E1EC9">
        <w:t xml:space="preserve">, </w:t>
      </w:r>
      <w:r w:rsidRPr="00F74132">
        <w:t xml:space="preserve">2021 </w:t>
      </w:r>
      <w:r w:rsidR="00995FA5" w:rsidRPr="00F74132">
        <w:t>C</w:t>
      </w:r>
      <w:r w:rsidRPr="00F74132">
        <w:t>ensus indicate</w:t>
      </w:r>
      <w:r w:rsidR="6E58E3FC" w:rsidRPr="00F74132">
        <w:t>s</w:t>
      </w:r>
      <w:r w:rsidRPr="00F74132">
        <w:t xml:space="preserve"> that there </w:t>
      </w:r>
      <w:r w:rsidR="26E3186F" w:rsidRPr="00F74132">
        <w:t>are</w:t>
      </w:r>
      <w:r w:rsidRPr="00F74132">
        <w:t xml:space="preserve"> 58,000 workers in </w:t>
      </w:r>
      <w:r w:rsidR="4EF10B13" w:rsidRPr="00F74132">
        <w:t xml:space="preserve">the </w:t>
      </w:r>
      <w:r w:rsidRPr="00F74132">
        <w:t xml:space="preserve">Technical and Vocational Education and Training </w:t>
      </w:r>
      <w:r w:rsidR="6ACCF57B" w:rsidRPr="00F74132">
        <w:t xml:space="preserve">industry </w:t>
      </w:r>
      <w:r w:rsidRPr="00F74132">
        <w:t xml:space="preserve">and 32,000 </w:t>
      </w:r>
      <w:r w:rsidR="00CC6D50">
        <w:t>VET teachers</w:t>
      </w:r>
      <w:r w:rsidRPr="00F74132">
        <w:t xml:space="preserve"> across all industries. This study’s approach</w:t>
      </w:r>
      <w:r w:rsidR="004F2365">
        <w:t xml:space="preserve">, </w:t>
      </w:r>
      <w:r w:rsidR="1F705E14">
        <w:t>using</w:t>
      </w:r>
      <w:r w:rsidRPr="00F74132">
        <w:t xml:space="preserve"> </w:t>
      </w:r>
      <w:r w:rsidR="6733B69E" w:rsidRPr="00F74132">
        <w:t>C</w:t>
      </w:r>
      <w:r w:rsidRPr="00F74132">
        <w:t xml:space="preserve">ensus and other </w:t>
      </w:r>
      <w:r w:rsidR="491D5C2D" w:rsidRPr="00F74132">
        <w:t xml:space="preserve">PLIDA </w:t>
      </w:r>
      <w:r w:rsidRPr="00F74132">
        <w:t xml:space="preserve">data </w:t>
      </w:r>
      <w:r w:rsidR="06D41D4D" w:rsidRPr="00F74132">
        <w:t xml:space="preserve">does </w:t>
      </w:r>
      <w:r w:rsidR="53D9A717">
        <w:t>indicate</w:t>
      </w:r>
      <w:r w:rsidR="004C2856">
        <w:t xml:space="preserve"> </w:t>
      </w:r>
      <w:r w:rsidR="791CE194">
        <w:t>a</w:t>
      </w:r>
      <w:r w:rsidR="002661B9">
        <w:t xml:space="preserve"> larger</w:t>
      </w:r>
      <w:r w:rsidRPr="00F74132">
        <w:t xml:space="preserve"> </w:t>
      </w:r>
      <w:r w:rsidR="004032CC">
        <w:t xml:space="preserve">VET </w:t>
      </w:r>
      <w:r w:rsidRPr="00F74132">
        <w:t>workforce</w:t>
      </w:r>
      <w:r w:rsidR="6AF09695" w:rsidRPr="00F74132">
        <w:t xml:space="preserve"> at over 110,00</w:t>
      </w:r>
      <w:r w:rsidR="58FF2693" w:rsidRPr="00F74132">
        <w:t>0</w:t>
      </w:r>
      <w:r w:rsidR="0071CC5B" w:rsidRPr="00F74132">
        <w:t>.</w:t>
      </w:r>
      <w:r w:rsidR="00314768" w:rsidRPr="00314768">
        <w:rPr>
          <w:rStyle w:val="EndnoteReference"/>
        </w:rPr>
        <w:t xml:space="preserve"> </w:t>
      </w:r>
      <w:r w:rsidR="00314768" w:rsidRPr="00F74132">
        <w:rPr>
          <w:rStyle w:val="EndnoteReference"/>
        </w:rPr>
        <w:endnoteReference w:id="4"/>
      </w:r>
      <w:r w:rsidR="0071CC5B" w:rsidRPr="00F74132">
        <w:t xml:space="preserve"> U</w:t>
      </w:r>
      <w:r w:rsidR="58FF2693" w:rsidRPr="00F74132">
        <w:t xml:space="preserve">sing </w:t>
      </w:r>
      <w:r w:rsidR="272D9151" w:rsidRPr="00F74132">
        <w:t>all of these</w:t>
      </w:r>
      <w:r w:rsidR="58FF2693" w:rsidRPr="00F74132">
        <w:t xml:space="preserve"> </w:t>
      </w:r>
      <w:r w:rsidR="0C7071FC" w:rsidRPr="00F74132">
        <w:t xml:space="preserve">data sets </w:t>
      </w:r>
      <w:r w:rsidR="3414D423" w:rsidRPr="00F74132">
        <w:t xml:space="preserve">and studies </w:t>
      </w:r>
      <w:r w:rsidR="58FF2693" w:rsidRPr="00F74132">
        <w:t>offers a robust workforce sample to draw conclusions on</w:t>
      </w:r>
      <w:r w:rsidR="345B1867" w:rsidRPr="00F74132">
        <w:t xml:space="preserve">, especially in relation to </w:t>
      </w:r>
      <w:r w:rsidR="145A6BE6" w:rsidRPr="00F74132">
        <w:t xml:space="preserve">the </w:t>
      </w:r>
      <w:r w:rsidR="58FF2693" w:rsidRPr="00F74132">
        <w:t>demographic and em</w:t>
      </w:r>
      <w:r w:rsidR="0EF454A6" w:rsidRPr="00F74132">
        <w:t>ployment characteristics</w:t>
      </w:r>
      <w:r w:rsidR="26CBCBB2" w:rsidRPr="00F74132">
        <w:t xml:space="preserve"> </w:t>
      </w:r>
      <w:r w:rsidR="2733182D" w:rsidRPr="00F74132">
        <w:t>of the workforce</w:t>
      </w:r>
      <w:r w:rsidR="29CA7AA9" w:rsidRPr="00F74132">
        <w:t>. However,</w:t>
      </w:r>
      <w:r w:rsidR="2733182D" w:rsidRPr="00F74132">
        <w:t xml:space="preserve"> an </w:t>
      </w:r>
      <w:r w:rsidR="1A59B4B3" w:rsidRPr="00F74132">
        <w:t xml:space="preserve">accurate </w:t>
      </w:r>
      <w:r w:rsidR="2733182D" w:rsidRPr="00F74132">
        <w:t xml:space="preserve">overall </w:t>
      </w:r>
      <w:r w:rsidR="5BA77165" w:rsidRPr="00F74132">
        <w:t xml:space="preserve">count or </w:t>
      </w:r>
      <w:r w:rsidR="2733182D" w:rsidRPr="00F74132">
        <w:t>estimate</w:t>
      </w:r>
      <w:r w:rsidR="2D899D59" w:rsidRPr="00F74132">
        <w:t xml:space="preserve"> of the</w:t>
      </w:r>
      <w:r w:rsidR="0DD37594" w:rsidRPr="00F74132">
        <w:t xml:space="preserve"> VET</w:t>
      </w:r>
      <w:r w:rsidR="2D899D59" w:rsidRPr="00F74132">
        <w:t xml:space="preserve"> workforce size </w:t>
      </w:r>
      <w:r w:rsidR="006267F8">
        <w:t>remains</w:t>
      </w:r>
      <w:r w:rsidR="3AEE6661" w:rsidRPr="00F74132">
        <w:t xml:space="preserve"> unclear</w:t>
      </w:r>
      <w:r w:rsidR="004C2856">
        <w:t>.</w:t>
      </w:r>
    </w:p>
    <w:p w14:paraId="482A6359" w14:textId="77E7F4F8" w:rsidR="008F75E2" w:rsidRDefault="32258A55" w:rsidP="00C823A1">
      <w:pPr>
        <w:pStyle w:val="Heading3"/>
        <w:spacing w:before="160"/>
      </w:pPr>
      <w:bookmarkStart w:id="36" w:name="_Toc542939377"/>
      <w:bookmarkStart w:id="37" w:name="_Toc76794699"/>
      <w:r>
        <w:t xml:space="preserve">The 2019 NCVER Workforce Survey and the </w:t>
      </w:r>
      <w:r w:rsidR="00CF32D8">
        <w:t xml:space="preserve">strengths and </w:t>
      </w:r>
      <w:r>
        <w:t xml:space="preserve">limits of </w:t>
      </w:r>
      <w:r w:rsidR="005D5757">
        <w:t>C</w:t>
      </w:r>
      <w:r>
        <w:t>ensus data</w:t>
      </w:r>
      <w:bookmarkEnd w:id="36"/>
      <w:bookmarkEnd w:id="37"/>
    </w:p>
    <w:p w14:paraId="1D321A96" w14:textId="5DC35922" w:rsidR="008F75E2" w:rsidRPr="002762C9" w:rsidRDefault="64650108" w:rsidP="002762C9">
      <w:pPr>
        <w:pStyle w:val="Bodycopy"/>
      </w:pPr>
      <w:r>
        <w:t>Due to</w:t>
      </w:r>
      <w:r w:rsidR="002C286D">
        <w:t xml:space="preserve"> these data limitations</w:t>
      </w:r>
      <w:r w:rsidR="0CBD0DC9">
        <w:t>, largely in relation to workforce size</w:t>
      </w:r>
      <w:r w:rsidR="002C286D">
        <w:t xml:space="preserve">, this </w:t>
      </w:r>
      <w:r w:rsidR="008F75E2">
        <w:t>study does not make a definitive estimate of the VET workforce but recommends that governments take steps to improve workforce data collection</w:t>
      </w:r>
      <w:r w:rsidR="72F691B5">
        <w:t>,</w:t>
      </w:r>
      <w:r w:rsidR="008F75E2">
        <w:t xml:space="preserve"> the evidence base in the future. It relies on</w:t>
      </w:r>
      <w:r w:rsidR="0045030B">
        <w:t xml:space="preserve"> a combination of</w:t>
      </w:r>
      <w:r w:rsidR="008F75E2">
        <w:t xml:space="preserve"> the most recent considered analysis of the workforce: </w:t>
      </w:r>
      <w:r w:rsidR="00070ECF">
        <w:t xml:space="preserve">the </w:t>
      </w:r>
      <w:r w:rsidR="008F75E2">
        <w:t xml:space="preserve">2020 NCVER Research Report: </w:t>
      </w:r>
      <w:r w:rsidR="008F75E2" w:rsidRPr="7AD33374">
        <w:rPr>
          <w:i/>
          <w:iCs/>
        </w:rPr>
        <w:t>Understanding the Australian vocational education and training workforce</w:t>
      </w:r>
      <w:r w:rsidR="008F75E2">
        <w:t xml:space="preserve"> </w:t>
      </w:r>
      <w:r w:rsidR="0045030B">
        <w:t xml:space="preserve">alongside </w:t>
      </w:r>
      <w:r w:rsidR="008F75E2">
        <w:t xml:space="preserve">a new approach to analysing </w:t>
      </w:r>
      <w:r w:rsidR="00995FA5">
        <w:t>C</w:t>
      </w:r>
      <w:r w:rsidR="008F75E2">
        <w:t xml:space="preserve">ensus data. The NCVER report demonstrated the challenges in profiling VET and the estimates were based on VET employees at a specific time (February 2019) and collected </w:t>
      </w:r>
      <w:r w:rsidR="005424B7">
        <w:t xml:space="preserve">summary </w:t>
      </w:r>
      <w:r w:rsidR="008F75E2">
        <w:t>data from RTOs</w:t>
      </w:r>
      <w:r w:rsidR="005424B7">
        <w:t>,</w:t>
      </w:r>
      <w:r w:rsidR="008F75E2">
        <w:t xml:space="preserve"> not individual workers. The survey indicates the challenges in attempting to measure the VET workforce, particularly the workforce</w:t>
      </w:r>
      <w:r w:rsidR="00845919">
        <w:t xml:space="preserve"> of</w:t>
      </w:r>
      <w:r w:rsidR="008F75E2">
        <w:t xml:space="preserve"> RTOs that primarily operate in other domains, such as schools, dual sector universities, and enterprise RTOs.</w:t>
      </w:r>
    </w:p>
    <w:p w14:paraId="4873C4DC" w14:textId="5665D85C" w:rsidR="00ED1E2D" w:rsidRPr="002762C9" w:rsidRDefault="008F75E2" w:rsidP="002762C9">
      <w:pPr>
        <w:pStyle w:val="Bodycopy"/>
      </w:pPr>
      <w:r w:rsidRPr="002762C9">
        <w:t>The results of the 2019 survey, to NCVER’s own acknowledgment</w:t>
      </w:r>
      <w:r w:rsidR="00E85498">
        <w:t>,</w:t>
      </w:r>
      <w:r w:rsidRPr="002762C9">
        <w:t xml:space="preserve"> are not necessarily representative of the actual workforce numbers for each type of RTO</w:t>
      </w:r>
      <w:r w:rsidR="005F52BF">
        <w:t xml:space="preserve"> </w:t>
      </w:r>
      <w:r w:rsidRPr="002762C9">
        <w:t>since the data may have been skewed</w:t>
      </w:r>
      <w:r w:rsidR="48B63F45" w:rsidRPr="002762C9">
        <w:t>,</w:t>
      </w:r>
      <w:r w:rsidRPr="002762C9">
        <w:t xml:space="preserve"> depending on how respondents reported staffing numbers in the survey. </w:t>
      </w:r>
      <w:r w:rsidR="75ACC752" w:rsidRPr="002762C9">
        <w:t>The 2019 survey</w:t>
      </w:r>
      <w:r w:rsidRPr="002762C9">
        <w:t xml:space="preserve"> also</w:t>
      </w:r>
      <w:r w:rsidR="1F69CEBC" w:rsidRPr="002762C9">
        <w:t xml:space="preserve"> only</w:t>
      </w:r>
      <w:r w:rsidRPr="002762C9">
        <w:t xml:space="preserve"> had a 40% response rate. There has never been a </w:t>
      </w:r>
      <w:r w:rsidR="00995FA5" w:rsidRPr="002762C9">
        <w:t>C</w:t>
      </w:r>
      <w:r w:rsidRPr="002762C9">
        <w:t xml:space="preserve">ensus of the Australian VET workforce, and this makes any survey limited in what it can reveal. Typically, a survey with sufficient responses can be weighted to the population to estimate the overall workforce profile. However, when the true population is unknown, weighting becomes unreliable. This was the case in the 2019 survey </w:t>
      </w:r>
      <w:r w:rsidR="00E215B1">
        <w:t xml:space="preserve">and </w:t>
      </w:r>
      <w:r w:rsidR="004E0CB2">
        <w:t xml:space="preserve">remains a </w:t>
      </w:r>
      <w:r w:rsidR="004E0CB2">
        <w:lastRenderedPageBreak/>
        <w:t xml:space="preserve">challenge for any future survey of the VET workforce due to the diverse range of RTO types. </w:t>
      </w:r>
    </w:p>
    <w:p w14:paraId="00BF4CCB" w14:textId="31A327FA" w:rsidR="008F75E2" w:rsidRPr="00CE214C" w:rsidRDefault="00E75BA3" w:rsidP="00E16D4F">
      <w:pPr>
        <w:pStyle w:val="Bodycopy"/>
      </w:pPr>
      <w:r>
        <w:t>While</w:t>
      </w:r>
      <w:r w:rsidR="00420686">
        <w:t xml:space="preserve"> this</w:t>
      </w:r>
      <w:r>
        <w:t xml:space="preserve"> study </w:t>
      </w:r>
      <w:r w:rsidR="00756566">
        <w:t>addresse</w:t>
      </w:r>
      <w:r w:rsidR="40DAE351">
        <w:t>s</w:t>
      </w:r>
      <w:r>
        <w:t xml:space="preserve"> some of these limitations by </w:t>
      </w:r>
      <w:r w:rsidR="00D945D2">
        <w:t xml:space="preserve">drawing on multiple data sources, it </w:t>
      </w:r>
      <w:r w:rsidR="000E3E95">
        <w:t>remains</w:t>
      </w:r>
      <w:r w:rsidR="00D945D2">
        <w:t xml:space="preserve"> important to </w:t>
      </w:r>
      <w:r w:rsidR="009169AA">
        <w:t xml:space="preserve">seek a more comprehensive and consistent approach </w:t>
      </w:r>
      <w:r w:rsidR="00EB25D0">
        <w:t xml:space="preserve">to </w:t>
      </w:r>
      <w:r w:rsidR="005D0375">
        <w:t xml:space="preserve">future </w:t>
      </w:r>
      <w:r w:rsidR="00EB25D0">
        <w:t xml:space="preserve">VET </w:t>
      </w:r>
      <w:r w:rsidR="005D0375">
        <w:t xml:space="preserve">workforce </w:t>
      </w:r>
      <w:r w:rsidR="00EB25D0">
        <w:t>data</w:t>
      </w:r>
      <w:r w:rsidR="005D0375">
        <w:t xml:space="preserve"> collection</w:t>
      </w:r>
      <w:r w:rsidR="00743DEA">
        <w:t>.</w:t>
      </w:r>
      <w:r w:rsidR="000646BD">
        <w:t xml:space="preserve"> </w:t>
      </w:r>
      <w:r w:rsidR="008F75E2">
        <w:t xml:space="preserve">The </w:t>
      </w:r>
      <w:r w:rsidR="005D0375">
        <w:t>limitations</w:t>
      </w:r>
      <w:r w:rsidR="008F75E2">
        <w:t xml:space="preserve"> of </w:t>
      </w:r>
      <w:r w:rsidR="00995FA5">
        <w:t>C</w:t>
      </w:r>
      <w:r w:rsidR="008F75E2">
        <w:t xml:space="preserve">ensus data in counting the VET workforce </w:t>
      </w:r>
      <w:r w:rsidR="23EDC621">
        <w:t>are</w:t>
      </w:r>
      <w:r w:rsidR="008F75E2">
        <w:t xml:space="preserve"> summarised </w:t>
      </w:r>
      <w:r w:rsidR="00E67B04">
        <w:t>below:</w:t>
      </w:r>
    </w:p>
    <w:p w14:paraId="5CE2136D" w14:textId="717276C9" w:rsidR="001D48FD" w:rsidRPr="00A95041" w:rsidRDefault="00163940" w:rsidP="00E16D4F">
      <w:pPr>
        <w:pStyle w:val="ListBullet6"/>
        <w:rPr>
          <w:rFonts w:eastAsia="Arial" w:cs="Arial"/>
        </w:rPr>
      </w:pPr>
      <w:r>
        <w:t xml:space="preserve">Census data overall shows a lower VET workforce and a lower </w:t>
      </w:r>
      <w:r w:rsidR="007252BB">
        <w:t>t</w:t>
      </w:r>
      <w:r>
        <w:t>eacher/</w:t>
      </w:r>
      <w:r w:rsidR="007252BB">
        <w:t>t</w:t>
      </w:r>
      <w:r>
        <w:t>rainer workforce.</w:t>
      </w:r>
    </w:p>
    <w:p w14:paraId="1A57C0AB" w14:textId="77777777" w:rsidR="00462257" w:rsidRPr="00462257" w:rsidRDefault="00462257" w:rsidP="00E16D4F">
      <w:pPr>
        <w:pStyle w:val="ListBullet6"/>
        <w:rPr>
          <w:rFonts w:eastAsia="Arial" w:cs="Arial"/>
        </w:rPr>
      </w:pPr>
      <w:r>
        <w:t>Two key reasons are that the VET workforce (and RTOs as entities) is spread beyond just the single main industry category (Vocational Education and Training), and Census data reports only one occupation and industry of employment (respondents are asked to answer in relation to “the main job held last week”. Secondary jobs holders are common in VET so are not counted in the standard ABS industry and occupational counts.</w:t>
      </w:r>
    </w:p>
    <w:p w14:paraId="0F843C0A" w14:textId="334FE02C" w:rsidR="00163940" w:rsidRPr="00A95041" w:rsidRDefault="00163940" w:rsidP="00E16D4F">
      <w:pPr>
        <w:pStyle w:val="ListBullet6"/>
        <w:rPr>
          <w:rFonts w:eastAsia="Arial" w:cs="Arial"/>
        </w:rPr>
      </w:pPr>
      <w:r>
        <w:t>Other common industry categories include Schools, Adult, Community and Other Education, Education and Training not further described, and Higher Education. As well as all the various industries with enterprise RTOs (public and private).</w:t>
      </w:r>
    </w:p>
    <w:p w14:paraId="795A9B01" w14:textId="0DFE804C" w:rsidR="00163940" w:rsidRPr="00A95041" w:rsidRDefault="00163940" w:rsidP="00E16D4F">
      <w:pPr>
        <w:pStyle w:val="ListBullet6"/>
        <w:rPr>
          <w:rFonts w:eastAsia="Arial" w:cs="Arial"/>
        </w:rPr>
      </w:pPr>
      <w:r>
        <w:t xml:space="preserve">Likewise, the “Vocational Education Teacher” occupation category does not capture </w:t>
      </w:r>
      <w:r w:rsidR="00E1502D">
        <w:t>all those deliverin</w:t>
      </w:r>
      <w:r w:rsidR="009428D5">
        <w:t>g</w:t>
      </w:r>
      <w:r w:rsidR="000B5C72">
        <w:t xml:space="preserve"> VET training and assessment</w:t>
      </w:r>
      <w:r>
        <w:t xml:space="preserve">. “Training and Development Professional” </w:t>
      </w:r>
      <w:r w:rsidR="002E6733">
        <w:t>and “First Aid Trainer” are</w:t>
      </w:r>
      <w:r>
        <w:t xml:space="preserve"> common in private RTOs and “University Lecturers and Tutors” and “Teachers of English to Speakers of Other Languages” are also commonly found in VET institutions across both public and private sector (as defined by ABS Census) settings.</w:t>
      </w:r>
    </w:p>
    <w:p w14:paraId="24ACCD8B" w14:textId="618F1E1F" w:rsidR="00163940" w:rsidRDefault="00163940" w:rsidP="00E16D4F">
      <w:pPr>
        <w:pStyle w:val="ListBullet6"/>
      </w:pPr>
      <w:r>
        <w:t xml:space="preserve">ABS industry and occupational codes that are used for </w:t>
      </w:r>
      <w:r w:rsidR="00995FA5">
        <w:t>C</w:t>
      </w:r>
      <w:r>
        <w:t>ensus data are outdated (see discussion below).</w:t>
      </w:r>
    </w:p>
    <w:p w14:paraId="2704E571" w14:textId="77ED7348" w:rsidR="008F75E2" w:rsidRDefault="008F75E2" w:rsidP="00E16D4F">
      <w:pPr>
        <w:pStyle w:val="Bodycopy"/>
      </w:pPr>
      <w:r w:rsidRPr="16B91E7D">
        <w:t xml:space="preserve">There are also well-known challenges with accurately identifying </w:t>
      </w:r>
      <w:r w:rsidR="00CC6D50">
        <w:t>VET teachers</w:t>
      </w:r>
      <w:r w:rsidRPr="16B91E7D">
        <w:t xml:space="preserve">, trainers, and assessors due to their dual professional status </w:t>
      </w:r>
      <w:r w:rsidR="00267C97">
        <w:t>and particular</w:t>
      </w:r>
      <w:r w:rsidRPr="16B91E7D">
        <w:t xml:space="preserve"> issues </w:t>
      </w:r>
      <w:r w:rsidR="00267C97">
        <w:t>regarding</w:t>
      </w:r>
      <w:r w:rsidR="00267C97" w:rsidRPr="16B91E7D">
        <w:t xml:space="preserve"> </w:t>
      </w:r>
      <w:r w:rsidRPr="16B91E7D">
        <w:t xml:space="preserve">volunteer trainers, secondary teachers working in VET and trainers who work across multiple RTOs. </w:t>
      </w:r>
      <w:r w:rsidR="00CC6D50">
        <w:t>VET teachers</w:t>
      </w:r>
      <w:r w:rsidRPr="16B91E7D">
        <w:t xml:space="preserve"> are required to maintain current industry engagement in their industry of expertise, in addition to holding and maintaining training and assessment qualifications. In ABS data classified by either occupation or industry, a VET teacher who identifies more strongly with their industry role than their teaching role may identify more as </w:t>
      </w:r>
      <w:r w:rsidR="00440E49">
        <w:t xml:space="preserve">– for example – </w:t>
      </w:r>
      <w:r w:rsidRPr="16B91E7D">
        <w:t>an electrician rather than a VET teacher.</w:t>
      </w:r>
    </w:p>
    <w:p w14:paraId="01E2DF12" w14:textId="0CEB2CB1" w:rsidR="008F75E2" w:rsidRDefault="008F75E2" w:rsidP="00E16D4F">
      <w:pPr>
        <w:pStyle w:val="Bodycopy"/>
      </w:pPr>
      <w:r w:rsidRPr="16B91E7D">
        <w:t xml:space="preserve">Furthermore, not all RTOs operate within VET specific industries. Outside of the VET industry, VET is delivered within enterprises, schools, community education providers and some higher education institutions. Even in </w:t>
      </w:r>
      <w:r w:rsidR="008019D1">
        <w:t>C</w:t>
      </w:r>
      <w:r w:rsidRPr="16B91E7D">
        <w:t xml:space="preserve">ensus data, 1 in 5 </w:t>
      </w:r>
      <w:r w:rsidR="00CC6D50">
        <w:t>VET teachers</w:t>
      </w:r>
      <w:r w:rsidRPr="16B91E7D">
        <w:t xml:space="preserve"> work in one of 243 industries outside Education and Training </w:t>
      </w:r>
      <w:r w:rsidRPr="00C823A1">
        <w:t xml:space="preserve">(see </w:t>
      </w:r>
      <w:hyperlink w:anchor="Table_1_1" w:history="1">
        <w:r w:rsidR="00F713BC">
          <w:rPr>
            <w:rStyle w:val="Hyperlink"/>
          </w:rPr>
          <w:t>Table</w:t>
        </w:r>
        <w:r w:rsidRPr="001B47F3">
          <w:rPr>
            <w:rStyle w:val="Hyperlink"/>
          </w:rPr>
          <w:t xml:space="preserve"> </w:t>
        </w:r>
        <w:r w:rsidR="008019D1" w:rsidRPr="001B47F3">
          <w:rPr>
            <w:rStyle w:val="Hyperlink"/>
          </w:rPr>
          <w:t>1.1</w:t>
        </w:r>
      </w:hyperlink>
      <w:r w:rsidRPr="00C823A1">
        <w:t>)</w:t>
      </w:r>
      <w:r w:rsidRPr="16B91E7D">
        <w:t xml:space="preserve">. </w:t>
      </w:r>
    </w:p>
    <w:p w14:paraId="3D52BB73" w14:textId="3EDE1696" w:rsidR="005D0375" w:rsidRDefault="005D0375" w:rsidP="00E16D4F">
      <w:pPr>
        <w:pStyle w:val="Bodycopy"/>
      </w:pPr>
      <w:r>
        <w:t>Notwithstanding these limitations</w:t>
      </w:r>
      <w:r w:rsidR="00CF4D74">
        <w:t xml:space="preserve">, the 2021 Census remains the best available data source for interrogating the </w:t>
      </w:r>
      <w:r w:rsidR="00D014DC">
        <w:t>personal and employment characteristics of the VET workforce</w:t>
      </w:r>
      <w:r w:rsidR="00E85196">
        <w:t xml:space="preserve"> until such time as a specific national VET workforce is implemented.</w:t>
      </w:r>
    </w:p>
    <w:p w14:paraId="569944DA" w14:textId="77777777" w:rsidR="00697E05" w:rsidRDefault="00697E05">
      <w:pPr>
        <w:rPr>
          <w:b/>
          <w:sz w:val="20"/>
          <w:lang w:val="en-US"/>
        </w:rPr>
      </w:pPr>
      <w:r>
        <w:br w:type="page"/>
      </w:r>
    </w:p>
    <w:p w14:paraId="77945FCC" w14:textId="2F6A7EB6" w:rsidR="008F75E2" w:rsidRDefault="008F75E2" w:rsidP="00911DC9">
      <w:pPr>
        <w:pStyle w:val="Caption"/>
      </w:pPr>
      <w:bookmarkStart w:id="38" w:name="Table_1_1"/>
      <w:r>
        <w:lastRenderedPageBreak/>
        <w:t xml:space="preserve">Table </w:t>
      </w:r>
      <w:r w:rsidR="004B692A">
        <w:fldChar w:fldCharType="begin"/>
      </w:r>
      <w:r w:rsidR="004B692A">
        <w:instrText xml:space="preserve"> STYLEREF 1 \s </w:instrText>
      </w:r>
      <w:r w:rsidR="004B692A">
        <w:fldChar w:fldCharType="separate"/>
      </w:r>
      <w:r w:rsidR="00E7704E">
        <w:rPr>
          <w:noProof/>
        </w:rPr>
        <w:t>1</w:t>
      </w:r>
      <w:r w:rsidR="004B692A">
        <w:fldChar w:fldCharType="end"/>
      </w:r>
      <w:r w:rsidR="004B692A">
        <w:t>.</w:t>
      </w:r>
      <w:r w:rsidR="004B692A">
        <w:fldChar w:fldCharType="begin"/>
      </w:r>
      <w:r w:rsidR="004B692A">
        <w:instrText xml:space="preserve"> SEQ Table \* ARABIC \s 1 </w:instrText>
      </w:r>
      <w:r w:rsidR="004B692A">
        <w:fldChar w:fldCharType="separate"/>
      </w:r>
      <w:r w:rsidR="00E7704E">
        <w:rPr>
          <w:noProof/>
        </w:rPr>
        <w:t>1</w:t>
      </w:r>
      <w:r w:rsidR="004B692A">
        <w:fldChar w:fldCharType="end"/>
      </w:r>
      <w:r w:rsidR="00EA1F63">
        <w:t xml:space="preserve"> </w:t>
      </w:r>
      <w:r w:rsidR="00CC6D50">
        <w:t>VET teachers</w:t>
      </w:r>
      <w:r>
        <w:t xml:space="preserve"> not in education and training industries</w:t>
      </w:r>
    </w:p>
    <w:tbl>
      <w:tblPr>
        <w:tblStyle w:val="JSATable1"/>
        <w:tblW w:w="8902" w:type="dxa"/>
        <w:tblLook w:val="0020" w:firstRow="1" w:lastRow="0" w:firstColumn="0" w:lastColumn="0" w:noHBand="0" w:noVBand="0"/>
        <w:tblDescription w:val="VET teachers not in education and training industries"/>
      </w:tblPr>
      <w:tblGrid>
        <w:gridCol w:w="5329"/>
        <w:gridCol w:w="1786"/>
        <w:gridCol w:w="1787"/>
      </w:tblGrid>
      <w:tr w:rsidR="008F75E2" w14:paraId="08682904" w14:textId="77777777" w:rsidTr="000C7CFF">
        <w:trPr>
          <w:cnfStyle w:val="100000000000" w:firstRow="1" w:lastRow="0" w:firstColumn="0" w:lastColumn="0" w:oddVBand="0" w:evenVBand="0" w:oddHBand="0" w:evenHBand="0" w:firstRowFirstColumn="0" w:firstRowLastColumn="0" w:lastRowFirstColumn="0" w:lastRowLastColumn="0"/>
          <w:trHeight w:val="907"/>
        </w:trPr>
        <w:tc>
          <w:tcPr>
            <w:cnfStyle w:val="000010000000" w:firstRow="0" w:lastRow="0" w:firstColumn="0" w:lastColumn="0" w:oddVBand="1" w:evenVBand="0" w:oddHBand="0" w:evenHBand="0" w:firstRowFirstColumn="0" w:firstRowLastColumn="0" w:lastRowFirstColumn="0" w:lastRowLastColumn="0"/>
            <w:tcW w:w="5492" w:type="dxa"/>
          </w:tcPr>
          <w:bookmarkEnd w:id="38"/>
          <w:p w14:paraId="122C000A" w14:textId="77777777" w:rsidR="008F75E2" w:rsidRDefault="008F75E2" w:rsidP="0060735F">
            <w:pPr>
              <w:pStyle w:val="Tableheader"/>
              <w:ind w:left="170"/>
              <w:jc w:val="left"/>
            </w:pPr>
            <w:r>
              <w:t>Industry of Employment</w:t>
            </w:r>
          </w:p>
        </w:tc>
        <w:tc>
          <w:tcPr>
            <w:cnfStyle w:val="000001000000" w:firstRow="0" w:lastRow="0" w:firstColumn="0" w:lastColumn="0" w:oddVBand="0" w:evenVBand="1" w:oddHBand="0" w:evenHBand="0" w:firstRowFirstColumn="0" w:firstRowLastColumn="0" w:lastRowFirstColumn="0" w:lastRowLastColumn="0"/>
            <w:tcW w:w="1830" w:type="dxa"/>
          </w:tcPr>
          <w:p w14:paraId="3D0A2B77" w14:textId="77777777" w:rsidR="008F75E2" w:rsidRDefault="008F75E2" w:rsidP="0099613C">
            <w:pPr>
              <w:pStyle w:val="Tableheader"/>
            </w:pPr>
            <w:r>
              <w:t>Persons</w:t>
            </w:r>
          </w:p>
        </w:tc>
        <w:tc>
          <w:tcPr>
            <w:cnfStyle w:val="000010000000" w:firstRow="0" w:lastRow="0" w:firstColumn="0" w:lastColumn="0" w:oddVBand="1" w:evenVBand="0" w:oddHBand="0" w:evenHBand="0" w:firstRowFirstColumn="0" w:firstRowLastColumn="0" w:lastRowFirstColumn="0" w:lastRowLastColumn="0"/>
            <w:tcW w:w="1830" w:type="dxa"/>
          </w:tcPr>
          <w:p w14:paraId="4A325809" w14:textId="54509928" w:rsidR="008F75E2" w:rsidRDefault="008F75E2" w:rsidP="0099613C">
            <w:pPr>
              <w:pStyle w:val="Tableheader"/>
            </w:pPr>
            <w:r>
              <w:t xml:space="preserve">% of all </w:t>
            </w:r>
            <w:r w:rsidR="00CC6D50">
              <w:t>VET teachers</w:t>
            </w:r>
          </w:p>
        </w:tc>
      </w:tr>
      <w:tr w:rsidR="000C7CFF" w14:paraId="3EA0363A" w14:textId="77777777" w:rsidTr="00AE3165">
        <w:trPr>
          <w:cnfStyle w:val="000000100000" w:firstRow="0" w:lastRow="0" w:firstColumn="0" w:lastColumn="0" w:oddVBand="0" w:evenVBand="0" w:oddHBand="1" w:evenHBand="0"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5492" w:type="dxa"/>
            <w:vAlign w:val="center"/>
          </w:tcPr>
          <w:p w14:paraId="1EFA2678" w14:textId="77777777" w:rsidR="008F75E2" w:rsidRDefault="008F75E2" w:rsidP="000C7CFF">
            <w:pPr>
              <w:pStyle w:val="Tablebodycopy"/>
              <w:ind w:left="170"/>
            </w:pPr>
            <w:r>
              <w:t>Correctional and Detention Services</w:t>
            </w:r>
          </w:p>
        </w:tc>
        <w:tc>
          <w:tcPr>
            <w:cnfStyle w:val="000001000000" w:firstRow="0" w:lastRow="0" w:firstColumn="0" w:lastColumn="0" w:oddVBand="0" w:evenVBand="1" w:oddHBand="0" w:evenHBand="0" w:firstRowFirstColumn="0" w:firstRowLastColumn="0" w:lastRowFirstColumn="0" w:lastRowLastColumn="0"/>
            <w:tcW w:w="1830" w:type="dxa"/>
            <w:vAlign w:val="center"/>
          </w:tcPr>
          <w:p w14:paraId="7DA27CEB" w14:textId="77777777" w:rsidR="008F75E2" w:rsidRDefault="008F75E2" w:rsidP="000C7CFF">
            <w:pPr>
              <w:pStyle w:val="Tablebodycopy"/>
              <w:jc w:val="center"/>
            </w:pPr>
            <w:r>
              <w:t>438</w:t>
            </w:r>
          </w:p>
        </w:tc>
        <w:tc>
          <w:tcPr>
            <w:cnfStyle w:val="000010000000" w:firstRow="0" w:lastRow="0" w:firstColumn="0" w:lastColumn="0" w:oddVBand="1" w:evenVBand="0" w:oddHBand="0" w:evenHBand="0" w:firstRowFirstColumn="0" w:firstRowLastColumn="0" w:lastRowFirstColumn="0" w:lastRowLastColumn="0"/>
            <w:tcW w:w="1830" w:type="dxa"/>
            <w:vAlign w:val="center"/>
          </w:tcPr>
          <w:p w14:paraId="5D9F2D78" w14:textId="77777777" w:rsidR="008F75E2" w:rsidRDefault="008F75E2" w:rsidP="000C7CFF">
            <w:pPr>
              <w:pStyle w:val="Tablebodycopy"/>
              <w:jc w:val="center"/>
            </w:pPr>
            <w:r>
              <w:t>1.5%</w:t>
            </w:r>
          </w:p>
        </w:tc>
      </w:tr>
      <w:tr w:rsidR="00C4200F" w14:paraId="52805EB2" w14:textId="77777777" w:rsidTr="00AE3165">
        <w:trPr>
          <w:cnfStyle w:val="000000010000" w:firstRow="0" w:lastRow="0" w:firstColumn="0" w:lastColumn="0" w:oddVBand="0" w:evenVBand="0" w:oddHBand="0" w:evenHBand="1"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5492" w:type="dxa"/>
            <w:vAlign w:val="center"/>
          </w:tcPr>
          <w:p w14:paraId="234D1C8C" w14:textId="77777777" w:rsidR="008F75E2" w:rsidRDefault="008F75E2" w:rsidP="000C7CFF">
            <w:pPr>
              <w:pStyle w:val="Tablebodycopy"/>
              <w:ind w:left="170"/>
            </w:pPr>
            <w:r>
              <w:t>Employment Placement and Recruitment Services</w:t>
            </w:r>
          </w:p>
        </w:tc>
        <w:tc>
          <w:tcPr>
            <w:cnfStyle w:val="000001000000" w:firstRow="0" w:lastRow="0" w:firstColumn="0" w:lastColumn="0" w:oddVBand="0" w:evenVBand="1" w:oddHBand="0" w:evenHBand="0" w:firstRowFirstColumn="0" w:firstRowLastColumn="0" w:lastRowFirstColumn="0" w:lastRowLastColumn="0"/>
            <w:tcW w:w="1830" w:type="dxa"/>
            <w:vAlign w:val="center"/>
          </w:tcPr>
          <w:p w14:paraId="604CF9A7" w14:textId="77777777" w:rsidR="008F75E2" w:rsidRDefault="008F75E2" w:rsidP="000C7CFF">
            <w:pPr>
              <w:pStyle w:val="Tablebodycopy"/>
              <w:jc w:val="center"/>
            </w:pPr>
            <w:r>
              <w:t>294</w:t>
            </w:r>
          </w:p>
        </w:tc>
        <w:tc>
          <w:tcPr>
            <w:cnfStyle w:val="000010000000" w:firstRow="0" w:lastRow="0" w:firstColumn="0" w:lastColumn="0" w:oddVBand="1" w:evenVBand="0" w:oddHBand="0" w:evenHBand="0" w:firstRowFirstColumn="0" w:firstRowLastColumn="0" w:lastRowFirstColumn="0" w:lastRowLastColumn="0"/>
            <w:tcW w:w="1830" w:type="dxa"/>
            <w:vAlign w:val="center"/>
          </w:tcPr>
          <w:p w14:paraId="041270DC" w14:textId="77777777" w:rsidR="008F75E2" w:rsidRDefault="008F75E2" w:rsidP="000C7CFF">
            <w:pPr>
              <w:pStyle w:val="Tablebodycopy"/>
              <w:jc w:val="center"/>
            </w:pPr>
            <w:r>
              <w:t>1.0%</w:t>
            </w:r>
          </w:p>
        </w:tc>
      </w:tr>
      <w:tr w:rsidR="000C7CFF" w14:paraId="7349FB35" w14:textId="77777777" w:rsidTr="00AE3165">
        <w:trPr>
          <w:cnfStyle w:val="000000100000" w:firstRow="0" w:lastRow="0" w:firstColumn="0" w:lastColumn="0" w:oddVBand="0" w:evenVBand="0" w:oddHBand="1" w:evenHBand="0"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5492" w:type="dxa"/>
            <w:vAlign w:val="center"/>
          </w:tcPr>
          <w:p w14:paraId="21BDA40A" w14:textId="77777777" w:rsidR="008F75E2" w:rsidRDefault="008F75E2" w:rsidP="000C7CFF">
            <w:pPr>
              <w:pStyle w:val="Tablebodycopy"/>
              <w:ind w:left="170"/>
            </w:pPr>
            <w:r>
              <w:t>Other Social Assistance Services</w:t>
            </w:r>
          </w:p>
        </w:tc>
        <w:tc>
          <w:tcPr>
            <w:cnfStyle w:val="000001000000" w:firstRow="0" w:lastRow="0" w:firstColumn="0" w:lastColumn="0" w:oddVBand="0" w:evenVBand="1" w:oddHBand="0" w:evenHBand="0" w:firstRowFirstColumn="0" w:firstRowLastColumn="0" w:lastRowFirstColumn="0" w:lastRowLastColumn="0"/>
            <w:tcW w:w="1830" w:type="dxa"/>
            <w:vAlign w:val="center"/>
          </w:tcPr>
          <w:p w14:paraId="034AD127" w14:textId="77777777" w:rsidR="008F75E2" w:rsidRDefault="008F75E2" w:rsidP="000C7CFF">
            <w:pPr>
              <w:pStyle w:val="Tablebodycopy"/>
              <w:jc w:val="center"/>
            </w:pPr>
            <w:r>
              <w:t>264</w:t>
            </w:r>
          </w:p>
        </w:tc>
        <w:tc>
          <w:tcPr>
            <w:cnfStyle w:val="000010000000" w:firstRow="0" w:lastRow="0" w:firstColumn="0" w:lastColumn="0" w:oddVBand="1" w:evenVBand="0" w:oddHBand="0" w:evenHBand="0" w:firstRowFirstColumn="0" w:firstRowLastColumn="0" w:lastRowFirstColumn="0" w:lastRowLastColumn="0"/>
            <w:tcW w:w="1830" w:type="dxa"/>
            <w:vAlign w:val="center"/>
          </w:tcPr>
          <w:p w14:paraId="68467D83" w14:textId="77777777" w:rsidR="008F75E2" w:rsidRDefault="008F75E2" w:rsidP="000C7CFF">
            <w:pPr>
              <w:pStyle w:val="Tablebodycopy"/>
              <w:jc w:val="center"/>
            </w:pPr>
            <w:r>
              <w:t>0.9%</w:t>
            </w:r>
          </w:p>
        </w:tc>
      </w:tr>
      <w:tr w:rsidR="00C4200F" w14:paraId="511D46C3" w14:textId="77777777" w:rsidTr="00AE3165">
        <w:trPr>
          <w:cnfStyle w:val="000000010000" w:firstRow="0" w:lastRow="0" w:firstColumn="0" w:lastColumn="0" w:oddVBand="0" w:evenVBand="0" w:oddHBand="0" w:evenHBand="1"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5492" w:type="dxa"/>
            <w:vAlign w:val="center"/>
          </w:tcPr>
          <w:p w14:paraId="78371151" w14:textId="77777777" w:rsidR="008F75E2" w:rsidRDefault="008F75E2" w:rsidP="000C7CFF">
            <w:pPr>
              <w:pStyle w:val="Tablebodycopy"/>
              <w:ind w:left="170"/>
            </w:pPr>
            <w:r>
              <w:t>Iron Ore Mining</w:t>
            </w:r>
          </w:p>
        </w:tc>
        <w:tc>
          <w:tcPr>
            <w:cnfStyle w:val="000001000000" w:firstRow="0" w:lastRow="0" w:firstColumn="0" w:lastColumn="0" w:oddVBand="0" w:evenVBand="1" w:oddHBand="0" w:evenHBand="0" w:firstRowFirstColumn="0" w:firstRowLastColumn="0" w:lastRowFirstColumn="0" w:lastRowLastColumn="0"/>
            <w:tcW w:w="1830" w:type="dxa"/>
            <w:vAlign w:val="center"/>
          </w:tcPr>
          <w:p w14:paraId="73A0545F" w14:textId="77777777" w:rsidR="008F75E2" w:rsidRDefault="008F75E2" w:rsidP="000C7CFF">
            <w:pPr>
              <w:pStyle w:val="Tablebodycopy"/>
              <w:jc w:val="center"/>
            </w:pPr>
            <w:r>
              <w:t>208</w:t>
            </w:r>
          </w:p>
        </w:tc>
        <w:tc>
          <w:tcPr>
            <w:cnfStyle w:val="000010000000" w:firstRow="0" w:lastRow="0" w:firstColumn="0" w:lastColumn="0" w:oddVBand="1" w:evenVBand="0" w:oddHBand="0" w:evenHBand="0" w:firstRowFirstColumn="0" w:firstRowLastColumn="0" w:lastRowFirstColumn="0" w:lastRowLastColumn="0"/>
            <w:tcW w:w="1830" w:type="dxa"/>
            <w:vAlign w:val="center"/>
          </w:tcPr>
          <w:p w14:paraId="68D1BBC4" w14:textId="77777777" w:rsidR="008F75E2" w:rsidRDefault="008F75E2" w:rsidP="000C7CFF">
            <w:pPr>
              <w:pStyle w:val="Tablebodycopy"/>
              <w:jc w:val="center"/>
            </w:pPr>
            <w:r>
              <w:t>0.7%</w:t>
            </w:r>
          </w:p>
        </w:tc>
      </w:tr>
      <w:tr w:rsidR="000C7CFF" w14:paraId="40BA39D6" w14:textId="77777777" w:rsidTr="00AE3165">
        <w:trPr>
          <w:cnfStyle w:val="000000100000" w:firstRow="0" w:lastRow="0" w:firstColumn="0" w:lastColumn="0" w:oddVBand="0" w:evenVBand="0" w:oddHBand="1" w:evenHBand="0"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5492" w:type="dxa"/>
            <w:vAlign w:val="center"/>
          </w:tcPr>
          <w:p w14:paraId="6B308AA4" w14:textId="77777777" w:rsidR="008F75E2" w:rsidRDefault="008F75E2" w:rsidP="000C7CFF">
            <w:pPr>
              <w:pStyle w:val="Tablebodycopy"/>
              <w:ind w:left="170"/>
            </w:pPr>
            <w:r>
              <w:t>Hairdressing and Beauty Services</w:t>
            </w:r>
          </w:p>
        </w:tc>
        <w:tc>
          <w:tcPr>
            <w:cnfStyle w:val="000001000000" w:firstRow="0" w:lastRow="0" w:firstColumn="0" w:lastColumn="0" w:oddVBand="0" w:evenVBand="1" w:oddHBand="0" w:evenHBand="0" w:firstRowFirstColumn="0" w:firstRowLastColumn="0" w:lastRowFirstColumn="0" w:lastRowLastColumn="0"/>
            <w:tcW w:w="1830" w:type="dxa"/>
            <w:vAlign w:val="center"/>
          </w:tcPr>
          <w:p w14:paraId="4043B3AF" w14:textId="77777777" w:rsidR="008F75E2" w:rsidRDefault="008F75E2" w:rsidP="000C7CFF">
            <w:pPr>
              <w:pStyle w:val="Tablebodycopy"/>
              <w:jc w:val="center"/>
            </w:pPr>
            <w:r>
              <w:t>183</w:t>
            </w:r>
          </w:p>
        </w:tc>
        <w:tc>
          <w:tcPr>
            <w:cnfStyle w:val="000010000000" w:firstRow="0" w:lastRow="0" w:firstColumn="0" w:lastColumn="0" w:oddVBand="1" w:evenVBand="0" w:oddHBand="0" w:evenHBand="0" w:firstRowFirstColumn="0" w:firstRowLastColumn="0" w:lastRowFirstColumn="0" w:lastRowLastColumn="0"/>
            <w:tcW w:w="1830" w:type="dxa"/>
            <w:vAlign w:val="center"/>
          </w:tcPr>
          <w:p w14:paraId="00510F07" w14:textId="77777777" w:rsidR="008F75E2" w:rsidRDefault="008F75E2" w:rsidP="000C7CFF">
            <w:pPr>
              <w:pStyle w:val="Tablebodycopy"/>
              <w:jc w:val="center"/>
            </w:pPr>
            <w:r>
              <w:t>0.6%</w:t>
            </w:r>
          </w:p>
        </w:tc>
      </w:tr>
      <w:tr w:rsidR="00C4200F" w14:paraId="4DFAF271" w14:textId="77777777" w:rsidTr="00AE3165">
        <w:trPr>
          <w:cnfStyle w:val="000000010000" w:firstRow="0" w:lastRow="0" w:firstColumn="0" w:lastColumn="0" w:oddVBand="0" w:evenVBand="0" w:oddHBand="0" w:evenHBand="1"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5492" w:type="dxa"/>
            <w:vAlign w:val="center"/>
          </w:tcPr>
          <w:p w14:paraId="4349ACB9" w14:textId="77777777" w:rsidR="008F75E2" w:rsidRDefault="008F75E2" w:rsidP="000C7CFF">
            <w:pPr>
              <w:pStyle w:val="Tablebodycopy"/>
              <w:ind w:left="170"/>
            </w:pPr>
            <w:r>
              <w:t>State Government Administration</w:t>
            </w:r>
          </w:p>
        </w:tc>
        <w:tc>
          <w:tcPr>
            <w:cnfStyle w:val="000001000000" w:firstRow="0" w:lastRow="0" w:firstColumn="0" w:lastColumn="0" w:oddVBand="0" w:evenVBand="1" w:oddHBand="0" w:evenHBand="0" w:firstRowFirstColumn="0" w:firstRowLastColumn="0" w:lastRowFirstColumn="0" w:lastRowLastColumn="0"/>
            <w:tcW w:w="1830" w:type="dxa"/>
            <w:vAlign w:val="center"/>
          </w:tcPr>
          <w:p w14:paraId="7C73FF3C" w14:textId="77777777" w:rsidR="008F75E2" w:rsidRDefault="008F75E2" w:rsidP="000C7CFF">
            <w:pPr>
              <w:pStyle w:val="Tablebodycopy"/>
              <w:jc w:val="center"/>
            </w:pPr>
            <w:r>
              <w:t>160</w:t>
            </w:r>
          </w:p>
        </w:tc>
        <w:tc>
          <w:tcPr>
            <w:cnfStyle w:val="000010000000" w:firstRow="0" w:lastRow="0" w:firstColumn="0" w:lastColumn="0" w:oddVBand="1" w:evenVBand="0" w:oddHBand="0" w:evenHBand="0" w:firstRowFirstColumn="0" w:firstRowLastColumn="0" w:lastRowFirstColumn="0" w:lastRowLastColumn="0"/>
            <w:tcW w:w="1830" w:type="dxa"/>
            <w:vAlign w:val="center"/>
          </w:tcPr>
          <w:p w14:paraId="09138C53" w14:textId="77777777" w:rsidR="008F75E2" w:rsidRDefault="008F75E2" w:rsidP="000C7CFF">
            <w:pPr>
              <w:pStyle w:val="Tablebodycopy"/>
              <w:jc w:val="center"/>
            </w:pPr>
            <w:r>
              <w:t>0.5%</w:t>
            </w:r>
          </w:p>
        </w:tc>
      </w:tr>
      <w:tr w:rsidR="000C7CFF" w14:paraId="1524B733" w14:textId="77777777" w:rsidTr="00AE3165">
        <w:trPr>
          <w:cnfStyle w:val="000000100000" w:firstRow="0" w:lastRow="0" w:firstColumn="0" w:lastColumn="0" w:oddVBand="0" w:evenVBand="0" w:oddHBand="1" w:evenHBand="0"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5492" w:type="dxa"/>
            <w:vAlign w:val="center"/>
          </w:tcPr>
          <w:p w14:paraId="2F33ABEC" w14:textId="77777777" w:rsidR="008F75E2" w:rsidRDefault="008F75E2" w:rsidP="000C7CFF">
            <w:pPr>
              <w:pStyle w:val="Tablebodycopy"/>
              <w:ind w:left="170"/>
            </w:pPr>
            <w:r>
              <w:t>Labour Supply Services</w:t>
            </w:r>
          </w:p>
        </w:tc>
        <w:tc>
          <w:tcPr>
            <w:cnfStyle w:val="000001000000" w:firstRow="0" w:lastRow="0" w:firstColumn="0" w:lastColumn="0" w:oddVBand="0" w:evenVBand="1" w:oddHBand="0" w:evenHBand="0" w:firstRowFirstColumn="0" w:firstRowLastColumn="0" w:lastRowFirstColumn="0" w:lastRowLastColumn="0"/>
            <w:tcW w:w="1830" w:type="dxa"/>
            <w:vAlign w:val="center"/>
          </w:tcPr>
          <w:p w14:paraId="6C575286" w14:textId="77777777" w:rsidR="008F75E2" w:rsidRDefault="008F75E2" w:rsidP="000C7CFF">
            <w:pPr>
              <w:pStyle w:val="Tablebodycopy"/>
              <w:jc w:val="center"/>
            </w:pPr>
            <w:r>
              <w:t>158</w:t>
            </w:r>
          </w:p>
        </w:tc>
        <w:tc>
          <w:tcPr>
            <w:cnfStyle w:val="000010000000" w:firstRow="0" w:lastRow="0" w:firstColumn="0" w:lastColumn="0" w:oddVBand="1" w:evenVBand="0" w:oddHBand="0" w:evenHBand="0" w:firstRowFirstColumn="0" w:firstRowLastColumn="0" w:lastRowFirstColumn="0" w:lastRowLastColumn="0"/>
            <w:tcW w:w="1830" w:type="dxa"/>
            <w:vAlign w:val="center"/>
          </w:tcPr>
          <w:p w14:paraId="6D05DE0E" w14:textId="77777777" w:rsidR="008F75E2" w:rsidRDefault="008F75E2" w:rsidP="000C7CFF">
            <w:pPr>
              <w:pStyle w:val="Tablebodycopy"/>
              <w:jc w:val="center"/>
            </w:pPr>
            <w:r>
              <w:t>0.5%</w:t>
            </w:r>
          </w:p>
        </w:tc>
      </w:tr>
      <w:tr w:rsidR="00C4200F" w14:paraId="61FCB476" w14:textId="77777777" w:rsidTr="00AE3165">
        <w:trPr>
          <w:cnfStyle w:val="000000010000" w:firstRow="0" w:lastRow="0" w:firstColumn="0" w:lastColumn="0" w:oddVBand="0" w:evenVBand="0" w:oddHBand="0" w:evenHBand="1"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5492" w:type="dxa"/>
            <w:vAlign w:val="center"/>
          </w:tcPr>
          <w:p w14:paraId="3C94D999" w14:textId="77777777" w:rsidR="008F75E2" w:rsidRDefault="008F75E2" w:rsidP="000C7CFF">
            <w:pPr>
              <w:pStyle w:val="Tablebodycopy"/>
              <w:ind w:left="170"/>
            </w:pPr>
            <w:r>
              <w:t>Coal Mining</w:t>
            </w:r>
          </w:p>
        </w:tc>
        <w:tc>
          <w:tcPr>
            <w:cnfStyle w:val="000001000000" w:firstRow="0" w:lastRow="0" w:firstColumn="0" w:lastColumn="0" w:oddVBand="0" w:evenVBand="1" w:oddHBand="0" w:evenHBand="0" w:firstRowFirstColumn="0" w:firstRowLastColumn="0" w:lastRowFirstColumn="0" w:lastRowLastColumn="0"/>
            <w:tcW w:w="1830" w:type="dxa"/>
            <w:vAlign w:val="center"/>
          </w:tcPr>
          <w:p w14:paraId="356C93A8" w14:textId="77777777" w:rsidR="008F75E2" w:rsidRDefault="008F75E2" w:rsidP="000C7CFF">
            <w:pPr>
              <w:pStyle w:val="Tablebodycopy"/>
              <w:jc w:val="center"/>
            </w:pPr>
            <w:r>
              <w:t>142</w:t>
            </w:r>
          </w:p>
        </w:tc>
        <w:tc>
          <w:tcPr>
            <w:cnfStyle w:val="000010000000" w:firstRow="0" w:lastRow="0" w:firstColumn="0" w:lastColumn="0" w:oddVBand="1" w:evenVBand="0" w:oddHBand="0" w:evenHBand="0" w:firstRowFirstColumn="0" w:firstRowLastColumn="0" w:lastRowFirstColumn="0" w:lastRowLastColumn="0"/>
            <w:tcW w:w="1830" w:type="dxa"/>
            <w:vAlign w:val="center"/>
          </w:tcPr>
          <w:p w14:paraId="21695C0A" w14:textId="77777777" w:rsidR="008F75E2" w:rsidRDefault="008F75E2" w:rsidP="000C7CFF">
            <w:pPr>
              <w:pStyle w:val="Tablebodycopy"/>
              <w:jc w:val="center"/>
            </w:pPr>
            <w:r>
              <w:t>0.5%</w:t>
            </w:r>
          </w:p>
        </w:tc>
      </w:tr>
      <w:tr w:rsidR="000C7CFF" w14:paraId="36263CB9" w14:textId="77777777" w:rsidTr="00AE3165">
        <w:trPr>
          <w:cnfStyle w:val="000000100000" w:firstRow="0" w:lastRow="0" w:firstColumn="0" w:lastColumn="0" w:oddVBand="0" w:evenVBand="0" w:oddHBand="1" w:evenHBand="0"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5492" w:type="dxa"/>
            <w:vAlign w:val="center"/>
          </w:tcPr>
          <w:p w14:paraId="36A401FD" w14:textId="77777777" w:rsidR="008F75E2" w:rsidRDefault="008F75E2" w:rsidP="000C7CFF">
            <w:pPr>
              <w:pStyle w:val="Tablebodycopy"/>
              <w:ind w:left="170"/>
            </w:pPr>
            <w:r>
              <w:t>Aged Care Residential Services</w:t>
            </w:r>
          </w:p>
        </w:tc>
        <w:tc>
          <w:tcPr>
            <w:cnfStyle w:val="000001000000" w:firstRow="0" w:lastRow="0" w:firstColumn="0" w:lastColumn="0" w:oddVBand="0" w:evenVBand="1" w:oddHBand="0" w:evenHBand="0" w:firstRowFirstColumn="0" w:firstRowLastColumn="0" w:lastRowFirstColumn="0" w:lastRowLastColumn="0"/>
            <w:tcW w:w="1830" w:type="dxa"/>
            <w:vAlign w:val="center"/>
          </w:tcPr>
          <w:p w14:paraId="4CED08B2" w14:textId="77777777" w:rsidR="008F75E2" w:rsidRDefault="008F75E2" w:rsidP="000C7CFF">
            <w:pPr>
              <w:pStyle w:val="Tablebodycopy"/>
              <w:jc w:val="center"/>
            </w:pPr>
            <w:r>
              <w:t>126</w:t>
            </w:r>
          </w:p>
        </w:tc>
        <w:tc>
          <w:tcPr>
            <w:cnfStyle w:val="000010000000" w:firstRow="0" w:lastRow="0" w:firstColumn="0" w:lastColumn="0" w:oddVBand="1" w:evenVBand="0" w:oddHBand="0" w:evenHBand="0" w:firstRowFirstColumn="0" w:firstRowLastColumn="0" w:lastRowFirstColumn="0" w:lastRowLastColumn="0"/>
            <w:tcW w:w="1830" w:type="dxa"/>
            <w:vAlign w:val="center"/>
          </w:tcPr>
          <w:p w14:paraId="3C7380F0" w14:textId="77777777" w:rsidR="008F75E2" w:rsidRDefault="008F75E2" w:rsidP="000C7CFF">
            <w:pPr>
              <w:pStyle w:val="Tablebodycopy"/>
              <w:jc w:val="center"/>
            </w:pPr>
            <w:r>
              <w:t>0.4%</w:t>
            </w:r>
          </w:p>
        </w:tc>
      </w:tr>
      <w:tr w:rsidR="00C4200F" w14:paraId="0858093C" w14:textId="77777777" w:rsidTr="00AE3165">
        <w:trPr>
          <w:cnfStyle w:val="000000010000" w:firstRow="0" w:lastRow="0" w:firstColumn="0" w:lastColumn="0" w:oddVBand="0" w:evenVBand="0" w:oddHBand="0" w:evenHBand="1"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5492" w:type="dxa"/>
            <w:vAlign w:val="center"/>
          </w:tcPr>
          <w:p w14:paraId="73F44E42" w14:textId="77777777" w:rsidR="008F75E2" w:rsidRDefault="008F75E2" w:rsidP="000C7CFF">
            <w:pPr>
              <w:pStyle w:val="Tablebodycopy"/>
              <w:ind w:left="170"/>
            </w:pPr>
            <w:r>
              <w:t>Takeaway Food Services</w:t>
            </w:r>
          </w:p>
        </w:tc>
        <w:tc>
          <w:tcPr>
            <w:cnfStyle w:val="000001000000" w:firstRow="0" w:lastRow="0" w:firstColumn="0" w:lastColumn="0" w:oddVBand="0" w:evenVBand="1" w:oddHBand="0" w:evenHBand="0" w:firstRowFirstColumn="0" w:firstRowLastColumn="0" w:lastRowFirstColumn="0" w:lastRowLastColumn="0"/>
            <w:tcW w:w="1830" w:type="dxa"/>
            <w:vAlign w:val="center"/>
          </w:tcPr>
          <w:p w14:paraId="7E6B3DFF" w14:textId="77777777" w:rsidR="008F75E2" w:rsidRDefault="008F75E2" w:rsidP="000C7CFF">
            <w:pPr>
              <w:pStyle w:val="Tablebodycopy"/>
              <w:jc w:val="center"/>
            </w:pPr>
            <w:r>
              <w:t>121</w:t>
            </w:r>
          </w:p>
        </w:tc>
        <w:tc>
          <w:tcPr>
            <w:cnfStyle w:val="000010000000" w:firstRow="0" w:lastRow="0" w:firstColumn="0" w:lastColumn="0" w:oddVBand="1" w:evenVBand="0" w:oddHBand="0" w:evenHBand="0" w:firstRowFirstColumn="0" w:firstRowLastColumn="0" w:lastRowFirstColumn="0" w:lastRowLastColumn="0"/>
            <w:tcW w:w="1830" w:type="dxa"/>
            <w:vAlign w:val="center"/>
          </w:tcPr>
          <w:p w14:paraId="733661EF" w14:textId="77777777" w:rsidR="008F75E2" w:rsidRDefault="008F75E2" w:rsidP="000C7CFF">
            <w:pPr>
              <w:pStyle w:val="Tablebodycopy"/>
              <w:jc w:val="center"/>
            </w:pPr>
            <w:r>
              <w:t>0.4%</w:t>
            </w:r>
          </w:p>
        </w:tc>
      </w:tr>
      <w:tr w:rsidR="000C7CFF" w14:paraId="25530C14" w14:textId="77777777" w:rsidTr="00AE3165">
        <w:trPr>
          <w:cnfStyle w:val="000000100000" w:firstRow="0" w:lastRow="0" w:firstColumn="0" w:lastColumn="0" w:oddVBand="0" w:evenVBand="0" w:oddHBand="1" w:evenHBand="0"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5492" w:type="dxa"/>
            <w:vAlign w:val="center"/>
          </w:tcPr>
          <w:p w14:paraId="3466FC91" w14:textId="77777777" w:rsidR="008F75E2" w:rsidRDefault="008F75E2" w:rsidP="000C7CFF">
            <w:pPr>
              <w:pStyle w:val="Tablebodycopy"/>
              <w:ind w:left="170"/>
            </w:pPr>
            <w:r>
              <w:t>Hospitals (except Psychiatric Hospitals)</w:t>
            </w:r>
          </w:p>
        </w:tc>
        <w:tc>
          <w:tcPr>
            <w:cnfStyle w:val="000001000000" w:firstRow="0" w:lastRow="0" w:firstColumn="0" w:lastColumn="0" w:oddVBand="0" w:evenVBand="1" w:oddHBand="0" w:evenHBand="0" w:firstRowFirstColumn="0" w:firstRowLastColumn="0" w:lastRowFirstColumn="0" w:lastRowLastColumn="0"/>
            <w:tcW w:w="1830" w:type="dxa"/>
            <w:vAlign w:val="center"/>
          </w:tcPr>
          <w:p w14:paraId="6DF4223C" w14:textId="77777777" w:rsidR="008F75E2" w:rsidRDefault="008F75E2" w:rsidP="000C7CFF">
            <w:pPr>
              <w:pStyle w:val="Tablebodycopy"/>
              <w:jc w:val="center"/>
            </w:pPr>
            <w:r>
              <w:t>113</w:t>
            </w:r>
          </w:p>
        </w:tc>
        <w:tc>
          <w:tcPr>
            <w:cnfStyle w:val="000010000000" w:firstRow="0" w:lastRow="0" w:firstColumn="0" w:lastColumn="0" w:oddVBand="1" w:evenVBand="0" w:oddHBand="0" w:evenHBand="0" w:firstRowFirstColumn="0" w:firstRowLastColumn="0" w:lastRowFirstColumn="0" w:lastRowLastColumn="0"/>
            <w:tcW w:w="1830" w:type="dxa"/>
            <w:vAlign w:val="center"/>
          </w:tcPr>
          <w:p w14:paraId="49D256A6" w14:textId="77777777" w:rsidR="008F75E2" w:rsidRDefault="008F75E2" w:rsidP="000C7CFF">
            <w:pPr>
              <w:pStyle w:val="Tablebodycopy"/>
              <w:jc w:val="center"/>
            </w:pPr>
            <w:r>
              <w:t>0.4%</w:t>
            </w:r>
          </w:p>
        </w:tc>
      </w:tr>
      <w:tr w:rsidR="00C4200F" w14:paraId="6D2A6FED" w14:textId="77777777" w:rsidTr="00AE3165">
        <w:trPr>
          <w:cnfStyle w:val="000000010000" w:firstRow="0" w:lastRow="0" w:firstColumn="0" w:lastColumn="0" w:oddVBand="0" w:evenVBand="0" w:oddHBand="0" w:evenHBand="1"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5492" w:type="dxa"/>
            <w:vAlign w:val="center"/>
          </w:tcPr>
          <w:p w14:paraId="7E0312B6" w14:textId="17BD24F1" w:rsidR="008F75E2" w:rsidRDefault="008F75E2" w:rsidP="000C7CFF">
            <w:pPr>
              <w:pStyle w:val="Tablebodycopy"/>
              <w:ind w:left="170"/>
            </w:pPr>
            <w:r>
              <w:t xml:space="preserve">231 more industries with 1-99 </w:t>
            </w:r>
            <w:r w:rsidR="00CC6D50">
              <w:t>VET teachers</w:t>
            </w:r>
          </w:p>
        </w:tc>
        <w:tc>
          <w:tcPr>
            <w:cnfStyle w:val="000001000000" w:firstRow="0" w:lastRow="0" w:firstColumn="0" w:lastColumn="0" w:oddVBand="0" w:evenVBand="1" w:oddHBand="0" w:evenHBand="0" w:firstRowFirstColumn="0" w:firstRowLastColumn="0" w:lastRowFirstColumn="0" w:lastRowLastColumn="0"/>
            <w:tcW w:w="1830" w:type="dxa"/>
            <w:vAlign w:val="center"/>
          </w:tcPr>
          <w:p w14:paraId="56F1B9D7" w14:textId="77777777" w:rsidR="008F75E2" w:rsidRDefault="008F75E2" w:rsidP="000C7CFF">
            <w:pPr>
              <w:pStyle w:val="Tablebodycopy"/>
              <w:jc w:val="center"/>
            </w:pPr>
            <w:r>
              <w:t>3,624</w:t>
            </w:r>
          </w:p>
        </w:tc>
        <w:tc>
          <w:tcPr>
            <w:cnfStyle w:val="000010000000" w:firstRow="0" w:lastRow="0" w:firstColumn="0" w:lastColumn="0" w:oddVBand="1" w:evenVBand="0" w:oddHBand="0" w:evenHBand="0" w:firstRowFirstColumn="0" w:firstRowLastColumn="0" w:lastRowFirstColumn="0" w:lastRowLastColumn="0"/>
            <w:tcW w:w="1830" w:type="dxa"/>
            <w:vAlign w:val="center"/>
          </w:tcPr>
          <w:p w14:paraId="12735256" w14:textId="77777777" w:rsidR="008F75E2" w:rsidRDefault="008F75E2" w:rsidP="000C7CFF">
            <w:pPr>
              <w:pStyle w:val="Tablebodycopy"/>
              <w:jc w:val="center"/>
            </w:pPr>
            <w:r>
              <w:t>12.0%</w:t>
            </w:r>
          </w:p>
        </w:tc>
      </w:tr>
      <w:tr w:rsidR="00C4200F" w14:paraId="2FA87EB7" w14:textId="77777777" w:rsidTr="009E7C74">
        <w:trPr>
          <w:cnfStyle w:val="000000100000" w:firstRow="0" w:lastRow="0" w:firstColumn="0" w:lastColumn="0" w:oddVBand="0" w:evenVBand="0" w:oddHBand="1" w:evenHBand="0"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5492" w:type="dxa"/>
            <w:tcBorders>
              <w:bottom w:val="nil"/>
            </w:tcBorders>
            <w:vAlign w:val="center"/>
          </w:tcPr>
          <w:p w14:paraId="1014CA44" w14:textId="77777777" w:rsidR="008F75E2" w:rsidRDefault="008F75E2" w:rsidP="000C7CFF">
            <w:pPr>
              <w:pStyle w:val="Tablebodycopy"/>
              <w:ind w:left="170"/>
            </w:pPr>
            <w:r>
              <w:t>Industry inadequately described or not stated</w:t>
            </w:r>
          </w:p>
        </w:tc>
        <w:tc>
          <w:tcPr>
            <w:cnfStyle w:val="000001000000" w:firstRow="0" w:lastRow="0" w:firstColumn="0" w:lastColumn="0" w:oddVBand="0" w:evenVBand="1" w:oddHBand="0" w:evenHBand="0" w:firstRowFirstColumn="0" w:firstRowLastColumn="0" w:lastRowFirstColumn="0" w:lastRowLastColumn="0"/>
            <w:tcW w:w="1830" w:type="dxa"/>
            <w:tcBorders>
              <w:bottom w:val="nil"/>
            </w:tcBorders>
            <w:vAlign w:val="center"/>
          </w:tcPr>
          <w:p w14:paraId="08A04D3A" w14:textId="77777777" w:rsidR="008F75E2" w:rsidRDefault="008F75E2" w:rsidP="000C7CFF">
            <w:pPr>
              <w:pStyle w:val="Tablebodycopy"/>
              <w:jc w:val="center"/>
            </w:pPr>
            <w:r>
              <w:t>294</w:t>
            </w:r>
          </w:p>
        </w:tc>
        <w:tc>
          <w:tcPr>
            <w:cnfStyle w:val="000010000000" w:firstRow="0" w:lastRow="0" w:firstColumn="0" w:lastColumn="0" w:oddVBand="1" w:evenVBand="0" w:oddHBand="0" w:evenHBand="0" w:firstRowFirstColumn="0" w:firstRowLastColumn="0" w:lastRowFirstColumn="0" w:lastRowLastColumn="0"/>
            <w:tcW w:w="1830" w:type="dxa"/>
            <w:tcBorders>
              <w:bottom w:val="nil"/>
            </w:tcBorders>
            <w:vAlign w:val="center"/>
          </w:tcPr>
          <w:p w14:paraId="08BF583B" w14:textId="77777777" w:rsidR="008F75E2" w:rsidRDefault="008F75E2" w:rsidP="000C7CFF">
            <w:pPr>
              <w:pStyle w:val="Tablebodycopy"/>
              <w:jc w:val="center"/>
            </w:pPr>
            <w:r>
              <w:t>1.0%</w:t>
            </w:r>
          </w:p>
        </w:tc>
      </w:tr>
      <w:tr w:rsidR="0060735F" w14:paraId="0C06B122" w14:textId="77777777" w:rsidTr="009E7C74">
        <w:trPr>
          <w:cnfStyle w:val="000000010000" w:firstRow="0" w:lastRow="0" w:firstColumn="0" w:lastColumn="0" w:oddVBand="0" w:evenVBand="0" w:oddHBand="0" w:evenHBand="1"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5492" w:type="dxa"/>
            <w:tcBorders>
              <w:bottom w:val="single" w:sz="12" w:space="0" w:color="2F005F"/>
            </w:tcBorders>
            <w:vAlign w:val="center"/>
          </w:tcPr>
          <w:p w14:paraId="6E11FD8E" w14:textId="77777777" w:rsidR="008F75E2" w:rsidRDefault="008F75E2" w:rsidP="000C7CFF">
            <w:pPr>
              <w:pStyle w:val="Tablebodycopy"/>
              <w:ind w:left="170"/>
            </w:pPr>
            <w:r w:rsidRPr="7FBE5E92">
              <w:rPr>
                <w:b/>
                <w:bCs/>
              </w:rPr>
              <w:t>Total outside Education and Training</w:t>
            </w:r>
          </w:p>
        </w:tc>
        <w:tc>
          <w:tcPr>
            <w:cnfStyle w:val="000001000000" w:firstRow="0" w:lastRow="0" w:firstColumn="0" w:lastColumn="0" w:oddVBand="0" w:evenVBand="1" w:oddHBand="0" w:evenHBand="0" w:firstRowFirstColumn="0" w:firstRowLastColumn="0" w:lastRowFirstColumn="0" w:lastRowLastColumn="0"/>
            <w:tcW w:w="1830" w:type="dxa"/>
            <w:tcBorders>
              <w:bottom w:val="single" w:sz="12" w:space="0" w:color="2F005F"/>
            </w:tcBorders>
            <w:vAlign w:val="center"/>
          </w:tcPr>
          <w:p w14:paraId="433930F0" w14:textId="77777777" w:rsidR="008F75E2" w:rsidRDefault="008F75E2" w:rsidP="000C7CFF">
            <w:pPr>
              <w:pStyle w:val="Tablebodycopy"/>
              <w:jc w:val="center"/>
            </w:pPr>
            <w:r w:rsidRPr="7FBE5E92">
              <w:rPr>
                <w:b/>
                <w:bCs/>
              </w:rPr>
              <w:t>6,125</w:t>
            </w:r>
          </w:p>
        </w:tc>
        <w:tc>
          <w:tcPr>
            <w:cnfStyle w:val="000010000000" w:firstRow="0" w:lastRow="0" w:firstColumn="0" w:lastColumn="0" w:oddVBand="1" w:evenVBand="0" w:oddHBand="0" w:evenHBand="0" w:firstRowFirstColumn="0" w:firstRowLastColumn="0" w:lastRowFirstColumn="0" w:lastRowLastColumn="0"/>
            <w:tcW w:w="1830" w:type="dxa"/>
            <w:tcBorders>
              <w:bottom w:val="single" w:sz="12" w:space="0" w:color="2F005F"/>
            </w:tcBorders>
            <w:vAlign w:val="center"/>
          </w:tcPr>
          <w:p w14:paraId="041746E0" w14:textId="77777777" w:rsidR="008F75E2" w:rsidRDefault="008F75E2" w:rsidP="000C7CFF">
            <w:pPr>
              <w:pStyle w:val="Tablebodycopy"/>
              <w:jc w:val="center"/>
            </w:pPr>
            <w:r w:rsidRPr="7FBE5E92">
              <w:rPr>
                <w:b/>
                <w:bCs/>
              </w:rPr>
              <w:t>20.3%</w:t>
            </w:r>
          </w:p>
        </w:tc>
      </w:tr>
    </w:tbl>
    <w:p w14:paraId="72D71FC6" w14:textId="49CA4041" w:rsidR="00DA0810" w:rsidRDefault="008F75E2" w:rsidP="00AE3165">
      <w:pPr>
        <w:pStyle w:val="Source"/>
        <w:spacing w:after="240"/>
      </w:pPr>
      <w:r w:rsidRPr="00A50D9B">
        <w:t>Source: ABS (2021)</w:t>
      </w:r>
      <w:r w:rsidR="00214015" w:rsidRPr="00A50D9B">
        <w:t xml:space="preserve"> </w:t>
      </w:r>
      <w:r w:rsidR="00905886" w:rsidRPr="00A50D9B">
        <w:t>Occupation</w:t>
      </w:r>
      <w:r w:rsidR="00BB5444" w:rsidRPr="00A50D9B">
        <w:t xml:space="preserve"> (OCCP)</w:t>
      </w:r>
      <w:r w:rsidR="00905886" w:rsidRPr="00A50D9B">
        <w:t xml:space="preserve"> by </w:t>
      </w:r>
      <w:r w:rsidR="00BB5444" w:rsidRPr="00A50D9B">
        <w:t>I</w:t>
      </w:r>
      <w:r w:rsidR="00905886" w:rsidRPr="00A50D9B">
        <w:t>ndustry of employment (</w:t>
      </w:r>
      <w:r w:rsidR="00BB5444" w:rsidRPr="00A50D9B">
        <w:t>INDP)</w:t>
      </w:r>
      <w:r w:rsidRPr="00A50D9B">
        <w:t>, [</w:t>
      </w:r>
      <w:r w:rsidR="00905886" w:rsidRPr="00A50D9B">
        <w:t xml:space="preserve">Census </w:t>
      </w:r>
      <w:r w:rsidRPr="00A50D9B">
        <w:t xml:space="preserve">TableBuilder], </w:t>
      </w:r>
      <w:r w:rsidR="00142C5D" w:rsidRPr="00A50D9B">
        <w:br/>
      </w:r>
      <w:r w:rsidRPr="00A50D9B">
        <w:t>accessed 27 November 2023.</w:t>
      </w:r>
    </w:p>
    <w:p w14:paraId="0374688F" w14:textId="796E053A" w:rsidR="008F75E2" w:rsidRDefault="32258A55" w:rsidP="00B90812">
      <w:pPr>
        <w:pStyle w:val="Heading3"/>
      </w:pPr>
      <w:bookmarkStart w:id="39" w:name="_Toc1702889473"/>
      <w:bookmarkStart w:id="40" w:name="_Toc1186185571"/>
      <w:r>
        <w:t xml:space="preserve">ABS occupational and industry classifications </w:t>
      </w:r>
      <w:r w:rsidR="2A668BD6">
        <w:t>for</w:t>
      </w:r>
      <w:r w:rsidR="5FFAD480">
        <w:t xml:space="preserve"> a changing</w:t>
      </w:r>
      <w:r w:rsidR="2A668BD6">
        <w:t xml:space="preserve"> </w:t>
      </w:r>
      <w:r w:rsidR="003B1A20">
        <w:br/>
      </w:r>
      <w:r>
        <w:t>VET workforce</w:t>
      </w:r>
      <w:bookmarkEnd w:id="39"/>
      <w:bookmarkEnd w:id="40"/>
      <w:r>
        <w:t xml:space="preserve"> </w:t>
      </w:r>
    </w:p>
    <w:p w14:paraId="23DBD559" w14:textId="391B2CC4" w:rsidR="008F75E2" w:rsidRDefault="00462257" w:rsidP="00E16D4F">
      <w:pPr>
        <w:pStyle w:val="Bodycopy"/>
      </w:pPr>
      <w:r w:rsidRPr="00462257">
        <w:t>There are also broader structural issues with occupational and industry ABS reporting codes not fully reflecting the modern Australian labour market. The ABS has been reviewing the Australian and New Zealand Standard Classification of Occupations (ANZSCO) with the aim of reflecting the current industry practices and shifts in workforces such as VET since 2023</w:t>
      </w:r>
      <w:r w:rsidR="008F75E2" w:rsidRPr="7FBE5E92">
        <w:t>.</w:t>
      </w:r>
      <w:r w:rsidR="008F75E2" w:rsidRPr="7AD33374">
        <w:rPr>
          <w:rStyle w:val="EndnoteReference"/>
          <w:rFonts w:asciiTheme="minorHAnsi" w:hAnsiTheme="minorHAnsi"/>
        </w:rPr>
        <w:endnoteReference w:id="5"/>
      </w:r>
      <w:r w:rsidR="008F75E2" w:rsidRPr="7FBE5E92">
        <w:t xml:space="preserve"> </w:t>
      </w:r>
      <w:r w:rsidRPr="00462257">
        <w:t>Various proposals for updates and changes to VET workforce classifications were considered by the public and have informed the approach this study takes to understanding and scoping out a more modern VET workforce for Census and other data analysis. The ABS published the latest preliminary proposed changes in June which are:</w:t>
      </w:r>
    </w:p>
    <w:p w14:paraId="19F63D59" w14:textId="0A16D1DE" w:rsidR="00462257" w:rsidRPr="00462257" w:rsidRDefault="00462257" w:rsidP="00462257">
      <w:pPr>
        <w:pStyle w:val="ListBullet"/>
      </w:pPr>
      <w:r w:rsidRPr="00462257">
        <w:t xml:space="preserve">Alternative titles of TAFE Lecturer, TAFE Teacher, VET Trainer and Assessor for Vocational Education Teacher including a specialisation of Adult Education Teacher. VET Literacy and Numeracy Educator and Workplace Trainer and Assessor were also considered in previous consultations but not proposed for adoption at this stage. </w:t>
      </w:r>
    </w:p>
    <w:p w14:paraId="169C5175" w14:textId="706A3390" w:rsidR="00462257" w:rsidRPr="00462257" w:rsidRDefault="00462257" w:rsidP="00462257">
      <w:pPr>
        <w:pStyle w:val="ListBullet"/>
      </w:pPr>
      <w:r w:rsidRPr="00462257">
        <w:lastRenderedPageBreak/>
        <w:t>Education Consultant as an alternative title for Education Advisor with specialisations such as Curriculum Advisory Teacher, Education Officer, Home-School Liaison Officer, Instructional Designer (Education), Learning Designer, Learning Technologist and</w:t>
      </w:r>
      <w:r>
        <w:t xml:space="preserve"> </w:t>
      </w:r>
      <w:r w:rsidRPr="00462257">
        <w:t>Preschool Field Officer. The current ANZSCO classification of Education Reviewer will remain the same.</w:t>
      </w:r>
    </w:p>
    <w:p w14:paraId="05EDABFB" w14:textId="4D057E74" w:rsidR="00462257" w:rsidRPr="00462257" w:rsidRDefault="00462257" w:rsidP="00462257">
      <w:pPr>
        <w:pStyle w:val="ListBullet"/>
      </w:pPr>
      <w:r w:rsidRPr="00462257">
        <w:t xml:space="preserve">New leadership and management occupation classifications with Faculty Head proposed to change to Faculty Manager with specialisations of Academic Manager (RTO), Head Teacher (TAFE) and Dean (University). Tertiary Education Administrator or Manager, Director Vocational Education, and Academic Manager (Deputy Director) were considered in previous consultations. </w:t>
      </w:r>
    </w:p>
    <w:p w14:paraId="09EB71B0" w14:textId="7BC72608" w:rsidR="00462257" w:rsidRPr="00462257" w:rsidRDefault="00462257" w:rsidP="00462257">
      <w:pPr>
        <w:pStyle w:val="ListBullet"/>
      </w:pPr>
      <w:r w:rsidRPr="00462257">
        <w:t>Other preliminary proposed changes that likely mean broader use of some occupational classification codes in VET and thus better workforce mapping include:</w:t>
      </w:r>
    </w:p>
    <w:p w14:paraId="28751494" w14:textId="3281B043" w:rsidR="00462257" w:rsidRPr="00462257" w:rsidRDefault="00462257" w:rsidP="00724454">
      <w:pPr>
        <w:pStyle w:val="ListBullet2"/>
        <w:spacing w:line="300" w:lineRule="atLeast"/>
        <w:ind w:left="680"/>
        <w:rPr>
          <w:spacing w:val="4"/>
        </w:rPr>
      </w:pPr>
      <w:r w:rsidRPr="00462257">
        <w:rPr>
          <w:spacing w:val="4"/>
        </w:rPr>
        <w:t xml:space="preserve">Alternative titles to Aboriginal and Torres Strait Islander Education Officer of Indigenous Australian Education Officer, Aboriginal and Torres Strait Islander Community Education Officer and/or Counsellor. Aboriginal and Torres Strait Islander Education Officer Coordinator is also a proposed specialisation under this occupation which is common in larger public VET providers. </w:t>
      </w:r>
    </w:p>
    <w:p w14:paraId="1C1976C8" w14:textId="3453D72D" w:rsidR="00462257" w:rsidRPr="00462257" w:rsidRDefault="00462257" w:rsidP="00724454">
      <w:pPr>
        <w:pStyle w:val="ListBullet2"/>
        <w:spacing w:line="300" w:lineRule="atLeast"/>
        <w:ind w:left="680"/>
        <w:rPr>
          <w:b/>
          <w:spacing w:val="4"/>
        </w:rPr>
      </w:pPr>
      <w:r w:rsidRPr="00462257">
        <w:rPr>
          <w:spacing w:val="4"/>
        </w:rPr>
        <w:t xml:space="preserve">Changing Teachers’ Aide to Teaching Assistant with the alternative titles of Education Assistant, Education Support Officer, Learning Support Officer, Student Support Officer and Teacher Aide. Two specialisations across this occupation are also proposed: School Services Officer and Student Liaison Officer. </w:t>
      </w:r>
    </w:p>
    <w:p w14:paraId="78EF4B05" w14:textId="4FF44DF3" w:rsidR="00697E05" w:rsidRDefault="00697E05" w:rsidP="00C662E0">
      <w:pPr>
        <w:pStyle w:val="ChartandTablelabel"/>
        <w:spacing w:before="360"/>
      </w:pPr>
      <w:bookmarkStart w:id="41" w:name="Figure_1_1"/>
      <w:r>
        <w:t xml:space="preserve">Figure </w:t>
      </w:r>
      <w:r w:rsidR="006558DC">
        <w:fldChar w:fldCharType="begin"/>
      </w:r>
      <w:r w:rsidR="006558DC">
        <w:instrText xml:space="preserve"> STYLEREF 1 \s </w:instrText>
      </w:r>
      <w:r w:rsidR="006558DC">
        <w:fldChar w:fldCharType="separate"/>
      </w:r>
      <w:r w:rsidR="00E7704E">
        <w:rPr>
          <w:noProof/>
        </w:rPr>
        <w:t>1</w:t>
      </w:r>
      <w:r w:rsidR="006558DC">
        <w:fldChar w:fldCharType="end"/>
      </w:r>
      <w:r w:rsidR="00EA1F63">
        <w:t>.</w:t>
      </w:r>
      <w:r w:rsidR="006558DC">
        <w:fldChar w:fldCharType="begin"/>
      </w:r>
      <w:r w:rsidR="006558DC">
        <w:instrText xml:space="preserve"> SEQ Figure \* ARABIC \s 1 </w:instrText>
      </w:r>
      <w:r w:rsidR="006558DC">
        <w:fldChar w:fldCharType="separate"/>
      </w:r>
      <w:r w:rsidR="00E7704E">
        <w:rPr>
          <w:noProof/>
        </w:rPr>
        <w:t>1</w:t>
      </w:r>
      <w:r w:rsidR="006558DC">
        <w:fldChar w:fldCharType="end"/>
      </w:r>
      <w:r>
        <w:t xml:space="preserve"> </w:t>
      </w:r>
      <w:r w:rsidR="00724454" w:rsidRPr="00724454">
        <w:t>Preliminary proposed specialisations for VET roles</w:t>
      </w:r>
    </w:p>
    <w:tbl>
      <w:tblPr>
        <w:tblStyle w:val="TableGrid"/>
        <w:tblW w:w="8902" w:type="dxa"/>
        <w:jc w:val="left"/>
        <w:tblCellMar>
          <w:top w:w="28" w:type="dxa"/>
          <w:left w:w="28" w:type="dxa"/>
          <w:bottom w:w="28" w:type="dxa"/>
          <w:right w:w="28" w:type="dxa"/>
        </w:tblCellMar>
        <w:tblLook w:val="0620" w:firstRow="1" w:lastRow="0" w:firstColumn="0" w:lastColumn="0" w:noHBand="1" w:noVBand="1"/>
        <w:tblDescription w:val="Alternative titles &amp; specialisations for VET Teacher:&#10;- TAFE Lecturer &#10;- TAFE Teacher &#10;- Vocational Education Teacher&#10;- Adult Education Teacher &#10;- Workplace Trainer (VET) &#10;- VET Literacy and Numeracy Educator&#10;&#10;Alternative titles &amp; specialisations for Education Advisor:&#10;- Curriculum Advisory Teacher &#10;- Education Officer &#10;- Home-school Liaison Officer&#10;- Instructional Designer (Education) &#10;- Learning Technologist &#10;- Education Reviewer (unchanged)&#10;&#10;New leadership titles for Faculty Head:&#10;- Tertiary Education Administrator or Manager &#10;- Director Vocational Education &#10;- Academic Manager (Deputy Director)&#10;"/>
      </w:tblPr>
      <w:tblGrid>
        <w:gridCol w:w="2967"/>
        <w:gridCol w:w="2821"/>
        <w:gridCol w:w="3114"/>
      </w:tblGrid>
      <w:tr w:rsidR="00377787" w14:paraId="58C8ABF4" w14:textId="77777777" w:rsidTr="003B28A9">
        <w:trPr>
          <w:cnfStyle w:val="100000000000" w:firstRow="1" w:lastRow="0" w:firstColumn="0" w:lastColumn="0" w:oddVBand="0" w:evenVBand="0" w:oddHBand="0" w:evenHBand="0" w:firstRowFirstColumn="0" w:firstRowLastColumn="0" w:lastRowFirstColumn="0" w:lastRowLastColumn="0"/>
          <w:trHeight w:val="680"/>
          <w:jc w:val="left"/>
        </w:trPr>
        <w:tc>
          <w:tcPr>
            <w:tcW w:w="8902" w:type="dxa"/>
            <w:gridSpan w:val="3"/>
            <w:tcBorders>
              <w:top w:val="nil"/>
              <w:left w:val="nil"/>
              <w:bottom w:val="single" w:sz="24" w:space="0" w:color="FFFFFF" w:themeColor="background1"/>
              <w:right w:val="nil"/>
            </w:tcBorders>
            <w:shd w:val="clear" w:color="auto" w:fill="4B0985"/>
          </w:tcPr>
          <w:bookmarkEnd w:id="41"/>
          <w:p w14:paraId="6069E024" w14:textId="733CDE77" w:rsidR="00377787" w:rsidRPr="005219F4" w:rsidRDefault="00A82296">
            <w:pPr>
              <w:pStyle w:val="TableHeader2"/>
              <w:rPr>
                <w:b w:val="0"/>
                <w:bCs w:val="0"/>
                <w:sz w:val="20"/>
                <w:szCs w:val="20"/>
              </w:rPr>
            </w:pPr>
            <w:r w:rsidRPr="00A82296">
              <w:rPr>
                <w:b w:val="0"/>
                <w:bCs w:val="0"/>
                <w:sz w:val="20"/>
                <w:szCs w:val="20"/>
              </w:rPr>
              <w:t>Alternative titles for</w:t>
            </w:r>
            <w:r>
              <w:rPr>
                <w:b w:val="0"/>
                <w:bCs w:val="0"/>
                <w:sz w:val="20"/>
                <w:szCs w:val="20"/>
              </w:rPr>
              <w:t xml:space="preserve"> </w:t>
            </w:r>
            <w:r w:rsidRPr="00A82296">
              <w:rPr>
                <w:b w:val="0"/>
                <w:bCs w:val="0"/>
                <w:sz w:val="20"/>
                <w:szCs w:val="20"/>
              </w:rPr>
              <w:t>Vocational Education Teacher</w:t>
            </w:r>
          </w:p>
        </w:tc>
      </w:tr>
      <w:tr w:rsidR="004C5B66" w14:paraId="66C6E4E5" w14:textId="77777777" w:rsidTr="00010630">
        <w:trPr>
          <w:trHeight w:val="680"/>
          <w:jc w:val="left"/>
        </w:trPr>
        <w:tc>
          <w:tcPr>
            <w:tcW w:w="2967" w:type="dxa"/>
            <w:tcBorders>
              <w:top w:val="single" w:sz="24" w:space="0" w:color="FFFFFF" w:themeColor="background1"/>
              <w:left w:val="nil"/>
              <w:bottom w:val="single" w:sz="24" w:space="0" w:color="FFFFFF" w:themeColor="background1"/>
              <w:right w:val="single" w:sz="24" w:space="0" w:color="FFFFFF" w:themeColor="background1"/>
            </w:tcBorders>
            <w:shd w:val="clear" w:color="auto" w:fill="F5E8FF"/>
          </w:tcPr>
          <w:p w14:paraId="38F7190A" w14:textId="77777777" w:rsidR="004C5B66" w:rsidRPr="00C70AE8" w:rsidRDefault="004C5B66">
            <w:pPr>
              <w:pStyle w:val="TableBody2"/>
              <w:rPr>
                <w:sz w:val="20"/>
                <w:szCs w:val="20"/>
              </w:rPr>
            </w:pPr>
            <w:r w:rsidRPr="00C70AE8">
              <w:rPr>
                <w:sz w:val="20"/>
                <w:szCs w:val="20"/>
              </w:rPr>
              <w:t>TAFE Lecturer</w:t>
            </w:r>
          </w:p>
        </w:tc>
        <w:tc>
          <w:tcPr>
            <w:tcW w:w="2821"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5E8FF"/>
          </w:tcPr>
          <w:p w14:paraId="7A885F7C" w14:textId="77777777" w:rsidR="004C5B66" w:rsidRPr="00C70AE8" w:rsidRDefault="004C5B66">
            <w:pPr>
              <w:pStyle w:val="TableBody2"/>
              <w:rPr>
                <w:sz w:val="20"/>
                <w:szCs w:val="20"/>
              </w:rPr>
            </w:pPr>
            <w:r w:rsidRPr="00C70AE8">
              <w:rPr>
                <w:sz w:val="20"/>
                <w:szCs w:val="20"/>
              </w:rPr>
              <w:t>TAFE Teacher</w:t>
            </w:r>
          </w:p>
        </w:tc>
        <w:tc>
          <w:tcPr>
            <w:tcW w:w="3114"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F5E8FF"/>
          </w:tcPr>
          <w:p w14:paraId="5CC4037E" w14:textId="3B3EB282" w:rsidR="004C5B66" w:rsidRPr="00C70AE8" w:rsidRDefault="00010630">
            <w:pPr>
              <w:pStyle w:val="TableBody2"/>
              <w:rPr>
                <w:sz w:val="20"/>
                <w:szCs w:val="20"/>
              </w:rPr>
            </w:pPr>
            <w:r w:rsidRPr="00010630">
              <w:rPr>
                <w:sz w:val="20"/>
                <w:szCs w:val="20"/>
              </w:rPr>
              <w:t>VET Trainer and Assessor</w:t>
            </w:r>
          </w:p>
        </w:tc>
      </w:tr>
      <w:tr w:rsidR="00010630" w14:paraId="32D391C8" w14:textId="77777777">
        <w:trPr>
          <w:trHeight w:val="680"/>
          <w:jc w:val="left"/>
        </w:trPr>
        <w:tc>
          <w:tcPr>
            <w:tcW w:w="8902" w:type="dxa"/>
            <w:gridSpan w:val="3"/>
            <w:tcBorders>
              <w:top w:val="single" w:sz="24" w:space="0" w:color="FFFFFF" w:themeColor="background1"/>
              <w:left w:val="nil"/>
              <w:bottom w:val="single" w:sz="24" w:space="0" w:color="FFFFFF" w:themeColor="background1"/>
              <w:right w:val="single" w:sz="24" w:space="0" w:color="FFFFFF" w:themeColor="background1"/>
            </w:tcBorders>
            <w:shd w:val="clear" w:color="auto" w:fill="F5E8FF"/>
          </w:tcPr>
          <w:p w14:paraId="44BD7237" w14:textId="061E8E6B" w:rsidR="00010630" w:rsidRPr="00C70AE8" w:rsidRDefault="00010630">
            <w:pPr>
              <w:pStyle w:val="TableBody2"/>
              <w:rPr>
                <w:sz w:val="20"/>
                <w:szCs w:val="20"/>
              </w:rPr>
            </w:pPr>
            <w:r w:rsidRPr="00010630">
              <w:rPr>
                <w:sz w:val="20"/>
                <w:szCs w:val="20"/>
              </w:rPr>
              <w:t>Specialisation: Adult Education Teacher</w:t>
            </w:r>
          </w:p>
        </w:tc>
      </w:tr>
      <w:tr w:rsidR="00377787" w14:paraId="0BCF717A" w14:textId="77777777" w:rsidTr="003B28A9">
        <w:trPr>
          <w:trHeight w:val="680"/>
          <w:jc w:val="left"/>
        </w:trPr>
        <w:tc>
          <w:tcPr>
            <w:tcW w:w="8902" w:type="dxa"/>
            <w:gridSpan w:val="3"/>
            <w:tcBorders>
              <w:top w:val="single" w:sz="24" w:space="0" w:color="FFFFFF" w:themeColor="background1"/>
              <w:left w:val="nil"/>
              <w:bottom w:val="single" w:sz="24" w:space="0" w:color="FFFFFF" w:themeColor="background1"/>
              <w:right w:val="nil"/>
            </w:tcBorders>
            <w:shd w:val="clear" w:color="auto" w:fill="4B0985"/>
          </w:tcPr>
          <w:p w14:paraId="44DDCB5C" w14:textId="42F8E7E3" w:rsidR="00377787" w:rsidRPr="005219F4" w:rsidRDefault="00010630">
            <w:pPr>
              <w:pStyle w:val="TableHeader2"/>
              <w:rPr>
                <w:b w:val="0"/>
                <w:bCs w:val="0"/>
                <w:sz w:val="20"/>
                <w:szCs w:val="20"/>
              </w:rPr>
            </w:pPr>
            <w:r w:rsidRPr="00010630">
              <w:rPr>
                <w:b w:val="0"/>
                <w:bCs w:val="0"/>
                <w:sz w:val="20"/>
                <w:szCs w:val="20"/>
              </w:rPr>
              <w:t>Proposed specialisations for Education Advisor</w:t>
            </w:r>
          </w:p>
        </w:tc>
      </w:tr>
      <w:tr w:rsidR="004C5B66" w14:paraId="34EBD70F" w14:textId="77777777" w:rsidTr="00010630">
        <w:trPr>
          <w:trHeight w:val="680"/>
          <w:jc w:val="left"/>
        </w:trPr>
        <w:tc>
          <w:tcPr>
            <w:tcW w:w="2967" w:type="dxa"/>
            <w:tcBorders>
              <w:top w:val="single" w:sz="24" w:space="0" w:color="FFFFFF" w:themeColor="background1"/>
              <w:left w:val="nil"/>
              <w:bottom w:val="single" w:sz="24" w:space="0" w:color="FFFFFF" w:themeColor="background1"/>
              <w:right w:val="single" w:sz="24" w:space="0" w:color="FFFFFF" w:themeColor="background1"/>
            </w:tcBorders>
            <w:shd w:val="clear" w:color="auto" w:fill="F5E8FF"/>
          </w:tcPr>
          <w:p w14:paraId="284F900B" w14:textId="77777777" w:rsidR="004C5B66" w:rsidRPr="00C70AE8" w:rsidRDefault="004C5B66">
            <w:pPr>
              <w:pStyle w:val="TableBody2"/>
              <w:rPr>
                <w:sz w:val="20"/>
                <w:szCs w:val="20"/>
              </w:rPr>
            </w:pPr>
            <w:r w:rsidRPr="00C70AE8">
              <w:rPr>
                <w:sz w:val="20"/>
                <w:szCs w:val="20"/>
              </w:rPr>
              <w:t>Curriculum Advisory Teacher</w:t>
            </w:r>
          </w:p>
        </w:tc>
        <w:tc>
          <w:tcPr>
            <w:tcW w:w="2821"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5E8FF"/>
          </w:tcPr>
          <w:p w14:paraId="0F55BA7C" w14:textId="77777777" w:rsidR="004C5B66" w:rsidRPr="00C70AE8" w:rsidRDefault="004C5B66">
            <w:pPr>
              <w:pStyle w:val="TableBody2"/>
              <w:rPr>
                <w:sz w:val="20"/>
                <w:szCs w:val="20"/>
              </w:rPr>
            </w:pPr>
            <w:r w:rsidRPr="00C70AE8">
              <w:rPr>
                <w:sz w:val="20"/>
                <w:szCs w:val="20"/>
              </w:rPr>
              <w:t>Education Officer</w:t>
            </w:r>
          </w:p>
        </w:tc>
        <w:tc>
          <w:tcPr>
            <w:tcW w:w="3114"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F5E8FF"/>
          </w:tcPr>
          <w:p w14:paraId="66DFDB45" w14:textId="77777777" w:rsidR="004C5B66" w:rsidRPr="00C70AE8" w:rsidRDefault="004C5B66">
            <w:pPr>
              <w:pStyle w:val="TableBody2"/>
              <w:rPr>
                <w:sz w:val="20"/>
                <w:szCs w:val="20"/>
              </w:rPr>
            </w:pPr>
            <w:r w:rsidRPr="00C70AE8">
              <w:rPr>
                <w:sz w:val="20"/>
                <w:szCs w:val="20"/>
              </w:rPr>
              <w:t>Home-school Liaison Officer</w:t>
            </w:r>
          </w:p>
        </w:tc>
      </w:tr>
      <w:tr w:rsidR="004C5B66" w14:paraId="6026481F" w14:textId="77777777" w:rsidTr="00010630">
        <w:trPr>
          <w:trHeight w:val="680"/>
          <w:jc w:val="left"/>
        </w:trPr>
        <w:tc>
          <w:tcPr>
            <w:tcW w:w="2967" w:type="dxa"/>
            <w:tcBorders>
              <w:top w:val="single" w:sz="24" w:space="0" w:color="FFFFFF" w:themeColor="background1"/>
              <w:left w:val="nil"/>
              <w:bottom w:val="single" w:sz="24" w:space="0" w:color="FFFFFF" w:themeColor="background1"/>
              <w:right w:val="single" w:sz="24" w:space="0" w:color="FFFFFF" w:themeColor="background1"/>
            </w:tcBorders>
            <w:shd w:val="clear" w:color="auto" w:fill="F5E8FF"/>
          </w:tcPr>
          <w:p w14:paraId="56A630FE" w14:textId="77777777" w:rsidR="004C5B66" w:rsidRPr="00C70AE8" w:rsidRDefault="004C5B66">
            <w:pPr>
              <w:pStyle w:val="TableBody2"/>
              <w:rPr>
                <w:sz w:val="20"/>
                <w:szCs w:val="20"/>
              </w:rPr>
            </w:pPr>
            <w:r w:rsidRPr="00C70AE8">
              <w:rPr>
                <w:sz w:val="20"/>
                <w:szCs w:val="20"/>
              </w:rPr>
              <w:t>Instructional Designer (Education)</w:t>
            </w:r>
          </w:p>
        </w:tc>
        <w:tc>
          <w:tcPr>
            <w:tcW w:w="2821"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5E8FF"/>
          </w:tcPr>
          <w:p w14:paraId="40B2523F" w14:textId="77777777" w:rsidR="004C5B66" w:rsidRPr="00C70AE8" w:rsidRDefault="004C5B66">
            <w:pPr>
              <w:pStyle w:val="TableBody2"/>
              <w:rPr>
                <w:sz w:val="20"/>
                <w:szCs w:val="20"/>
              </w:rPr>
            </w:pPr>
            <w:r w:rsidRPr="00C70AE8">
              <w:rPr>
                <w:sz w:val="20"/>
                <w:szCs w:val="20"/>
              </w:rPr>
              <w:t>Learning Technologist</w:t>
            </w:r>
          </w:p>
        </w:tc>
        <w:tc>
          <w:tcPr>
            <w:tcW w:w="3114"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F5E8FF"/>
          </w:tcPr>
          <w:p w14:paraId="140A09CA" w14:textId="104496FE" w:rsidR="004C5B66" w:rsidRPr="00C70AE8" w:rsidRDefault="00010630">
            <w:pPr>
              <w:pStyle w:val="TableBody2"/>
              <w:rPr>
                <w:sz w:val="20"/>
                <w:szCs w:val="20"/>
              </w:rPr>
            </w:pPr>
            <w:r w:rsidRPr="00010630">
              <w:rPr>
                <w:sz w:val="20"/>
                <w:szCs w:val="20"/>
              </w:rPr>
              <w:t>Learning Designer</w:t>
            </w:r>
          </w:p>
        </w:tc>
      </w:tr>
      <w:tr w:rsidR="00377787" w14:paraId="54BB1812" w14:textId="77777777" w:rsidTr="003B28A9">
        <w:trPr>
          <w:trHeight w:val="680"/>
          <w:jc w:val="left"/>
        </w:trPr>
        <w:tc>
          <w:tcPr>
            <w:tcW w:w="8902" w:type="dxa"/>
            <w:gridSpan w:val="3"/>
            <w:tcBorders>
              <w:top w:val="single" w:sz="24" w:space="0" w:color="FFFFFF" w:themeColor="background1"/>
              <w:left w:val="nil"/>
              <w:bottom w:val="single" w:sz="24" w:space="0" w:color="FFFFFF" w:themeColor="background1"/>
              <w:right w:val="nil"/>
            </w:tcBorders>
            <w:shd w:val="clear" w:color="auto" w:fill="4B0985"/>
          </w:tcPr>
          <w:p w14:paraId="48072249" w14:textId="591D8D9D" w:rsidR="00377787" w:rsidRPr="005219F4" w:rsidRDefault="00010630">
            <w:pPr>
              <w:pStyle w:val="TableHeader2"/>
              <w:rPr>
                <w:b w:val="0"/>
                <w:bCs w:val="0"/>
                <w:sz w:val="20"/>
                <w:szCs w:val="20"/>
              </w:rPr>
            </w:pPr>
            <w:r w:rsidRPr="00010630">
              <w:rPr>
                <w:b w:val="0"/>
                <w:bCs w:val="0"/>
                <w:sz w:val="20"/>
                <w:szCs w:val="20"/>
              </w:rPr>
              <w:t>Specialisations for Faculty Head which is proposed to change to Faculty Manager</w:t>
            </w:r>
          </w:p>
        </w:tc>
      </w:tr>
      <w:tr w:rsidR="004C5B66" w14:paraId="7338A7E3" w14:textId="77777777" w:rsidTr="003B28A9">
        <w:trPr>
          <w:trHeight w:val="680"/>
          <w:jc w:val="left"/>
        </w:trPr>
        <w:tc>
          <w:tcPr>
            <w:tcW w:w="2967" w:type="dxa"/>
            <w:tcBorders>
              <w:top w:val="nil"/>
              <w:left w:val="nil"/>
              <w:bottom w:val="nil"/>
              <w:right w:val="single" w:sz="24" w:space="0" w:color="FFFFFF" w:themeColor="background1"/>
            </w:tcBorders>
            <w:shd w:val="clear" w:color="auto" w:fill="F5E8FF"/>
          </w:tcPr>
          <w:p w14:paraId="276B3CAE" w14:textId="1BCCD01F" w:rsidR="004C5B66" w:rsidRPr="00C70AE8" w:rsidRDefault="00010630">
            <w:pPr>
              <w:pStyle w:val="TableBody2"/>
              <w:rPr>
                <w:sz w:val="20"/>
                <w:szCs w:val="20"/>
              </w:rPr>
            </w:pPr>
            <w:r w:rsidRPr="00010630">
              <w:rPr>
                <w:sz w:val="20"/>
                <w:szCs w:val="20"/>
              </w:rPr>
              <w:t>Dean (University)</w:t>
            </w:r>
          </w:p>
        </w:tc>
        <w:tc>
          <w:tcPr>
            <w:tcW w:w="2821"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5E8FF"/>
          </w:tcPr>
          <w:p w14:paraId="580394DC" w14:textId="0E482401" w:rsidR="004C5B66" w:rsidRPr="00C70AE8" w:rsidRDefault="00010630">
            <w:pPr>
              <w:pStyle w:val="TableBody2"/>
              <w:rPr>
                <w:sz w:val="20"/>
                <w:szCs w:val="20"/>
              </w:rPr>
            </w:pPr>
            <w:r w:rsidRPr="00010630">
              <w:rPr>
                <w:sz w:val="20"/>
                <w:szCs w:val="20"/>
              </w:rPr>
              <w:t>Head Teacher (TAFE)</w:t>
            </w:r>
          </w:p>
        </w:tc>
        <w:tc>
          <w:tcPr>
            <w:tcW w:w="3114"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F5E8FF"/>
          </w:tcPr>
          <w:p w14:paraId="1C7297DD" w14:textId="0099E168" w:rsidR="004C5B66" w:rsidRPr="00C70AE8" w:rsidRDefault="004C5B66">
            <w:pPr>
              <w:pStyle w:val="TableBody2"/>
              <w:rPr>
                <w:sz w:val="20"/>
                <w:szCs w:val="20"/>
              </w:rPr>
            </w:pPr>
            <w:r w:rsidRPr="00C70AE8">
              <w:rPr>
                <w:sz w:val="20"/>
                <w:szCs w:val="20"/>
              </w:rPr>
              <w:t>Academic Manager (</w:t>
            </w:r>
            <w:r w:rsidR="00010630">
              <w:rPr>
                <w:sz w:val="20"/>
                <w:szCs w:val="20"/>
              </w:rPr>
              <w:t>RTO</w:t>
            </w:r>
            <w:r w:rsidRPr="00C70AE8">
              <w:rPr>
                <w:sz w:val="20"/>
                <w:szCs w:val="20"/>
              </w:rPr>
              <w:t>)</w:t>
            </w:r>
          </w:p>
        </w:tc>
      </w:tr>
    </w:tbl>
    <w:p w14:paraId="50EEA8EA" w14:textId="77777777" w:rsidR="002061FC" w:rsidRDefault="002061FC">
      <w:pPr>
        <w:rPr>
          <w:spacing w:val="2"/>
        </w:rPr>
      </w:pPr>
      <w:r>
        <w:br w:type="page"/>
      </w:r>
    </w:p>
    <w:p w14:paraId="2F1E4092" w14:textId="77777777" w:rsidR="002061FC" w:rsidRDefault="002061FC" w:rsidP="00E16D4F">
      <w:pPr>
        <w:pStyle w:val="Bodycopy"/>
      </w:pPr>
      <w:r w:rsidRPr="002061FC">
        <w:lastRenderedPageBreak/>
        <w:t xml:space="preserve">These are likely more fit-for-purpose occupation classifications and better reflect the position descriptions, job roles, and organisational charts from providers of varying size and management type that were collected for this study. We have drawn on these to develop our occupational framework and job profiles in Chapter 3. </w:t>
      </w:r>
    </w:p>
    <w:p w14:paraId="4FBA30DD" w14:textId="7C359FB3" w:rsidR="002061FC" w:rsidRDefault="002061FC" w:rsidP="001B47F3">
      <w:pPr>
        <w:pStyle w:val="Bodycopy"/>
        <w:ind w:right="-166"/>
      </w:pPr>
      <w:r w:rsidRPr="002061FC">
        <w:t xml:space="preserve">However, throughout this report our analysis and data depend on the existing occupational and industry codes of ANZSCO 242211 Vocational Education Teacher and ANZSIC 8101 Technical and Vocational Education and Training industry. When we refer to the ‘VET workforce’ we are counting and combining both these categories of workers. See </w:t>
      </w:r>
      <w:hyperlink w:anchor="Figure_1_2" w:history="1">
        <w:r w:rsidRPr="001B47F3">
          <w:rPr>
            <w:rStyle w:val="Hyperlink"/>
          </w:rPr>
          <w:t>Figure 1.2</w:t>
        </w:r>
      </w:hyperlink>
      <w:r w:rsidRPr="002061FC">
        <w:t xml:space="preserve"> below for current definitions of both occupation codes. </w:t>
      </w:r>
    </w:p>
    <w:p w14:paraId="65A43F02" w14:textId="72700D46" w:rsidR="009C0E29" w:rsidRDefault="002E1EF4" w:rsidP="00E16D4F">
      <w:pPr>
        <w:pStyle w:val="Bodycopy"/>
      </w:pPr>
      <w:r w:rsidRPr="007F7F71">
        <w:t>JSA also acknowledges that there are debates around the terminology of using teacher</w:t>
      </w:r>
      <w:r w:rsidR="000163DC" w:rsidRPr="007F7F71">
        <w:t>, trainer</w:t>
      </w:r>
      <w:r w:rsidR="00DB0C7E" w:rsidRPr="007F7F71">
        <w:t>,</w:t>
      </w:r>
      <w:r w:rsidR="000163DC" w:rsidRPr="007F7F71">
        <w:t xml:space="preserve"> and assessor </w:t>
      </w:r>
      <w:r w:rsidRPr="007F7F71">
        <w:t>to describe all practitioners who deliver VET courses and qualifications and that this may not acknowledge the full extent of pedagogic and support practices various roles</w:t>
      </w:r>
      <w:r w:rsidR="00DB0C7E" w:rsidRPr="007F7F71">
        <w:t xml:space="preserve"> like</w:t>
      </w:r>
      <w:r w:rsidRPr="007F7F71">
        <w:t xml:space="preserve"> lecturers, facilitators</w:t>
      </w:r>
      <w:r w:rsidR="00DB0C7E" w:rsidRPr="007F7F71">
        <w:t xml:space="preserve"> and </w:t>
      </w:r>
      <w:r w:rsidRPr="007F7F71">
        <w:t>educators perform.</w:t>
      </w:r>
      <w:r w:rsidR="00434811" w:rsidRPr="007F7F71">
        <w:rPr>
          <w:vertAlign w:val="superscript"/>
        </w:rPr>
        <w:endnoteReference w:id="6"/>
      </w:r>
      <w:r w:rsidRPr="007F7F71">
        <w:t xml:space="preserve"> </w:t>
      </w:r>
    </w:p>
    <w:p w14:paraId="73692EE3" w14:textId="3F7651FE" w:rsidR="000D2FD8" w:rsidRPr="00ED1E2D" w:rsidRDefault="002E1EF4" w:rsidP="00E16D4F">
      <w:pPr>
        <w:pStyle w:val="Bodycopy"/>
      </w:pPr>
      <w:r w:rsidRPr="007F7F71">
        <w:t>However, as Wheel</w:t>
      </w:r>
      <w:r w:rsidR="00696DF2">
        <w:t>ah</w:t>
      </w:r>
      <w:r w:rsidRPr="007F7F71">
        <w:t xml:space="preserve">an and Curtin have noted in the past:  </w:t>
      </w:r>
    </w:p>
    <w:p w14:paraId="105DAEFF" w14:textId="62153EF9" w:rsidR="002E1EF4" w:rsidRPr="00990FBB" w:rsidRDefault="000163DC" w:rsidP="00990FBB">
      <w:pPr>
        <w:pStyle w:val="Quote"/>
      </w:pPr>
      <w:r w:rsidRPr="00990FBB">
        <w:t>T</w:t>
      </w:r>
      <w:r w:rsidR="002E1EF4" w:rsidRPr="00990FBB">
        <w:t xml:space="preserve">erms can be controversial for detracting the focus in VET away from workplace training but, conversely, the term trainer and training is critiqued for its minimalist conceptions of what </w:t>
      </w:r>
      <w:r w:rsidR="00CC6D50" w:rsidRPr="00990FBB">
        <w:t>VET teachers</w:t>
      </w:r>
      <w:r w:rsidR="002E1EF4" w:rsidRPr="00990FBB">
        <w:t xml:space="preserve"> do and the depth of skills and knowledge </w:t>
      </w:r>
      <w:r w:rsidR="00FC444A" w:rsidRPr="00990FBB">
        <w:br/>
      </w:r>
      <w:r w:rsidR="002E1EF4" w:rsidRPr="00990FBB">
        <w:t>they need to do it.</w:t>
      </w:r>
      <w:r w:rsidR="00B174EA" w:rsidRPr="00990FBB">
        <w:rPr>
          <w:vertAlign w:val="superscript"/>
        </w:rPr>
        <w:endnoteReference w:id="7"/>
      </w:r>
    </w:p>
    <w:p w14:paraId="5494DDA7" w14:textId="0E1FEF09" w:rsidR="002061FC" w:rsidRDefault="00DB0C7E" w:rsidP="00CE214C">
      <w:pPr>
        <w:pStyle w:val="Bodycopy"/>
      </w:pPr>
      <w:r w:rsidRPr="7FBE5E92">
        <w:t xml:space="preserve">This study will refer to </w:t>
      </w:r>
      <w:r w:rsidR="00957EAD" w:rsidRPr="7FBE5E92">
        <w:t>T</w:t>
      </w:r>
      <w:r w:rsidRPr="7FBE5E92">
        <w:t xml:space="preserve">each, </w:t>
      </w:r>
      <w:r w:rsidR="007F16B2" w:rsidRPr="7FBE5E92">
        <w:t>T</w:t>
      </w:r>
      <w:r w:rsidR="00957EAD" w:rsidRPr="7FBE5E92">
        <w:t>rain,</w:t>
      </w:r>
      <w:r w:rsidRPr="7FBE5E92">
        <w:t xml:space="preserve"> and </w:t>
      </w:r>
      <w:r w:rsidR="007F16B2" w:rsidRPr="7FBE5E92">
        <w:t>A</w:t>
      </w:r>
      <w:r w:rsidRPr="7FBE5E92">
        <w:t xml:space="preserve">ssess roles </w:t>
      </w:r>
      <w:r w:rsidR="00685B29" w:rsidRPr="7FBE5E92">
        <w:t>in acknowledgement of these debates but w</w:t>
      </w:r>
      <w:r w:rsidR="00F14301" w:rsidRPr="7FBE5E92">
        <w:t xml:space="preserve">hen referring specifically to </w:t>
      </w:r>
      <w:r w:rsidR="00995FA5">
        <w:t>C</w:t>
      </w:r>
      <w:r w:rsidR="00F14301" w:rsidRPr="7FBE5E92">
        <w:t>ensus and other data that is collected based on th</w:t>
      </w:r>
      <w:r w:rsidR="00FD6C24" w:rsidRPr="7FBE5E92">
        <w:t xml:space="preserve">e </w:t>
      </w:r>
      <w:r w:rsidR="00FD6C24" w:rsidRPr="00E16D4F">
        <w:t xml:space="preserve">occupational code of Vocational Education Teacher, we use this </w:t>
      </w:r>
      <w:r w:rsidR="00A425F6" w:rsidRPr="00E16D4F">
        <w:t xml:space="preserve">specific </w:t>
      </w:r>
      <w:r w:rsidR="00FD6C24" w:rsidRPr="00E16D4F">
        <w:t xml:space="preserve">language for </w:t>
      </w:r>
      <w:r w:rsidR="00A425F6" w:rsidRPr="00E16D4F">
        <w:t>data accurac</w:t>
      </w:r>
      <w:r w:rsidR="004D20C1" w:rsidRPr="00E16D4F">
        <w:t>y with an understanding of its limits</w:t>
      </w:r>
      <w:r w:rsidR="00A425F6" w:rsidRPr="00E16D4F">
        <w:t>.</w:t>
      </w:r>
      <w:bookmarkStart w:id="42" w:name="_Toc1190717805"/>
      <w:bookmarkStart w:id="43" w:name="_Toc944046911"/>
    </w:p>
    <w:p w14:paraId="7A21D687" w14:textId="77777777" w:rsidR="002061FC" w:rsidRDefault="002061FC">
      <w:pPr>
        <w:rPr>
          <w:spacing w:val="2"/>
        </w:rPr>
      </w:pPr>
      <w:r>
        <w:br w:type="page"/>
      </w:r>
    </w:p>
    <w:p w14:paraId="26F5D74A" w14:textId="020E37DC" w:rsidR="004F5660" w:rsidRDefault="004F5660" w:rsidP="00E878CE">
      <w:pPr>
        <w:pStyle w:val="ChartandTablelabel"/>
        <w:spacing w:after="120"/>
      </w:pPr>
      <w:bookmarkStart w:id="44" w:name="Figure_1_2"/>
      <w:r>
        <w:lastRenderedPageBreak/>
        <w:t xml:space="preserve">Figure </w:t>
      </w:r>
      <w:r w:rsidR="006558DC">
        <w:fldChar w:fldCharType="begin"/>
      </w:r>
      <w:r w:rsidR="006558DC">
        <w:instrText xml:space="preserve"> STYLEREF 1 \s </w:instrText>
      </w:r>
      <w:r w:rsidR="006558DC">
        <w:fldChar w:fldCharType="separate"/>
      </w:r>
      <w:r w:rsidR="00E7704E">
        <w:rPr>
          <w:noProof/>
        </w:rPr>
        <w:t>1</w:t>
      </w:r>
      <w:r w:rsidR="006558DC">
        <w:fldChar w:fldCharType="end"/>
      </w:r>
      <w:r w:rsidR="00EA1F63">
        <w:t>.</w:t>
      </w:r>
      <w:r w:rsidR="006558DC">
        <w:fldChar w:fldCharType="begin"/>
      </w:r>
      <w:r w:rsidR="006558DC">
        <w:instrText xml:space="preserve"> SEQ Figure \* ARABIC \s 1 </w:instrText>
      </w:r>
      <w:r w:rsidR="006558DC">
        <w:fldChar w:fldCharType="separate"/>
      </w:r>
      <w:r w:rsidR="00E7704E">
        <w:rPr>
          <w:noProof/>
        </w:rPr>
        <w:t>2</w:t>
      </w:r>
      <w:r w:rsidR="006558DC">
        <w:fldChar w:fldCharType="end"/>
      </w:r>
      <w:r w:rsidR="00EA1F63">
        <w:t xml:space="preserve"> </w:t>
      </w:r>
      <w:r>
        <w:t>Current ANZSCO and ANZSIC descriptions</w:t>
      </w:r>
    </w:p>
    <w:tbl>
      <w:tblPr>
        <w:tblStyle w:val="TableGrid"/>
        <w:tblW w:w="8902" w:type="dxa"/>
        <w:jc w:val="left"/>
        <w:tblBorders>
          <w:top w:val="none" w:sz="0" w:space="0" w:color="auto"/>
          <w:left w:val="none" w:sz="0" w:space="0" w:color="auto"/>
          <w:bottom w:val="single" w:sz="24" w:space="0" w:color="FFFFFF" w:themeColor="background1"/>
          <w:right w:val="none" w:sz="0" w:space="0" w:color="auto"/>
          <w:insideH w:val="single" w:sz="24" w:space="0" w:color="FFFFFF" w:themeColor="background1"/>
          <w:insideV w:val="single" w:sz="24" w:space="0" w:color="FFFFFF" w:themeColor="background1"/>
        </w:tblBorders>
        <w:tblLayout w:type="fixed"/>
        <w:tblCellMar>
          <w:top w:w="113" w:type="dxa"/>
          <w:left w:w="113" w:type="dxa"/>
          <w:bottom w:w="113" w:type="dxa"/>
          <w:right w:w="113" w:type="dxa"/>
        </w:tblCellMar>
        <w:tblLook w:val="04A0" w:firstRow="1" w:lastRow="0" w:firstColumn="1" w:lastColumn="0" w:noHBand="0" w:noVBand="1"/>
        <w:tblDescription w:val="Current ANZSCO and ANZSIC descriptions"/>
      </w:tblPr>
      <w:tblGrid>
        <w:gridCol w:w="4586"/>
        <w:gridCol w:w="4316"/>
      </w:tblGrid>
      <w:tr w:rsidR="00E878CE" w14:paraId="654C099D" w14:textId="77777777" w:rsidTr="009150A5">
        <w:trPr>
          <w:cnfStyle w:val="100000000000" w:firstRow="1" w:lastRow="0" w:firstColumn="0" w:lastColumn="0" w:oddVBand="0" w:evenVBand="0" w:oddHBand="0" w:evenHBand="0" w:firstRowFirstColumn="0" w:firstRowLastColumn="0" w:lastRowFirstColumn="0" w:lastRowLastColumn="0"/>
          <w:trHeight w:val="786"/>
          <w:tblHeader/>
          <w:jc w:val="left"/>
        </w:trPr>
        <w:tc>
          <w:tcPr>
            <w:tcW w:w="4859" w:type="dxa"/>
            <w:tcBorders>
              <w:top w:val="nil"/>
            </w:tcBorders>
            <w:shd w:val="clear" w:color="auto" w:fill="4B0985"/>
          </w:tcPr>
          <w:bookmarkEnd w:id="44"/>
          <w:p w14:paraId="6D7EC12C" w14:textId="77777777" w:rsidR="00E878CE" w:rsidRPr="00957CD4" w:rsidRDefault="00E878CE" w:rsidP="009150A5">
            <w:pPr>
              <w:pStyle w:val="TableHeader2"/>
              <w:spacing w:line="300" w:lineRule="exact"/>
              <w:rPr>
                <w:sz w:val="20"/>
                <w:szCs w:val="20"/>
                <w:lang w:val="en-AU"/>
              </w:rPr>
            </w:pPr>
            <w:r w:rsidRPr="00957CD4">
              <w:rPr>
                <w:sz w:val="20"/>
                <w:szCs w:val="20"/>
                <w:lang w:val="en-AU"/>
              </w:rPr>
              <w:t xml:space="preserve">ANZSCO </w:t>
            </w:r>
            <w:r w:rsidRPr="00957CD4">
              <w:rPr>
                <w:b w:val="0"/>
                <w:bCs w:val="0"/>
                <w:sz w:val="20"/>
                <w:szCs w:val="20"/>
                <w:lang w:val="en-AU"/>
              </w:rPr>
              <w:t xml:space="preserve">24211 Vocational Education </w:t>
            </w:r>
            <w:r w:rsidRPr="00957CD4">
              <w:rPr>
                <w:b w:val="0"/>
                <w:bCs w:val="0"/>
                <w:sz w:val="20"/>
                <w:szCs w:val="20"/>
                <w:lang w:val="en-AU"/>
              </w:rPr>
              <w:br/>
              <w:t>Teacher (Aus) / Polytechnic Teacher</w:t>
            </w:r>
          </w:p>
        </w:tc>
        <w:tc>
          <w:tcPr>
            <w:tcW w:w="4572" w:type="dxa"/>
            <w:tcBorders>
              <w:top w:val="nil"/>
            </w:tcBorders>
            <w:shd w:val="clear" w:color="auto" w:fill="4B0985"/>
          </w:tcPr>
          <w:p w14:paraId="32C5B20A" w14:textId="77777777" w:rsidR="00E878CE" w:rsidRPr="00957CD4" w:rsidRDefault="00E878CE" w:rsidP="009150A5">
            <w:pPr>
              <w:pStyle w:val="TableHeader2"/>
              <w:spacing w:line="300" w:lineRule="exact"/>
              <w:rPr>
                <w:sz w:val="20"/>
                <w:szCs w:val="20"/>
                <w:lang w:val="en-AU"/>
              </w:rPr>
            </w:pPr>
            <w:r w:rsidRPr="00957CD4">
              <w:rPr>
                <w:sz w:val="20"/>
                <w:szCs w:val="20"/>
                <w:lang w:val="en-AU"/>
              </w:rPr>
              <w:t xml:space="preserve">ANZSIC </w:t>
            </w:r>
            <w:r w:rsidRPr="00957CD4">
              <w:rPr>
                <w:b w:val="0"/>
                <w:bCs w:val="0"/>
                <w:sz w:val="20"/>
                <w:szCs w:val="20"/>
                <w:lang w:val="en-AU"/>
              </w:rPr>
              <w:t xml:space="preserve">8101 Technical and </w:t>
            </w:r>
            <w:r w:rsidRPr="00957CD4">
              <w:rPr>
                <w:b w:val="0"/>
                <w:bCs w:val="0"/>
                <w:sz w:val="20"/>
                <w:szCs w:val="20"/>
                <w:lang w:val="en-AU"/>
              </w:rPr>
              <w:br/>
              <w:t>Vocational Education and Training</w:t>
            </w:r>
          </w:p>
        </w:tc>
      </w:tr>
      <w:tr w:rsidR="00E878CE" w14:paraId="2DDC094F" w14:textId="77777777" w:rsidTr="009150A5">
        <w:trPr>
          <w:cnfStyle w:val="100000000000" w:firstRow="1" w:lastRow="0" w:firstColumn="0" w:lastColumn="0" w:oddVBand="0" w:evenVBand="0" w:oddHBand="0" w:evenHBand="0" w:firstRowFirstColumn="0" w:firstRowLastColumn="0" w:lastRowFirstColumn="0" w:lastRowLastColumn="0"/>
          <w:trHeight w:val="12335"/>
          <w:tblHeader/>
          <w:jc w:val="left"/>
        </w:trPr>
        <w:tc>
          <w:tcPr>
            <w:tcW w:w="4859" w:type="dxa"/>
            <w:shd w:val="clear" w:color="auto" w:fill="F5E8FF"/>
            <w:vAlign w:val="top"/>
          </w:tcPr>
          <w:p w14:paraId="3119C006" w14:textId="77777777" w:rsidR="00E878CE" w:rsidRPr="000C7CFF" w:rsidRDefault="00E878CE" w:rsidP="009150A5">
            <w:pPr>
              <w:pStyle w:val="TableBody2"/>
              <w:spacing w:after="240" w:line="300" w:lineRule="exact"/>
              <w:ind w:left="113"/>
              <w:jc w:val="left"/>
              <w:rPr>
                <w:sz w:val="20"/>
                <w:szCs w:val="20"/>
                <w:lang w:val="en-AU"/>
              </w:rPr>
            </w:pPr>
            <w:r w:rsidRPr="000C7CFF">
              <w:rPr>
                <w:sz w:val="20"/>
                <w:szCs w:val="20"/>
                <w:lang w:val="en-AU"/>
              </w:rPr>
              <w:t>Teaches one or more subjects within a prescribed course of study at a technical and further education (TAFE) institute, polytechnic or other training institute to tertiary students for vocational education and training purposes. Registration or licensing is required. This ANZSCO is the only in the unit group 2422 Vocational Education Teachers (Aus) / Polytechnic Teachers (NZ).</w:t>
            </w:r>
          </w:p>
          <w:p w14:paraId="43E886EA" w14:textId="77777777" w:rsidR="00E878CE" w:rsidRPr="000C7CFF" w:rsidRDefault="00E878CE" w:rsidP="009150A5">
            <w:pPr>
              <w:pStyle w:val="TableBody2"/>
              <w:spacing w:after="120" w:line="300" w:lineRule="exact"/>
              <w:ind w:left="113"/>
              <w:jc w:val="left"/>
              <w:rPr>
                <w:sz w:val="20"/>
                <w:szCs w:val="20"/>
                <w:lang w:val="en-AU"/>
              </w:rPr>
            </w:pPr>
            <w:r w:rsidRPr="000C7CFF">
              <w:rPr>
                <w:b/>
                <w:bCs/>
                <w:sz w:val="20"/>
                <w:szCs w:val="20"/>
                <w:lang w:val="en-AU"/>
              </w:rPr>
              <w:t>Tasks include:</w:t>
            </w:r>
          </w:p>
          <w:p w14:paraId="4A8C8597" w14:textId="77777777" w:rsidR="00E878CE" w:rsidRPr="000C7CFF" w:rsidRDefault="00E878CE" w:rsidP="009150A5">
            <w:pPr>
              <w:pStyle w:val="TableBody2"/>
              <w:numPr>
                <w:ilvl w:val="0"/>
                <w:numId w:val="9"/>
              </w:numPr>
              <w:spacing w:after="120" w:line="300" w:lineRule="exact"/>
              <w:ind w:left="340" w:hanging="227"/>
              <w:jc w:val="left"/>
              <w:rPr>
                <w:sz w:val="20"/>
                <w:szCs w:val="20"/>
                <w:lang w:val="en-AU"/>
              </w:rPr>
            </w:pPr>
            <w:r w:rsidRPr="000C7CFF">
              <w:rPr>
                <w:sz w:val="20"/>
                <w:szCs w:val="20"/>
                <w:lang w:val="en-AU"/>
              </w:rPr>
              <w:t>Identifying the various needs of students and creating effective learning options to meet these needs</w:t>
            </w:r>
          </w:p>
          <w:p w14:paraId="0BEDCFBE" w14:textId="77777777" w:rsidR="00E878CE" w:rsidRPr="000C7CFF" w:rsidRDefault="00E878CE" w:rsidP="009150A5">
            <w:pPr>
              <w:pStyle w:val="TableBody2"/>
              <w:numPr>
                <w:ilvl w:val="0"/>
                <w:numId w:val="9"/>
              </w:numPr>
              <w:spacing w:after="120" w:line="300" w:lineRule="exact"/>
              <w:ind w:left="340" w:hanging="227"/>
              <w:jc w:val="left"/>
              <w:rPr>
                <w:sz w:val="20"/>
                <w:szCs w:val="20"/>
                <w:lang w:val="en-AU"/>
              </w:rPr>
            </w:pPr>
            <w:r w:rsidRPr="000C7CFF">
              <w:rPr>
                <w:sz w:val="20"/>
                <w:szCs w:val="20"/>
                <w:lang w:val="en-AU"/>
              </w:rPr>
              <w:t>Liaising with individuals, industry and education sectors to ensure provision of relevant programs and services</w:t>
            </w:r>
          </w:p>
          <w:p w14:paraId="3D47765A" w14:textId="77777777" w:rsidR="00E878CE" w:rsidRPr="000C7CFF" w:rsidRDefault="00E878CE" w:rsidP="009150A5">
            <w:pPr>
              <w:pStyle w:val="TableBody2"/>
              <w:numPr>
                <w:ilvl w:val="0"/>
                <w:numId w:val="9"/>
              </w:numPr>
              <w:spacing w:after="120" w:line="300" w:lineRule="exact"/>
              <w:ind w:left="340" w:hanging="227"/>
              <w:jc w:val="left"/>
              <w:rPr>
                <w:sz w:val="20"/>
                <w:szCs w:val="20"/>
                <w:lang w:val="en-AU"/>
              </w:rPr>
            </w:pPr>
            <w:r w:rsidRPr="000C7CFF">
              <w:rPr>
                <w:sz w:val="20"/>
                <w:szCs w:val="20"/>
                <w:lang w:val="en-AU"/>
              </w:rPr>
              <w:t>Planning, designing and developing course curriculum and method of instruction</w:t>
            </w:r>
          </w:p>
          <w:p w14:paraId="79943BB9" w14:textId="77777777" w:rsidR="00E878CE" w:rsidRPr="000C7CFF" w:rsidRDefault="00E878CE" w:rsidP="009150A5">
            <w:pPr>
              <w:pStyle w:val="TableBody2"/>
              <w:numPr>
                <w:ilvl w:val="0"/>
                <w:numId w:val="9"/>
              </w:numPr>
              <w:spacing w:after="120" w:line="300" w:lineRule="exact"/>
              <w:ind w:left="340" w:hanging="227"/>
              <w:jc w:val="left"/>
              <w:rPr>
                <w:sz w:val="20"/>
                <w:szCs w:val="20"/>
                <w:lang w:val="en-AU"/>
              </w:rPr>
            </w:pPr>
            <w:r w:rsidRPr="000C7CFF">
              <w:rPr>
                <w:sz w:val="20"/>
                <w:szCs w:val="20"/>
                <w:lang w:val="en-AU"/>
              </w:rPr>
              <w:t>Advising students on courses and related matters</w:t>
            </w:r>
          </w:p>
          <w:p w14:paraId="46C43107" w14:textId="77777777" w:rsidR="00E878CE" w:rsidRPr="000C7CFF" w:rsidRDefault="00E878CE" w:rsidP="009150A5">
            <w:pPr>
              <w:pStyle w:val="TableBody2"/>
              <w:numPr>
                <w:ilvl w:val="0"/>
                <w:numId w:val="9"/>
              </w:numPr>
              <w:spacing w:after="120" w:line="300" w:lineRule="exact"/>
              <w:ind w:left="340" w:hanging="227"/>
              <w:jc w:val="left"/>
              <w:rPr>
                <w:sz w:val="20"/>
                <w:szCs w:val="20"/>
                <w:lang w:val="en-AU"/>
              </w:rPr>
            </w:pPr>
            <w:r w:rsidRPr="000C7CFF">
              <w:rPr>
                <w:sz w:val="20"/>
                <w:szCs w:val="20"/>
                <w:lang w:val="en-AU"/>
              </w:rPr>
              <w:t>Maintaining records of students’ progress, attendance and training activities</w:t>
            </w:r>
          </w:p>
          <w:p w14:paraId="6F99A717" w14:textId="77777777" w:rsidR="00E878CE" w:rsidRPr="000C7CFF" w:rsidRDefault="00E878CE" w:rsidP="009150A5">
            <w:pPr>
              <w:pStyle w:val="TableBody2"/>
              <w:numPr>
                <w:ilvl w:val="0"/>
                <w:numId w:val="9"/>
              </w:numPr>
              <w:spacing w:after="120" w:line="300" w:lineRule="exact"/>
              <w:ind w:left="340" w:hanging="227"/>
              <w:jc w:val="left"/>
              <w:rPr>
                <w:sz w:val="20"/>
                <w:szCs w:val="20"/>
                <w:lang w:val="en-AU"/>
              </w:rPr>
            </w:pPr>
            <w:r w:rsidRPr="000C7CFF">
              <w:rPr>
                <w:sz w:val="20"/>
                <w:szCs w:val="20"/>
                <w:lang w:val="en-AU"/>
              </w:rPr>
              <w:t>Teaching students using teaching aids including presentation of lesson materials, discussions, workshops, laboratory sessions, multimedia aids and computer tutorials</w:t>
            </w:r>
          </w:p>
          <w:p w14:paraId="74AC1D7B" w14:textId="77777777" w:rsidR="00E878CE" w:rsidRPr="000C7CFF" w:rsidRDefault="00E878CE" w:rsidP="009150A5">
            <w:pPr>
              <w:pStyle w:val="TableBody2"/>
              <w:numPr>
                <w:ilvl w:val="0"/>
                <w:numId w:val="9"/>
              </w:numPr>
              <w:spacing w:after="120" w:line="300" w:lineRule="exact"/>
              <w:ind w:left="340" w:hanging="227"/>
              <w:jc w:val="left"/>
              <w:rPr>
                <w:sz w:val="20"/>
                <w:szCs w:val="20"/>
                <w:lang w:val="en-AU"/>
              </w:rPr>
            </w:pPr>
            <w:r w:rsidRPr="000C7CFF">
              <w:rPr>
                <w:sz w:val="20"/>
                <w:szCs w:val="20"/>
                <w:lang w:val="en-AU"/>
              </w:rPr>
              <w:t>Marking and grading students’ assignments, papers and exams and providing feedback to students about their progress</w:t>
            </w:r>
          </w:p>
          <w:p w14:paraId="09F3E8E7" w14:textId="77777777" w:rsidR="00E878CE" w:rsidRPr="000C7CFF" w:rsidRDefault="00E878CE" w:rsidP="009150A5">
            <w:pPr>
              <w:pStyle w:val="TableBody2"/>
              <w:numPr>
                <w:ilvl w:val="0"/>
                <w:numId w:val="9"/>
              </w:numPr>
              <w:spacing w:after="120" w:line="300" w:lineRule="exact"/>
              <w:ind w:left="340" w:hanging="227"/>
              <w:jc w:val="left"/>
              <w:rPr>
                <w:sz w:val="20"/>
                <w:szCs w:val="20"/>
                <w:lang w:val="en-AU"/>
              </w:rPr>
            </w:pPr>
            <w:r w:rsidRPr="000C7CFF">
              <w:rPr>
                <w:sz w:val="20"/>
                <w:szCs w:val="20"/>
                <w:lang w:val="en-AU"/>
              </w:rPr>
              <w:t>Consulting with education managers, librarians, student counsellors and other support staff</w:t>
            </w:r>
          </w:p>
        </w:tc>
        <w:tc>
          <w:tcPr>
            <w:tcW w:w="4572" w:type="dxa"/>
            <w:shd w:val="clear" w:color="auto" w:fill="F5E8FF"/>
            <w:vAlign w:val="top"/>
          </w:tcPr>
          <w:p w14:paraId="6D3AAB13" w14:textId="77777777" w:rsidR="00E878CE" w:rsidRPr="000C7CFF" w:rsidRDefault="00E878CE" w:rsidP="009150A5">
            <w:pPr>
              <w:pStyle w:val="TableBody2"/>
              <w:spacing w:after="240" w:line="300" w:lineRule="exact"/>
              <w:ind w:left="113"/>
              <w:jc w:val="left"/>
              <w:rPr>
                <w:sz w:val="20"/>
                <w:szCs w:val="20"/>
                <w:lang w:val="en-AU"/>
              </w:rPr>
            </w:pPr>
            <w:r w:rsidRPr="000C7CFF">
              <w:rPr>
                <w:sz w:val="20"/>
                <w:szCs w:val="20"/>
                <w:lang w:val="en-AU"/>
              </w:rPr>
              <w:t xml:space="preserve">The class consists of units mainly engaged in providing technical and vocational education and training. These units offer a large variety of courses covering a range of subjects or specialise in a particular field of education such as computer and business management training. </w:t>
            </w:r>
          </w:p>
          <w:p w14:paraId="7EC1EAD7" w14:textId="77777777" w:rsidR="00E878CE" w:rsidRPr="000C7CFF" w:rsidRDefault="00E878CE" w:rsidP="009150A5">
            <w:pPr>
              <w:pStyle w:val="TableBody2"/>
              <w:spacing w:line="300" w:lineRule="exact"/>
              <w:ind w:left="113"/>
              <w:jc w:val="left"/>
              <w:rPr>
                <w:sz w:val="20"/>
                <w:szCs w:val="20"/>
                <w:lang w:val="en-AU"/>
              </w:rPr>
            </w:pPr>
            <w:r w:rsidRPr="000C7CFF">
              <w:rPr>
                <w:b/>
                <w:bCs/>
                <w:sz w:val="20"/>
                <w:szCs w:val="20"/>
                <w:lang w:val="en-AU"/>
              </w:rPr>
              <w:t>Primary activities:</w:t>
            </w:r>
          </w:p>
          <w:p w14:paraId="705B2C85" w14:textId="77777777" w:rsidR="00E878CE" w:rsidRPr="000C7CFF" w:rsidRDefault="00E878CE" w:rsidP="00C662E0">
            <w:pPr>
              <w:pStyle w:val="TableBody2"/>
              <w:numPr>
                <w:ilvl w:val="0"/>
                <w:numId w:val="10"/>
              </w:numPr>
              <w:spacing w:after="80" w:line="300" w:lineRule="exact"/>
              <w:ind w:left="340" w:hanging="227"/>
              <w:jc w:val="left"/>
              <w:rPr>
                <w:sz w:val="20"/>
                <w:szCs w:val="20"/>
                <w:lang w:val="en-AU"/>
              </w:rPr>
            </w:pPr>
            <w:r w:rsidRPr="000C7CFF">
              <w:rPr>
                <w:sz w:val="20"/>
                <w:szCs w:val="20"/>
                <w:lang w:val="en-AU"/>
              </w:rPr>
              <w:t>Apprenticeship training program operation</w:t>
            </w:r>
          </w:p>
          <w:p w14:paraId="74C7D23D" w14:textId="77777777" w:rsidR="00E878CE" w:rsidRPr="000C7CFF" w:rsidRDefault="00E878CE" w:rsidP="00C662E0">
            <w:pPr>
              <w:pStyle w:val="TableBody2"/>
              <w:numPr>
                <w:ilvl w:val="0"/>
                <w:numId w:val="10"/>
              </w:numPr>
              <w:spacing w:after="80" w:line="300" w:lineRule="exact"/>
              <w:ind w:left="340" w:hanging="227"/>
              <w:jc w:val="left"/>
              <w:rPr>
                <w:sz w:val="20"/>
                <w:szCs w:val="20"/>
                <w:lang w:val="en-AU"/>
              </w:rPr>
            </w:pPr>
            <w:r w:rsidRPr="000C7CFF">
              <w:rPr>
                <w:sz w:val="20"/>
                <w:szCs w:val="20"/>
                <w:lang w:val="en-AU"/>
              </w:rPr>
              <w:t>Business college and school operation</w:t>
            </w:r>
          </w:p>
          <w:p w14:paraId="30D96BF7" w14:textId="77777777" w:rsidR="00E878CE" w:rsidRPr="000C7CFF" w:rsidRDefault="00E878CE" w:rsidP="00C662E0">
            <w:pPr>
              <w:pStyle w:val="TableBody2"/>
              <w:numPr>
                <w:ilvl w:val="0"/>
                <w:numId w:val="10"/>
              </w:numPr>
              <w:spacing w:after="80" w:line="300" w:lineRule="exact"/>
              <w:ind w:left="340" w:hanging="227"/>
              <w:jc w:val="left"/>
              <w:rPr>
                <w:sz w:val="20"/>
                <w:szCs w:val="20"/>
                <w:lang w:val="en-AU"/>
              </w:rPr>
            </w:pPr>
            <w:r w:rsidRPr="000C7CFF">
              <w:rPr>
                <w:sz w:val="20"/>
                <w:szCs w:val="20"/>
                <w:lang w:val="en-AU"/>
              </w:rPr>
              <w:t>Information technology training centre operation</w:t>
            </w:r>
          </w:p>
          <w:p w14:paraId="200FBBAC" w14:textId="77777777" w:rsidR="00E878CE" w:rsidRPr="000C7CFF" w:rsidRDefault="00E878CE" w:rsidP="00C662E0">
            <w:pPr>
              <w:pStyle w:val="TableBody2"/>
              <w:numPr>
                <w:ilvl w:val="0"/>
                <w:numId w:val="10"/>
              </w:numPr>
              <w:spacing w:after="80" w:line="300" w:lineRule="exact"/>
              <w:ind w:left="340" w:hanging="227"/>
              <w:jc w:val="left"/>
              <w:rPr>
                <w:sz w:val="20"/>
                <w:szCs w:val="20"/>
                <w:lang w:val="en-AU"/>
              </w:rPr>
            </w:pPr>
            <w:r w:rsidRPr="000C7CFF">
              <w:rPr>
                <w:sz w:val="20"/>
                <w:szCs w:val="20"/>
                <w:lang w:val="en-AU"/>
              </w:rPr>
              <w:t xml:space="preserve">Institute of technology operation </w:t>
            </w:r>
          </w:p>
          <w:p w14:paraId="169F8044" w14:textId="77777777" w:rsidR="00E878CE" w:rsidRPr="000C7CFF" w:rsidRDefault="00E878CE" w:rsidP="00C662E0">
            <w:pPr>
              <w:pStyle w:val="TableBody2"/>
              <w:numPr>
                <w:ilvl w:val="0"/>
                <w:numId w:val="10"/>
              </w:numPr>
              <w:spacing w:after="80" w:line="300" w:lineRule="exact"/>
              <w:ind w:left="340" w:hanging="227"/>
              <w:jc w:val="left"/>
              <w:rPr>
                <w:sz w:val="20"/>
                <w:szCs w:val="20"/>
                <w:lang w:val="en-AU"/>
              </w:rPr>
            </w:pPr>
            <w:r w:rsidRPr="000C7CFF">
              <w:rPr>
                <w:sz w:val="20"/>
                <w:szCs w:val="20"/>
                <w:lang w:val="en-AU"/>
              </w:rPr>
              <w:t>Professional and management development training</w:t>
            </w:r>
          </w:p>
          <w:p w14:paraId="00086ED3" w14:textId="77777777" w:rsidR="00E878CE" w:rsidRPr="000C7CFF" w:rsidRDefault="00E878CE" w:rsidP="00C662E0">
            <w:pPr>
              <w:pStyle w:val="TableBody2"/>
              <w:numPr>
                <w:ilvl w:val="0"/>
                <w:numId w:val="10"/>
              </w:numPr>
              <w:spacing w:after="80" w:line="300" w:lineRule="exact"/>
              <w:ind w:left="340" w:hanging="227"/>
              <w:jc w:val="left"/>
              <w:rPr>
                <w:sz w:val="20"/>
                <w:szCs w:val="20"/>
                <w:lang w:val="en-AU"/>
              </w:rPr>
            </w:pPr>
            <w:r w:rsidRPr="000C7CFF">
              <w:rPr>
                <w:sz w:val="20"/>
                <w:szCs w:val="20"/>
                <w:lang w:val="en-AU"/>
              </w:rPr>
              <w:t>Technical and further education college operation</w:t>
            </w:r>
          </w:p>
          <w:p w14:paraId="5E903804" w14:textId="77777777" w:rsidR="00E878CE" w:rsidRPr="000C7CFF" w:rsidRDefault="00E878CE" w:rsidP="00C662E0">
            <w:pPr>
              <w:pStyle w:val="TableBody2"/>
              <w:numPr>
                <w:ilvl w:val="0"/>
                <w:numId w:val="10"/>
              </w:numPr>
              <w:spacing w:after="80" w:line="300" w:lineRule="exact"/>
              <w:ind w:left="340" w:hanging="227"/>
              <w:jc w:val="left"/>
              <w:rPr>
                <w:sz w:val="20"/>
                <w:szCs w:val="20"/>
                <w:lang w:val="en-AU"/>
              </w:rPr>
            </w:pPr>
            <w:r w:rsidRPr="000C7CFF">
              <w:rPr>
                <w:sz w:val="20"/>
                <w:szCs w:val="20"/>
                <w:lang w:val="en-AU"/>
              </w:rPr>
              <w:t>Technical college operation</w:t>
            </w:r>
          </w:p>
          <w:p w14:paraId="5DC1E777" w14:textId="77777777" w:rsidR="00E878CE" w:rsidRPr="000C7CFF" w:rsidRDefault="00E878CE" w:rsidP="009150A5">
            <w:pPr>
              <w:pStyle w:val="TableBody2"/>
              <w:numPr>
                <w:ilvl w:val="0"/>
                <w:numId w:val="10"/>
              </w:numPr>
              <w:spacing w:after="240" w:line="300" w:lineRule="exact"/>
              <w:ind w:left="340" w:hanging="227"/>
              <w:jc w:val="left"/>
              <w:rPr>
                <w:sz w:val="20"/>
                <w:szCs w:val="20"/>
                <w:lang w:val="en-AU"/>
              </w:rPr>
            </w:pPr>
            <w:r w:rsidRPr="000C7CFF">
              <w:rPr>
                <w:sz w:val="20"/>
                <w:szCs w:val="20"/>
                <w:lang w:val="en-AU"/>
              </w:rPr>
              <w:t>Vocational computer training</w:t>
            </w:r>
          </w:p>
          <w:p w14:paraId="72D9AAED" w14:textId="77777777" w:rsidR="00E878CE" w:rsidRPr="000C7CFF" w:rsidRDefault="00E878CE" w:rsidP="009150A5">
            <w:pPr>
              <w:pStyle w:val="TableBody2"/>
              <w:spacing w:line="300" w:lineRule="exact"/>
              <w:ind w:left="113"/>
              <w:jc w:val="left"/>
              <w:rPr>
                <w:sz w:val="20"/>
                <w:szCs w:val="20"/>
                <w:lang w:val="en-AU"/>
              </w:rPr>
            </w:pPr>
            <w:r w:rsidRPr="000C7CFF">
              <w:rPr>
                <w:b/>
                <w:bCs/>
                <w:sz w:val="20"/>
                <w:szCs w:val="20"/>
                <w:lang w:val="en-AU"/>
              </w:rPr>
              <w:t>Exclusions/References:</w:t>
            </w:r>
          </w:p>
          <w:p w14:paraId="237F391D" w14:textId="77777777" w:rsidR="00E878CE" w:rsidRPr="000C7CFF" w:rsidRDefault="00E878CE" w:rsidP="00C662E0">
            <w:pPr>
              <w:pStyle w:val="TableBody2"/>
              <w:numPr>
                <w:ilvl w:val="0"/>
                <w:numId w:val="11"/>
              </w:numPr>
              <w:spacing w:after="80" w:line="300" w:lineRule="exact"/>
              <w:ind w:left="340" w:hanging="227"/>
              <w:jc w:val="left"/>
              <w:rPr>
                <w:sz w:val="20"/>
                <w:szCs w:val="20"/>
                <w:lang w:val="en-AU"/>
              </w:rPr>
            </w:pPr>
            <w:r w:rsidRPr="000C7CFF">
              <w:rPr>
                <w:sz w:val="20"/>
                <w:szCs w:val="20"/>
                <w:lang w:val="en-AU"/>
              </w:rPr>
              <w:t>Providing sports and physical recreation coaching not predominantly leading to tertiary qualifications are included in Class 8211 Sports and Physical Recreation Instruction; and</w:t>
            </w:r>
          </w:p>
          <w:p w14:paraId="62BEE07B" w14:textId="77777777" w:rsidR="00E878CE" w:rsidRPr="000C7CFF" w:rsidRDefault="00E878CE" w:rsidP="009150A5">
            <w:pPr>
              <w:pStyle w:val="TableBody2"/>
              <w:numPr>
                <w:ilvl w:val="0"/>
                <w:numId w:val="11"/>
              </w:numPr>
              <w:spacing w:line="300" w:lineRule="exact"/>
              <w:ind w:left="340" w:hanging="227"/>
              <w:jc w:val="left"/>
              <w:rPr>
                <w:sz w:val="20"/>
                <w:szCs w:val="20"/>
                <w:lang w:val="en-AU"/>
              </w:rPr>
            </w:pPr>
            <w:r w:rsidRPr="000C7CFF">
              <w:rPr>
                <w:sz w:val="20"/>
                <w:szCs w:val="20"/>
                <w:lang w:val="en-AU"/>
              </w:rPr>
              <w:t xml:space="preserve">Providing education in the arts not predominantly leading to tertiary qualifications are included in </w:t>
            </w:r>
            <w:r w:rsidRPr="000C7CFF">
              <w:rPr>
                <w:sz w:val="20"/>
                <w:szCs w:val="20"/>
                <w:lang w:val="en-AU"/>
              </w:rPr>
              <w:br/>
              <w:t xml:space="preserve">Class 8212 Arts Education. </w:t>
            </w:r>
          </w:p>
          <w:p w14:paraId="4FB6AB72" w14:textId="77777777" w:rsidR="00E878CE" w:rsidRPr="000C7CFF" w:rsidRDefault="00E878CE" w:rsidP="009150A5">
            <w:pPr>
              <w:pStyle w:val="TableBody2"/>
              <w:spacing w:line="300" w:lineRule="exact"/>
              <w:ind w:left="113"/>
              <w:jc w:val="left"/>
              <w:rPr>
                <w:sz w:val="20"/>
                <w:szCs w:val="20"/>
                <w:lang w:val="en-AU"/>
              </w:rPr>
            </w:pPr>
            <w:r w:rsidRPr="000C7CFF">
              <w:rPr>
                <w:sz w:val="20"/>
                <w:szCs w:val="20"/>
                <w:lang w:val="en-AU"/>
              </w:rPr>
              <w:t xml:space="preserve"> </w:t>
            </w:r>
          </w:p>
        </w:tc>
      </w:tr>
    </w:tbl>
    <w:p w14:paraId="47D8B145" w14:textId="24054CC4" w:rsidR="008F75E2" w:rsidRDefault="5C0F1D99" w:rsidP="00B90812">
      <w:pPr>
        <w:pStyle w:val="Heading2"/>
      </w:pPr>
      <w:bookmarkStart w:id="45" w:name="_Toc1737258695"/>
      <w:bookmarkStart w:id="46" w:name="_Toc283536174"/>
      <w:bookmarkStart w:id="47" w:name="_Toc176770975"/>
      <w:r>
        <w:lastRenderedPageBreak/>
        <w:t>A new approach</w:t>
      </w:r>
      <w:bookmarkEnd w:id="42"/>
      <w:r w:rsidR="5FFAD480">
        <w:t>: a</w:t>
      </w:r>
      <w:r w:rsidR="485E3D07">
        <w:t xml:space="preserve"> </w:t>
      </w:r>
      <w:r w:rsidR="5F4E2D2D">
        <w:t>V</w:t>
      </w:r>
      <w:r w:rsidR="32258A55">
        <w:t xml:space="preserve">ET workforce </w:t>
      </w:r>
      <w:r w:rsidR="5FFAD480">
        <w:t>taxonomy</w:t>
      </w:r>
      <w:r w:rsidR="5E769130">
        <w:t xml:space="preserve"> and occupational framework</w:t>
      </w:r>
      <w:bookmarkEnd w:id="43"/>
      <w:bookmarkEnd w:id="45"/>
      <w:bookmarkEnd w:id="46"/>
      <w:bookmarkEnd w:id="47"/>
    </w:p>
    <w:p w14:paraId="5F1572F7" w14:textId="221AF89F" w:rsidR="008F75E2" w:rsidRDefault="008F75E2" w:rsidP="00E16D4F">
      <w:pPr>
        <w:pStyle w:val="Bodycopy"/>
        <w:spacing w:after="240"/>
        <w:rPr>
          <w:rFonts w:asciiTheme="minorHAnsi" w:hAnsiTheme="minorHAnsi"/>
        </w:rPr>
      </w:pPr>
      <w:r>
        <w:t>Using the occupational categories found in the Census, and then further refined with analysis of position descriptions gathered from RTOs and engagement with leaders and experts from the sector, we have developed a VET workforce taxonomy</w:t>
      </w:r>
      <w:r w:rsidR="00B337A8">
        <w:t xml:space="preserve"> to </w:t>
      </w:r>
      <w:r w:rsidR="00957EAD">
        <w:t>analyse data in a new</w:t>
      </w:r>
      <w:r w:rsidR="000234EC">
        <w:t xml:space="preserve"> way and </w:t>
      </w:r>
      <w:r w:rsidR="000234EC">
        <w:rPr>
          <w:rFonts w:asciiTheme="minorHAnsi" w:hAnsiTheme="minorHAnsi"/>
        </w:rPr>
        <w:t xml:space="preserve">give a frame </w:t>
      </w:r>
      <w:r w:rsidR="000234EC">
        <w:t xml:space="preserve">for governments, RTOs, and individuals to consider emerging roles, pathways and issues in the VET workforce. </w:t>
      </w:r>
      <w:r w:rsidR="00716702">
        <w:t xml:space="preserve">The taxonomy </w:t>
      </w:r>
      <w:r w:rsidR="00704FD5">
        <w:t>categorises</w:t>
      </w:r>
      <w:r w:rsidR="00716702">
        <w:t xml:space="preserve"> the workforce into six</w:t>
      </w:r>
      <w:r w:rsidR="00704FD5">
        <w:t xml:space="preserve"> segments:</w:t>
      </w:r>
    </w:p>
    <w:p w14:paraId="54E851D5" w14:textId="5FA03445" w:rsidR="008F75E2" w:rsidRPr="00E16D4F" w:rsidRDefault="00CB29F6" w:rsidP="000C051B">
      <w:pPr>
        <w:pStyle w:val="ListBullet6"/>
        <w:numPr>
          <w:ilvl w:val="0"/>
          <w:numId w:val="19"/>
        </w:numPr>
        <w:ind w:left="426" w:hanging="426"/>
      </w:pPr>
      <w:r>
        <w:t>Teach, Train, and Assess</w:t>
      </w:r>
    </w:p>
    <w:p w14:paraId="6F984BFE" w14:textId="65DAB5FD" w:rsidR="008F75E2" w:rsidRPr="00E16D4F" w:rsidRDefault="008F75E2" w:rsidP="000C051B">
      <w:pPr>
        <w:pStyle w:val="ListBullet6"/>
        <w:numPr>
          <w:ilvl w:val="0"/>
          <w:numId w:val="19"/>
        </w:numPr>
        <w:ind w:left="426" w:hanging="426"/>
      </w:pPr>
      <w:r w:rsidRPr="00E16D4F">
        <w:t>Curriculum and Learning Design</w:t>
      </w:r>
    </w:p>
    <w:p w14:paraId="40A83387" w14:textId="5DB976B8" w:rsidR="008F75E2" w:rsidRPr="00E16D4F" w:rsidRDefault="008F75E2" w:rsidP="000C051B">
      <w:pPr>
        <w:pStyle w:val="ListBullet6"/>
        <w:numPr>
          <w:ilvl w:val="0"/>
          <w:numId w:val="19"/>
        </w:numPr>
        <w:ind w:left="426" w:hanging="426"/>
      </w:pPr>
      <w:r w:rsidRPr="00E16D4F">
        <w:t>Quality Assurance and Compliance</w:t>
      </w:r>
    </w:p>
    <w:p w14:paraId="0FCD9D62" w14:textId="7FA64B2B" w:rsidR="008F75E2" w:rsidRPr="00E16D4F" w:rsidRDefault="008F75E2" w:rsidP="000C051B">
      <w:pPr>
        <w:pStyle w:val="ListBullet6"/>
        <w:numPr>
          <w:ilvl w:val="0"/>
          <w:numId w:val="19"/>
        </w:numPr>
        <w:ind w:left="426" w:hanging="426"/>
      </w:pPr>
      <w:r w:rsidRPr="00E16D4F">
        <w:t xml:space="preserve">Leadership </w:t>
      </w:r>
    </w:p>
    <w:p w14:paraId="6888FC93" w14:textId="6ABB93D0" w:rsidR="00417C9E" w:rsidRPr="00E16D4F" w:rsidRDefault="00C557C2" w:rsidP="000C051B">
      <w:pPr>
        <w:pStyle w:val="ListBullet6"/>
        <w:numPr>
          <w:ilvl w:val="0"/>
          <w:numId w:val="19"/>
        </w:numPr>
        <w:ind w:left="426" w:hanging="426"/>
      </w:pPr>
      <w:r w:rsidRPr="00E16D4F">
        <w:t xml:space="preserve">Learning </w:t>
      </w:r>
      <w:r w:rsidR="008F75E2" w:rsidRPr="00E16D4F">
        <w:t xml:space="preserve">Support </w:t>
      </w:r>
    </w:p>
    <w:p w14:paraId="5E1B7C2F" w14:textId="4F8885F8" w:rsidR="008F75E2" w:rsidRPr="00E16D4F" w:rsidRDefault="008F75E2" w:rsidP="000C051B">
      <w:pPr>
        <w:pStyle w:val="ListBullet6"/>
        <w:numPr>
          <w:ilvl w:val="0"/>
          <w:numId w:val="19"/>
        </w:numPr>
        <w:spacing w:after="240"/>
        <w:ind w:left="426" w:hanging="426"/>
      </w:pPr>
      <w:r w:rsidRPr="00E16D4F">
        <w:t>Administration</w:t>
      </w:r>
      <w:r w:rsidR="00417C9E" w:rsidRPr="00E16D4F">
        <w:t xml:space="preserve"> and Operations</w:t>
      </w:r>
    </w:p>
    <w:p w14:paraId="71213CF0" w14:textId="217B449D" w:rsidR="003A35D9" w:rsidRDefault="00A32EE9" w:rsidP="003A35D9">
      <w:pPr>
        <w:pStyle w:val="Bodycopy"/>
        <w:spacing w:after="240"/>
      </w:pPr>
      <w:r w:rsidRPr="28A4995B">
        <w:t xml:space="preserve">A visual representation of the JSA workforce taxonomy and example job roles in each segment is summarised in </w:t>
      </w:r>
      <w:hyperlink w:anchor="Figure_1_3" w:history="1">
        <w:r w:rsidRPr="00BE6AC1">
          <w:rPr>
            <w:rStyle w:val="Hyperlink"/>
          </w:rPr>
          <w:t>Figure 1</w:t>
        </w:r>
        <w:r w:rsidR="00ED1E2D" w:rsidRPr="00BE6AC1">
          <w:rPr>
            <w:rStyle w:val="Hyperlink"/>
          </w:rPr>
          <w:t>.</w:t>
        </w:r>
        <w:r w:rsidR="185B5B89" w:rsidRPr="00BE6AC1">
          <w:rPr>
            <w:rStyle w:val="Hyperlink"/>
          </w:rPr>
          <w:t>3</w:t>
        </w:r>
      </w:hyperlink>
      <w:r w:rsidRPr="28A4995B">
        <w:t xml:space="preserve">. This is not an exhaustive list of job roles and indeed some job roles cross more than one segment. For example, </w:t>
      </w:r>
      <w:r w:rsidR="00C60327">
        <w:t>F</w:t>
      </w:r>
      <w:r w:rsidRPr="28A4995B">
        <w:t xml:space="preserve">aculty </w:t>
      </w:r>
      <w:r w:rsidR="00C60327">
        <w:t>H</w:t>
      </w:r>
      <w:r w:rsidRPr="28A4995B">
        <w:t>eads, depending on the size of the provider may be in part-time teaching roles or in distinct educational executive positions</w:t>
      </w:r>
      <w:r w:rsidR="000176C9" w:rsidRPr="28A4995B">
        <w:t>.</w:t>
      </w:r>
      <w:r w:rsidRPr="28A4995B">
        <w:t xml:space="preserve"> </w:t>
      </w:r>
      <w:r w:rsidR="000176C9" w:rsidRPr="28A4995B">
        <w:t>H</w:t>
      </w:r>
      <w:r w:rsidRPr="28A4995B">
        <w:t>owever</w:t>
      </w:r>
      <w:r w:rsidR="00ED1E2D" w:rsidRPr="28A4995B">
        <w:t>,</w:t>
      </w:r>
      <w:r w:rsidRPr="28A4995B">
        <w:t xml:space="preserve"> </w:t>
      </w:r>
      <w:r w:rsidR="000176C9" w:rsidRPr="28A4995B">
        <w:t>the taxonomy</w:t>
      </w:r>
      <w:r w:rsidRPr="28A4995B">
        <w:t xml:space="preserve"> provides a new frame in understanding the workforce and analysing existing data.</w:t>
      </w:r>
      <w:r w:rsidR="00422759">
        <w:t xml:space="preserve"> </w:t>
      </w:r>
    </w:p>
    <w:p w14:paraId="3D1F73DA" w14:textId="73B90440" w:rsidR="003A35D9" w:rsidRDefault="003A35D9">
      <w:pPr>
        <w:rPr>
          <w:spacing w:val="2"/>
        </w:rPr>
      </w:pPr>
      <w:r>
        <w:rPr>
          <w:noProof/>
        </w:rPr>
        <w:drawing>
          <wp:inline distT="0" distB="0" distL="0" distR="0" wp14:anchorId="74FC196C" wp14:editId="18145A39">
            <wp:extent cx="5652000" cy="3974400"/>
            <wp:effectExtent l="0" t="0" r="6350" b="7620"/>
            <wp:docPr id="1210459538" name="Picture 3" descr="Male educator with clipboard talking to his student in a classroom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459538" name="Picture 3" descr="Male educator with clipboard talking to his student in a classroom settin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52000" cy="397440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0D60AD76" w14:textId="78C85503" w:rsidR="003C49A1" w:rsidRDefault="003C49A1" w:rsidP="007C0EAB">
      <w:pPr>
        <w:pStyle w:val="ChartandTablelabel"/>
      </w:pPr>
      <w:bookmarkStart w:id="48" w:name="Figure_1_3"/>
      <w:r>
        <w:lastRenderedPageBreak/>
        <w:t xml:space="preserve">Figure </w:t>
      </w:r>
      <w:r w:rsidR="006558DC">
        <w:fldChar w:fldCharType="begin"/>
      </w:r>
      <w:r w:rsidR="006558DC">
        <w:instrText xml:space="preserve"> STYLEREF 1 \s </w:instrText>
      </w:r>
      <w:r w:rsidR="006558DC">
        <w:fldChar w:fldCharType="separate"/>
      </w:r>
      <w:r w:rsidR="00E7704E">
        <w:rPr>
          <w:noProof/>
        </w:rPr>
        <w:t>1</w:t>
      </w:r>
      <w:r w:rsidR="006558DC">
        <w:fldChar w:fldCharType="end"/>
      </w:r>
      <w:r w:rsidR="00EA1F63">
        <w:t>.</w:t>
      </w:r>
      <w:r w:rsidR="006558DC">
        <w:fldChar w:fldCharType="begin"/>
      </w:r>
      <w:r w:rsidR="006558DC">
        <w:instrText xml:space="preserve"> SEQ Figure \* ARABIC \s 1 </w:instrText>
      </w:r>
      <w:r w:rsidR="006558DC">
        <w:fldChar w:fldCharType="separate"/>
      </w:r>
      <w:r w:rsidR="00E7704E">
        <w:rPr>
          <w:noProof/>
        </w:rPr>
        <w:t>3</w:t>
      </w:r>
      <w:r w:rsidR="006558DC">
        <w:fldChar w:fldCharType="end"/>
      </w:r>
      <w:r>
        <w:t xml:space="preserve"> JSA VET Workforce Taxonomy</w:t>
      </w:r>
    </w:p>
    <w:tbl>
      <w:tblPr>
        <w:tblStyle w:val="TableGrid"/>
        <w:tblW w:w="8902" w:type="dxa"/>
        <w:jc w:val="left"/>
        <w:tblCellMar>
          <w:left w:w="0" w:type="dxa"/>
          <w:right w:w="0" w:type="dxa"/>
        </w:tblCellMar>
        <w:tblLook w:val="04A0" w:firstRow="1" w:lastRow="0" w:firstColumn="1" w:lastColumn="0" w:noHBand="0" w:noVBand="1"/>
        <w:tblDescription w:val="JSA VET Workforce Taxonomy"/>
      </w:tblPr>
      <w:tblGrid>
        <w:gridCol w:w="2970"/>
        <w:gridCol w:w="2818"/>
        <w:gridCol w:w="3114"/>
      </w:tblGrid>
      <w:tr w:rsidR="003E04CB" w14:paraId="777014E8" w14:textId="77777777" w:rsidTr="002B0F9B">
        <w:trPr>
          <w:cnfStyle w:val="100000000000" w:firstRow="1" w:lastRow="0" w:firstColumn="0" w:lastColumn="0" w:oddVBand="0" w:evenVBand="0" w:oddHBand="0" w:evenHBand="0" w:firstRowFirstColumn="0" w:firstRowLastColumn="0" w:lastRowFirstColumn="0" w:lastRowLastColumn="0"/>
          <w:trHeight w:val="737"/>
          <w:jc w:val="left"/>
        </w:trPr>
        <w:tc>
          <w:tcPr>
            <w:tcW w:w="9045" w:type="dxa"/>
            <w:gridSpan w:val="3"/>
            <w:tcBorders>
              <w:top w:val="nil"/>
              <w:left w:val="nil"/>
              <w:bottom w:val="single" w:sz="24" w:space="0" w:color="FFFFFF" w:themeColor="background1"/>
              <w:right w:val="nil"/>
            </w:tcBorders>
            <w:shd w:val="clear" w:color="auto" w:fill="4B0985"/>
          </w:tcPr>
          <w:bookmarkEnd w:id="48"/>
          <w:p w14:paraId="78DAA81B" w14:textId="1F84F40A" w:rsidR="003E04CB" w:rsidRPr="006F6224" w:rsidRDefault="00CB29F6" w:rsidP="00BA39E3">
            <w:pPr>
              <w:pStyle w:val="TableHeader2"/>
              <w:rPr>
                <w:b w:val="0"/>
                <w:bCs w:val="0"/>
                <w:sz w:val="20"/>
                <w:szCs w:val="20"/>
                <w:lang w:val="en-AU"/>
              </w:rPr>
            </w:pPr>
            <w:r>
              <w:rPr>
                <w:b w:val="0"/>
                <w:bCs w:val="0"/>
                <w:sz w:val="20"/>
                <w:szCs w:val="20"/>
                <w:lang w:val="en-AU"/>
              </w:rPr>
              <w:t>Teach, Train, and Assess</w:t>
            </w:r>
            <w:r w:rsidR="00BA39E3" w:rsidRPr="006F6224">
              <w:rPr>
                <w:b w:val="0"/>
                <w:bCs w:val="0"/>
                <w:sz w:val="20"/>
                <w:szCs w:val="20"/>
                <w:lang w:val="en-AU"/>
              </w:rPr>
              <w:t xml:space="preserve"> (48.5%)</w:t>
            </w:r>
          </w:p>
        </w:tc>
      </w:tr>
      <w:tr w:rsidR="003E04CB" w14:paraId="45DEACAB" w14:textId="77777777" w:rsidTr="002B0F9B">
        <w:trPr>
          <w:trHeight w:val="624"/>
          <w:jc w:val="left"/>
        </w:trPr>
        <w:tc>
          <w:tcPr>
            <w:tcW w:w="3014" w:type="dxa"/>
            <w:tcBorders>
              <w:top w:val="single" w:sz="24" w:space="0" w:color="FFFFFF" w:themeColor="background1"/>
              <w:left w:val="nil"/>
              <w:bottom w:val="single" w:sz="24" w:space="0" w:color="FFFFFF" w:themeColor="background1"/>
              <w:right w:val="single" w:sz="24" w:space="0" w:color="FFFFFF" w:themeColor="background1"/>
            </w:tcBorders>
            <w:shd w:val="clear" w:color="auto" w:fill="F5E8FF"/>
          </w:tcPr>
          <w:p w14:paraId="21DF0749" w14:textId="03783C03" w:rsidR="003E04CB" w:rsidRPr="008736F1" w:rsidRDefault="00BA39E3" w:rsidP="002B0F9B">
            <w:pPr>
              <w:pStyle w:val="TableBody2"/>
              <w:rPr>
                <w:sz w:val="20"/>
                <w:szCs w:val="20"/>
                <w:lang w:val="en-AU"/>
              </w:rPr>
            </w:pPr>
            <w:r w:rsidRPr="008736F1">
              <w:rPr>
                <w:sz w:val="20"/>
                <w:szCs w:val="20"/>
                <w:lang w:val="en-AU"/>
              </w:rPr>
              <w:t>Head Teacher</w:t>
            </w:r>
          </w:p>
        </w:tc>
        <w:tc>
          <w:tcPr>
            <w:tcW w:w="2862"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5E8FF"/>
          </w:tcPr>
          <w:p w14:paraId="042750DE" w14:textId="53D028C6" w:rsidR="003E04CB" w:rsidRPr="008736F1" w:rsidRDefault="00BA39E3" w:rsidP="002B0F9B">
            <w:pPr>
              <w:pStyle w:val="TableBody2"/>
              <w:rPr>
                <w:sz w:val="20"/>
                <w:szCs w:val="20"/>
                <w:lang w:val="en-AU"/>
              </w:rPr>
            </w:pPr>
            <w:r w:rsidRPr="008736F1">
              <w:rPr>
                <w:sz w:val="20"/>
                <w:szCs w:val="20"/>
                <w:lang w:val="en-AU"/>
              </w:rPr>
              <w:t>VET Teacher</w:t>
            </w:r>
          </w:p>
        </w:tc>
        <w:tc>
          <w:tcPr>
            <w:tcW w:w="3169"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F5E8FF"/>
          </w:tcPr>
          <w:p w14:paraId="735603DA" w14:textId="2A474202" w:rsidR="003E04CB" w:rsidRPr="008736F1" w:rsidRDefault="00BA39E3" w:rsidP="002B0F9B">
            <w:pPr>
              <w:pStyle w:val="TableBody2"/>
              <w:rPr>
                <w:sz w:val="20"/>
                <w:szCs w:val="20"/>
                <w:lang w:val="en-AU"/>
              </w:rPr>
            </w:pPr>
            <w:r w:rsidRPr="008736F1">
              <w:rPr>
                <w:sz w:val="20"/>
                <w:szCs w:val="20"/>
                <w:lang w:val="en-AU"/>
              </w:rPr>
              <w:t>TAFE Lecturer</w:t>
            </w:r>
          </w:p>
        </w:tc>
      </w:tr>
      <w:tr w:rsidR="003E04CB" w14:paraId="5C40652A" w14:textId="77777777" w:rsidTr="002B0F9B">
        <w:trPr>
          <w:trHeight w:val="624"/>
          <w:jc w:val="left"/>
        </w:trPr>
        <w:tc>
          <w:tcPr>
            <w:tcW w:w="3014" w:type="dxa"/>
            <w:tcBorders>
              <w:top w:val="single" w:sz="24" w:space="0" w:color="FFFFFF" w:themeColor="background1"/>
              <w:left w:val="nil"/>
              <w:bottom w:val="single" w:sz="24" w:space="0" w:color="FFFFFF" w:themeColor="background1"/>
              <w:right w:val="single" w:sz="24" w:space="0" w:color="FFFFFF" w:themeColor="background1"/>
            </w:tcBorders>
            <w:shd w:val="clear" w:color="auto" w:fill="F5E8FF"/>
          </w:tcPr>
          <w:p w14:paraId="0A92FA4F" w14:textId="6F97D642" w:rsidR="003E04CB" w:rsidRPr="008736F1" w:rsidRDefault="00BE2965" w:rsidP="002B0F9B">
            <w:pPr>
              <w:pStyle w:val="TableBody2"/>
              <w:rPr>
                <w:sz w:val="20"/>
                <w:szCs w:val="20"/>
                <w:lang w:val="en-AU"/>
              </w:rPr>
            </w:pPr>
            <w:r w:rsidRPr="008736F1">
              <w:rPr>
                <w:sz w:val="20"/>
                <w:szCs w:val="20"/>
                <w:lang w:val="en-AU"/>
              </w:rPr>
              <w:t>Senior Trainer and Assessor</w:t>
            </w:r>
          </w:p>
        </w:tc>
        <w:tc>
          <w:tcPr>
            <w:tcW w:w="2862"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5E8FF"/>
          </w:tcPr>
          <w:p w14:paraId="4399688A" w14:textId="7349CFEF" w:rsidR="003E04CB" w:rsidRPr="008736F1" w:rsidRDefault="00BE2965" w:rsidP="002B0F9B">
            <w:pPr>
              <w:pStyle w:val="TableBody2"/>
              <w:rPr>
                <w:sz w:val="20"/>
                <w:szCs w:val="20"/>
              </w:rPr>
            </w:pPr>
            <w:r w:rsidRPr="008736F1">
              <w:rPr>
                <w:sz w:val="20"/>
                <w:szCs w:val="20"/>
                <w:lang w:val="en-AU"/>
              </w:rPr>
              <w:t>Assessor</w:t>
            </w:r>
          </w:p>
        </w:tc>
        <w:tc>
          <w:tcPr>
            <w:tcW w:w="3169"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F5E8FF"/>
          </w:tcPr>
          <w:p w14:paraId="6F4C46AE" w14:textId="2106A527" w:rsidR="003E04CB" w:rsidRPr="008736F1" w:rsidRDefault="00BE2965" w:rsidP="002B0F9B">
            <w:pPr>
              <w:pStyle w:val="TableBody2"/>
              <w:rPr>
                <w:sz w:val="20"/>
                <w:szCs w:val="20"/>
                <w:lang w:val="en-AU"/>
              </w:rPr>
            </w:pPr>
            <w:r w:rsidRPr="008736F1">
              <w:rPr>
                <w:sz w:val="20"/>
                <w:szCs w:val="20"/>
                <w:lang w:val="en-AU"/>
              </w:rPr>
              <w:t>LLN Practitioner</w:t>
            </w:r>
          </w:p>
        </w:tc>
      </w:tr>
      <w:tr w:rsidR="00452B45" w14:paraId="55627DFD" w14:textId="77777777" w:rsidTr="002B0F9B">
        <w:trPr>
          <w:trHeight w:val="737"/>
          <w:jc w:val="left"/>
        </w:trPr>
        <w:tc>
          <w:tcPr>
            <w:tcW w:w="3014" w:type="dxa"/>
            <w:tcBorders>
              <w:top w:val="single" w:sz="24" w:space="0" w:color="FFFFFF" w:themeColor="background1"/>
              <w:left w:val="nil"/>
              <w:bottom w:val="single" w:sz="24" w:space="0" w:color="FFFFFF" w:themeColor="background1"/>
              <w:right w:val="single" w:sz="24" w:space="0" w:color="FFFFFF" w:themeColor="background1"/>
            </w:tcBorders>
            <w:shd w:val="clear" w:color="auto" w:fill="4B0985"/>
          </w:tcPr>
          <w:p w14:paraId="37FC31F5" w14:textId="2F7A8AB6" w:rsidR="00452B45" w:rsidRPr="006F6224" w:rsidRDefault="00452B45" w:rsidP="00452B45">
            <w:pPr>
              <w:pStyle w:val="TableHeader2"/>
              <w:rPr>
                <w:b w:val="0"/>
                <w:bCs w:val="0"/>
                <w:sz w:val="20"/>
                <w:szCs w:val="20"/>
              </w:rPr>
            </w:pPr>
            <w:r w:rsidRPr="006F6224">
              <w:rPr>
                <w:b w:val="0"/>
                <w:bCs w:val="0"/>
                <w:sz w:val="20"/>
                <w:szCs w:val="20"/>
              </w:rPr>
              <w:t xml:space="preserve">Curriculum </w:t>
            </w:r>
            <w:r w:rsidR="008E1EC9">
              <w:rPr>
                <w:b w:val="0"/>
                <w:bCs w:val="0"/>
                <w:sz w:val="20"/>
                <w:szCs w:val="20"/>
              </w:rPr>
              <w:t>D</w:t>
            </w:r>
            <w:r w:rsidRPr="006F6224">
              <w:rPr>
                <w:b w:val="0"/>
                <w:bCs w:val="0"/>
                <w:sz w:val="20"/>
                <w:szCs w:val="20"/>
              </w:rPr>
              <w:t xml:space="preserve">evelopment and </w:t>
            </w:r>
            <w:r w:rsidR="008E1EC9">
              <w:rPr>
                <w:b w:val="0"/>
                <w:bCs w:val="0"/>
                <w:sz w:val="20"/>
                <w:szCs w:val="20"/>
              </w:rPr>
              <w:t>L</w:t>
            </w:r>
            <w:r w:rsidRPr="006F6224">
              <w:rPr>
                <w:b w:val="0"/>
                <w:bCs w:val="0"/>
                <w:sz w:val="20"/>
                <w:szCs w:val="20"/>
              </w:rPr>
              <w:t xml:space="preserve">earning </w:t>
            </w:r>
            <w:r w:rsidR="008E1EC9">
              <w:rPr>
                <w:b w:val="0"/>
                <w:bCs w:val="0"/>
                <w:sz w:val="20"/>
                <w:szCs w:val="20"/>
              </w:rPr>
              <w:t>D</w:t>
            </w:r>
            <w:r w:rsidRPr="006F6224">
              <w:rPr>
                <w:b w:val="0"/>
                <w:bCs w:val="0"/>
                <w:sz w:val="20"/>
                <w:szCs w:val="20"/>
              </w:rPr>
              <w:t>esign (3.6%)</w:t>
            </w:r>
          </w:p>
        </w:tc>
        <w:tc>
          <w:tcPr>
            <w:tcW w:w="2862"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4B0985"/>
          </w:tcPr>
          <w:p w14:paraId="61154E68" w14:textId="30A4B0E9" w:rsidR="00452B45" w:rsidRPr="006F6224" w:rsidRDefault="00DD6BC6" w:rsidP="00452B45">
            <w:pPr>
              <w:pStyle w:val="TableHeader2"/>
              <w:rPr>
                <w:b w:val="0"/>
                <w:bCs w:val="0"/>
                <w:sz w:val="20"/>
                <w:szCs w:val="20"/>
              </w:rPr>
            </w:pPr>
            <w:r w:rsidRPr="006F6224">
              <w:rPr>
                <w:b w:val="0"/>
                <w:bCs w:val="0"/>
                <w:sz w:val="20"/>
                <w:szCs w:val="20"/>
              </w:rPr>
              <w:t>Learning Support (4.3%)</w:t>
            </w:r>
          </w:p>
        </w:tc>
        <w:tc>
          <w:tcPr>
            <w:tcW w:w="3169"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4B0985"/>
          </w:tcPr>
          <w:p w14:paraId="096DD3C9" w14:textId="0854EE7A" w:rsidR="00452B45" w:rsidRPr="006F6224" w:rsidRDefault="00452B45" w:rsidP="00452B45">
            <w:pPr>
              <w:pStyle w:val="TableHeader2"/>
              <w:rPr>
                <w:b w:val="0"/>
                <w:bCs w:val="0"/>
                <w:sz w:val="20"/>
                <w:szCs w:val="20"/>
              </w:rPr>
            </w:pPr>
            <w:r w:rsidRPr="006F6224">
              <w:rPr>
                <w:b w:val="0"/>
                <w:bCs w:val="0"/>
                <w:sz w:val="20"/>
                <w:szCs w:val="20"/>
              </w:rPr>
              <w:t xml:space="preserve">Quality and </w:t>
            </w:r>
            <w:r w:rsidR="00B630AD">
              <w:rPr>
                <w:b w:val="0"/>
                <w:bCs w:val="0"/>
                <w:sz w:val="20"/>
                <w:szCs w:val="20"/>
              </w:rPr>
              <w:t>C</w:t>
            </w:r>
            <w:r w:rsidRPr="006F6224">
              <w:rPr>
                <w:b w:val="0"/>
                <w:bCs w:val="0"/>
                <w:sz w:val="20"/>
                <w:szCs w:val="20"/>
              </w:rPr>
              <w:t>ompliance (0.4%)</w:t>
            </w:r>
          </w:p>
        </w:tc>
      </w:tr>
      <w:tr w:rsidR="00452B45" w14:paraId="6CAEDD35" w14:textId="77777777" w:rsidTr="002B0F9B">
        <w:trPr>
          <w:trHeight w:val="624"/>
          <w:jc w:val="left"/>
        </w:trPr>
        <w:tc>
          <w:tcPr>
            <w:tcW w:w="3014" w:type="dxa"/>
            <w:tcBorders>
              <w:top w:val="single" w:sz="24" w:space="0" w:color="FFFFFF" w:themeColor="background1"/>
              <w:left w:val="nil"/>
              <w:bottom w:val="single" w:sz="24" w:space="0" w:color="FFFFFF" w:themeColor="background1"/>
              <w:right w:val="single" w:sz="24" w:space="0" w:color="FFFFFF" w:themeColor="background1"/>
            </w:tcBorders>
            <w:shd w:val="clear" w:color="auto" w:fill="F5E8FF"/>
          </w:tcPr>
          <w:p w14:paraId="59AE1285" w14:textId="766814F6" w:rsidR="00452B45" w:rsidRPr="008736F1" w:rsidRDefault="00452B45" w:rsidP="002B0F9B">
            <w:pPr>
              <w:pStyle w:val="TableBody2"/>
              <w:rPr>
                <w:sz w:val="20"/>
                <w:szCs w:val="20"/>
              </w:rPr>
            </w:pPr>
            <w:r w:rsidRPr="008736F1">
              <w:rPr>
                <w:sz w:val="20"/>
                <w:szCs w:val="20"/>
              </w:rPr>
              <w:t>Curriculum Developer</w:t>
            </w:r>
          </w:p>
        </w:tc>
        <w:tc>
          <w:tcPr>
            <w:tcW w:w="2862"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5E8FF"/>
          </w:tcPr>
          <w:p w14:paraId="060961F8" w14:textId="49F78755" w:rsidR="00452B45" w:rsidRPr="008736F1" w:rsidRDefault="00452B45" w:rsidP="002B0F9B">
            <w:pPr>
              <w:pStyle w:val="TableBody2"/>
              <w:rPr>
                <w:sz w:val="20"/>
                <w:szCs w:val="20"/>
                <w:lang w:val="en-AU"/>
              </w:rPr>
            </w:pPr>
            <w:r w:rsidRPr="008736F1">
              <w:rPr>
                <w:sz w:val="20"/>
                <w:szCs w:val="20"/>
                <w:lang w:val="en-AU"/>
              </w:rPr>
              <w:t>Librarian</w:t>
            </w:r>
          </w:p>
        </w:tc>
        <w:tc>
          <w:tcPr>
            <w:tcW w:w="3169"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F5E8FF"/>
          </w:tcPr>
          <w:p w14:paraId="31001EEB" w14:textId="3BF0BFCA" w:rsidR="00452B45" w:rsidRPr="008736F1" w:rsidRDefault="00452B45" w:rsidP="002B0F9B">
            <w:pPr>
              <w:pStyle w:val="TableBody2"/>
              <w:rPr>
                <w:sz w:val="20"/>
                <w:szCs w:val="20"/>
              </w:rPr>
            </w:pPr>
            <w:r w:rsidRPr="008736F1">
              <w:rPr>
                <w:sz w:val="20"/>
                <w:szCs w:val="20"/>
              </w:rPr>
              <w:t xml:space="preserve">RTO Quality and </w:t>
            </w:r>
            <w:r w:rsidR="00AE3165">
              <w:rPr>
                <w:sz w:val="20"/>
                <w:szCs w:val="20"/>
              </w:rPr>
              <w:br/>
            </w:r>
            <w:r w:rsidRPr="008736F1">
              <w:rPr>
                <w:sz w:val="20"/>
                <w:szCs w:val="20"/>
              </w:rPr>
              <w:t>Compliance Officer</w:t>
            </w:r>
          </w:p>
        </w:tc>
      </w:tr>
      <w:tr w:rsidR="00452B45" w14:paraId="7C016750" w14:textId="77777777" w:rsidTr="002B0F9B">
        <w:trPr>
          <w:trHeight w:val="624"/>
          <w:jc w:val="left"/>
        </w:trPr>
        <w:tc>
          <w:tcPr>
            <w:tcW w:w="3014" w:type="dxa"/>
            <w:tcBorders>
              <w:top w:val="single" w:sz="24" w:space="0" w:color="FFFFFF" w:themeColor="background1"/>
              <w:left w:val="nil"/>
              <w:bottom w:val="single" w:sz="24" w:space="0" w:color="FFFFFF" w:themeColor="background1"/>
              <w:right w:val="single" w:sz="24" w:space="0" w:color="FFFFFF" w:themeColor="background1"/>
            </w:tcBorders>
            <w:shd w:val="clear" w:color="auto" w:fill="F5E8FF"/>
          </w:tcPr>
          <w:p w14:paraId="44A558A2" w14:textId="4EA1F048" w:rsidR="00452B45" w:rsidRPr="008736F1" w:rsidRDefault="00452B45" w:rsidP="002B0F9B">
            <w:pPr>
              <w:pStyle w:val="TableBody2"/>
              <w:rPr>
                <w:sz w:val="20"/>
                <w:szCs w:val="20"/>
              </w:rPr>
            </w:pPr>
            <w:r w:rsidRPr="008736F1">
              <w:rPr>
                <w:sz w:val="20"/>
                <w:szCs w:val="20"/>
              </w:rPr>
              <w:t>Instructional Designer</w:t>
            </w:r>
          </w:p>
        </w:tc>
        <w:tc>
          <w:tcPr>
            <w:tcW w:w="2862"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5E8FF"/>
          </w:tcPr>
          <w:p w14:paraId="164619BE" w14:textId="31BD0BF7" w:rsidR="00452B45" w:rsidRPr="008736F1" w:rsidRDefault="00452B45" w:rsidP="002B0F9B">
            <w:pPr>
              <w:pStyle w:val="TableBody2"/>
              <w:rPr>
                <w:sz w:val="20"/>
                <w:szCs w:val="20"/>
              </w:rPr>
            </w:pPr>
            <w:r w:rsidRPr="008736F1">
              <w:rPr>
                <w:sz w:val="20"/>
                <w:szCs w:val="20"/>
              </w:rPr>
              <w:t>Teaching Aide</w:t>
            </w:r>
          </w:p>
        </w:tc>
        <w:tc>
          <w:tcPr>
            <w:tcW w:w="3169"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F5E8FF"/>
          </w:tcPr>
          <w:p w14:paraId="1A564E2A" w14:textId="1506FDF1" w:rsidR="00452B45" w:rsidRPr="008736F1" w:rsidRDefault="009104E7" w:rsidP="002B0F9B">
            <w:pPr>
              <w:pStyle w:val="TableBody2"/>
              <w:rPr>
                <w:sz w:val="20"/>
                <w:szCs w:val="20"/>
              </w:rPr>
            </w:pPr>
            <w:r w:rsidRPr="008736F1">
              <w:rPr>
                <w:sz w:val="20"/>
                <w:szCs w:val="20"/>
              </w:rPr>
              <w:t>Quality Assurance Manager</w:t>
            </w:r>
          </w:p>
        </w:tc>
      </w:tr>
      <w:tr w:rsidR="00452B45" w14:paraId="312E2F92" w14:textId="77777777" w:rsidTr="002B0F9B">
        <w:trPr>
          <w:trHeight w:val="624"/>
          <w:jc w:val="left"/>
        </w:trPr>
        <w:tc>
          <w:tcPr>
            <w:tcW w:w="3014" w:type="dxa"/>
            <w:tcBorders>
              <w:top w:val="single" w:sz="24" w:space="0" w:color="FFFFFF" w:themeColor="background1"/>
              <w:left w:val="nil"/>
              <w:bottom w:val="single" w:sz="24" w:space="0" w:color="FFFFFF" w:themeColor="background1"/>
              <w:right w:val="single" w:sz="24" w:space="0" w:color="FFFFFF" w:themeColor="background1"/>
            </w:tcBorders>
            <w:shd w:val="clear" w:color="auto" w:fill="F5E8FF"/>
          </w:tcPr>
          <w:p w14:paraId="445F9779" w14:textId="32AF1EC4" w:rsidR="00452B45" w:rsidRPr="008736F1" w:rsidRDefault="00452B45" w:rsidP="002B0F9B">
            <w:pPr>
              <w:pStyle w:val="TableBody2"/>
              <w:rPr>
                <w:sz w:val="20"/>
                <w:szCs w:val="20"/>
              </w:rPr>
            </w:pPr>
            <w:r w:rsidRPr="008736F1">
              <w:rPr>
                <w:sz w:val="20"/>
                <w:szCs w:val="20"/>
              </w:rPr>
              <w:t>eLearning Designer</w:t>
            </w:r>
          </w:p>
        </w:tc>
        <w:tc>
          <w:tcPr>
            <w:tcW w:w="2862"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5E8FF"/>
          </w:tcPr>
          <w:p w14:paraId="2242E842" w14:textId="18D42F79" w:rsidR="00452B45" w:rsidRPr="008736F1" w:rsidRDefault="00452B45" w:rsidP="002B0F9B">
            <w:pPr>
              <w:pStyle w:val="TableBody2"/>
              <w:rPr>
                <w:sz w:val="20"/>
                <w:szCs w:val="20"/>
              </w:rPr>
            </w:pPr>
            <w:r w:rsidRPr="008736F1">
              <w:rPr>
                <w:sz w:val="20"/>
                <w:szCs w:val="20"/>
              </w:rPr>
              <w:t>Counsellor</w:t>
            </w:r>
          </w:p>
        </w:tc>
        <w:tc>
          <w:tcPr>
            <w:tcW w:w="3169"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F5E8FF"/>
          </w:tcPr>
          <w:p w14:paraId="7BD4E3A5" w14:textId="2DED2D99" w:rsidR="00452B45" w:rsidRPr="008736F1" w:rsidRDefault="009104E7" w:rsidP="002B0F9B">
            <w:pPr>
              <w:pStyle w:val="TableBody2"/>
              <w:rPr>
                <w:sz w:val="20"/>
                <w:szCs w:val="20"/>
              </w:rPr>
            </w:pPr>
            <w:r w:rsidRPr="008736F1">
              <w:rPr>
                <w:sz w:val="20"/>
                <w:szCs w:val="20"/>
              </w:rPr>
              <w:t>RTO Compliance Coordinator</w:t>
            </w:r>
          </w:p>
        </w:tc>
      </w:tr>
      <w:tr w:rsidR="00452B45" w14:paraId="7144F15D" w14:textId="77777777" w:rsidTr="002B0F9B">
        <w:trPr>
          <w:trHeight w:val="624"/>
          <w:jc w:val="left"/>
        </w:trPr>
        <w:tc>
          <w:tcPr>
            <w:tcW w:w="3014" w:type="dxa"/>
            <w:tcBorders>
              <w:top w:val="single" w:sz="24" w:space="0" w:color="FFFFFF" w:themeColor="background1"/>
              <w:left w:val="nil"/>
              <w:bottom w:val="single" w:sz="24" w:space="0" w:color="FFFFFF" w:themeColor="background1"/>
              <w:right w:val="single" w:sz="24" w:space="0" w:color="FFFFFF" w:themeColor="background1"/>
            </w:tcBorders>
            <w:shd w:val="clear" w:color="auto" w:fill="F5E8FF"/>
          </w:tcPr>
          <w:p w14:paraId="07574691" w14:textId="74400638" w:rsidR="00452B45" w:rsidRPr="008736F1" w:rsidRDefault="00452B45" w:rsidP="002B0F9B">
            <w:pPr>
              <w:pStyle w:val="TableBody2"/>
              <w:rPr>
                <w:sz w:val="20"/>
                <w:szCs w:val="20"/>
              </w:rPr>
            </w:pPr>
            <w:r w:rsidRPr="008736F1">
              <w:rPr>
                <w:sz w:val="20"/>
                <w:szCs w:val="20"/>
              </w:rPr>
              <w:t>LMS Designer</w:t>
            </w:r>
          </w:p>
        </w:tc>
        <w:tc>
          <w:tcPr>
            <w:tcW w:w="2862"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5E8FF"/>
          </w:tcPr>
          <w:p w14:paraId="3A3AD1F6" w14:textId="3C74E9CB" w:rsidR="00452B45" w:rsidRPr="008736F1" w:rsidRDefault="00452B45" w:rsidP="002B0F9B">
            <w:pPr>
              <w:pStyle w:val="TableBody2"/>
              <w:rPr>
                <w:sz w:val="20"/>
                <w:szCs w:val="20"/>
              </w:rPr>
            </w:pPr>
            <w:r w:rsidRPr="008736F1">
              <w:rPr>
                <w:sz w:val="20"/>
                <w:szCs w:val="20"/>
              </w:rPr>
              <w:t>Enrolment officer</w:t>
            </w:r>
          </w:p>
        </w:tc>
        <w:tc>
          <w:tcPr>
            <w:tcW w:w="3169"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F5E8FF"/>
          </w:tcPr>
          <w:p w14:paraId="7D95A76D" w14:textId="04FFFA32" w:rsidR="00452B45" w:rsidRPr="008736F1" w:rsidRDefault="009104E7" w:rsidP="002B0F9B">
            <w:pPr>
              <w:pStyle w:val="TableBody2"/>
              <w:rPr>
                <w:sz w:val="20"/>
                <w:szCs w:val="20"/>
              </w:rPr>
            </w:pPr>
            <w:r w:rsidRPr="008736F1">
              <w:rPr>
                <w:sz w:val="20"/>
                <w:szCs w:val="20"/>
              </w:rPr>
              <w:t>RTO Risk and Compliance Officer</w:t>
            </w:r>
          </w:p>
        </w:tc>
      </w:tr>
      <w:tr w:rsidR="00B624E7" w14:paraId="1549EEE3" w14:textId="77777777" w:rsidTr="002B0F9B">
        <w:trPr>
          <w:trHeight w:val="737"/>
          <w:jc w:val="left"/>
        </w:trPr>
        <w:tc>
          <w:tcPr>
            <w:tcW w:w="5876" w:type="dxa"/>
            <w:gridSpan w:val="2"/>
            <w:tcBorders>
              <w:top w:val="single" w:sz="24" w:space="0" w:color="FFFFFF" w:themeColor="background1"/>
              <w:left w:val="nil"/>
              <w:bottom w:val="single" w:sz="24" w:space="0" w:color="FFFFFF" w:themeColor="background1"/>
              <w:right w:val="single" w:sz="24" w:space="0" w:color="FFFFFF" w:themeColor="background1"/>
            </w:tcBorders>
            <w:shd w:val="clear" w:color="auto" w:fill="4B0985"/>
          </w:tcPr>
          <w:p w14:paraId="0697456C" w14:textId="62328CD4" w:rsidR="00B624E7" w:rsidRPr="006F6224" w:rsidRDefault="00B624E7" w:rsidP="00B624E7">
            <w:pPr>
              <w:pStyle w:val="TableHeader2"/>
              <w:rPr>
                <w:b w:val="0"/>
                <w:bCs w:val="0"/>
                <w:sz w:val="20"/>
                <w:szCs w:val="20"/>
              </w:rPr>
            </w:pPr>
            <w:r w:rsidRPr="006F6224">
              <w:rPr>
                <w:b w:val="0"/>
                <w:bCs w:val="0"/>
                <w:sz w:val="20"/>
                <w:szCs w:val="20"/>
              </w:rPr>
              <w:t xml:space="preserve">Administration and </w:t>
            </w:r>
            <w:r w:rsidR="00B630AD">
              <w:rPr>
                <w:b w:val="0"/>
                <w:bCs w:val="0"/>
                <w:sz w:val="20"/>
                <w:szCs w:val="20"/>
              </w:rPr>
              <w:t>O</w:t>
            </w:r>
            <w:r w:rsidRPr="006F6224">
              <w:rPr>
                <w:b w:val="0"/>
                <w:bCs w:val="0"/>
                <w:sz w:val="20"/>
                <w:szCs w:val="20"/>
              </w:rPr>
              <w:t>perations (30.3%)</w:t>
            </w:r>
          </w:p>
        </w:tc>
        <w:tc>
          <w:tcPr>
            <w:tcW w:w="3169"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4B0985"/>
          </w:tcPr>
          <w:p w14:paraId="744EFCEC" w14:textId="61A54724" w:rsidR="00B624E7" w:rsidRPr="006F6224" w:rsidRDefault="00B624E7" w:rsidP="00B624E7">
            <w:pPr>
              <w:pStyle w:val="TableHeader2"/>
              <w:rPr>
                <w:b w:val="0"/>
                <w:bCs w:val="0"/>
                <w:sz w:val="20"/>
                <w:szCs w:val="20"/>
              </w:rPr>
            </w:pPr>
            <w:r w:rsidRPr="006F6224">
              <w:rPr>
                <w:b w:val="0"/>
                <w:bCs w:val="0"/>
                <w:sz w:val="20"/>
                <w:szCs w:val="20"/>
              </w:rPr>
              <w:t>Leadership (12.8%)</w:t>
            </w:r>
          </w:p>
        </w:tc>
      </w:tr>
      <w:tr w:rsidR="00B624E7" w14:paraId="2550C32D" w14:textId="77777777" w:rsidTr="006F6224">
        <w:trPr>
          <w:trHeight w:val="624"/>
          <w:jc w:val="left"/>
        </w:trPr>
        <w:tc>
          <w:tcPr>
            <w:tcW w:w="3014" w:type="dxa"/>
            <w:tcBorders>
              <w:top w:val="single" w:sz="24" w:space="0" w:color="FFFFFF" w:themeColor="background1"/>
              <w:left w:val="nil"/>
              <w:bottom w:val="single" w:sz="24" w:space="0" w:color="FFFFFF" w:themeColor="background1"/>
              <w:right w:val="single" w:sz="24" w:space="0" w:color="FFFFFF" w:themeColor="background1"/>
            </w:tcBorders>
            <w:shd w:val="clear" w:color="auto" w:fill="F5E8FF"/>
          </w:tcPr>
          <w:p w14:paraId="2D8FB231" w14:textId="09537CB2" w:rsidR="00B624E7" w:rsidRPr="008736F1" w:rsidRDefault="00B624E7" w:rsidP="00B624E7">
            <w:pPr>
              <w:pStyle w:val="TableBody2"/>
              <w:rPr>
                <w:sz w:val="20"/>
                <w:szCs w:val="20"/>
                <w:lang w:val="en-AU"/>
              </w:rPr>
            </w:pPr>
            <w:r w:rsidRPr="008736F1">
              <w:rPr>
                <w:sz w:val="20"/>
                <w:szCs w:val="20"/>
                <w:lang w:val="en-AU"/>
              </w:rPr>
              <w:t>Human Resource Officer</w:t>
            </w:r>
          </w:p>
        </w:tc>
        <w:tc>
          <w:tcPr>
            <w:tcW w:w="2862"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5E8FF"/>
          </w:tcPr>
          <w:p w14:paraId="7CB3DF62" w14:textId="176D29F5" w:rsidR="00B624E7" w:rsidRPr="008736F1" w:rsidRDefault="00ED0E58" w:rsidP="00ED0E58">
            <w:pPr>
              <w:pStyle w:val="TableBody2"/>
              <w:rPr>
                <w:sz w:val="20"/>
                <w:szCs w:val="20"/>
                <w:lang w:val="en-AU"/>
              </w:rPr>
            </w:pPr>
            <w:r w:rsidRPr="008736F1">
              <w:rPr>
                <w:sz w:val="20"/>
                <w:szCs w:val="20"/>
                <w:lang w:val="en-AU"/>
              </w:rPr>
              <w:t>Receptionist</w:t>
            </w:r>
          </w:p>
        </w:tc>
        <w:tc>
          <w:tcPr>
            <w:tcW w:w="3169"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F5E8FF"/>
          </w:tcPr>
          <w:p w14:paraId="1B8DADC9" w14:textId="2091D6AA" w:rsidR="00B624E7" w:rsidRPr="008736F1" w:rsidRDefault="00ED0E58" w:rsidP="00ED0E58">
            <w:pPr>
              <w:pStyle w:val="TableBody2"/>
              <w:rPr>
                <w:sz w:val="20"/>
                <w:szCs w:val="20"/>
                <w:lang w:val="en-AU"/>
              </w:rPr>
            </w:pPr>
            <w:r w:rsidRPr="008736F1">
              <w:rPr>
                <w:sz w:val="20"/>
                <w:szCs w:val="20"/>
                <w:lang w:val="en-AU"/>
              </w:rPr>
              <w:t xml:space="preserve">RTO </w:t>
            </w:r>
            <w:r w:rsidR="002B0F9B">
              <w:rPr>
                <w:sz w:val="20"/>
                <w:szCs w:val="20"/>
                <w:lang w:val="en-AU"/>
              </w:rPr>
              <w:br/>
            </w:r>
            <w:r w:rsidRPr="008736F1">
              <w:rPr>
                <w:sz w:val="20"/>
                <w:szCs w:val="20"/>
                <w:lang w:val="en-AU"/>
              </w:rPr>
              <w:t>Operations Manager / CEO</w:t>
            </w:r>
          </w:p>
        </w:tc>
      </w:tr>
      <w:tr w:rsidR="00B624E7" w14:paraId="7A9A4D69" w14:textId="77777777" w:rsidTr="006F6224">
        <w:trPr>
          <w:trHeight w:val="624"/>
          <w:jc w:val="left"/>
        </w:trPr>
        <w:tc>
          <w:tcPr>
            <w:tcW w:w="3014" w:type="dxa"/>
            <w:tcBorders>
              <w:top w:val="single" w:sz="24" w:space="0" w:color="FFFFFF" w:themeColor="background1"/>
              <w:left w:val="nil"/>
              <w:bottom w:val="single" w:sz="24" w:space="0" w:color="FFFFFF" w:themeColor="background1"/>
              <w:right w:val="single" w:sz="24" w:space="0" w:color="FFFFFF" w:themeColor="background1"/>
            </w:tcBorders>
            <w:shd w:val="clear" w:color="auto" w:fill="F5E8FF"/>
          </w:tcPr>
          <w:p w14:paraId="521A42FC" w14:textId="0515F46F" w:rsidR="00B624E7" w:rsidRPr="008736F1" w:rsidRDefault="00B624E7" w:rsidP="00B624E7">
            <w:pPr>
              <w:pStyle w:val="TableBody2"/>
              <w:rPr>
                <w:sz w:val="20"/>
                <w:szCs w:val="20"/>
                <w:lang w:val="en-AU"/>
              </w:rPr>
            </w:pPr>
            <w:r w:rsidRPr="008736F1">
              <w:rPr>
                <w:sz w:val="20"/>
                <w:szCs w:val="20"/>
                <w:lang w:val="en-AU"/>
              </w:rPr>
              <w:t>Administrative Officer</w:t>
            </w:r>
          </w:p>
        </w:tc>
        <w:tc>
          <w:tcPr>
            <w:tcW w:w="2862"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5E8FF"/>
          </w:tcPr>
          <w:p w14:paraId="54889417" w14:textId="5C196043" w:rsidR="00B624E7" w:rsidRPr="008736F1" w:rsidRDefault="00ED0E58" w:rsidP="00ED0E58">
            <w:pPr>
              <w:pStyle w:val="TableBody2"/>
              <w:rPr>
                <w:sz w:val="20"/>
                <w:szCs w:val="20"/>
                <w:lang w:val="en-AU"/>
              </w:rPr>
            </w:pPr>
            <w:r w:rsidRPr="008736F1">
              <w:rPr>
                <w:sz w:val="20"/>
                <w:szCs w:val="20"/>
                <w:lang w:val="en-AU"/>
              </w:rPr>
              <w:t>Security Officer</w:t>
            </w:r>
          </w:p>
        </w:tc>
        <w:tc>
          <w:tcPr>
            <w:tcW w:w="3169"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F5E8FF"/>
          </w:tcPr>
          <w:p w14:paraId="16A60854" w14:textId="318F15A7" w:rsidR="00B624E7" w:rsidRPr="008736F1" w:rsidRDefault="00ED0E58" w:rsidP="00ED0E58">
            <w:pPr>
              <w:pStyle w:val="TableBody2"/>
              <w:rPr>
                <w:sz w:val="20"/>
                <w:szCs w:val="20"/>
                <w:lang w:val="en-AU"/>
              </w:rPr>
            </w:pPr>
            <w:r w:rsidRPr="008736F1">
              <w:rPr>
                <w:sz w:val="20"/>
                <w:szCs w:val="20"/>
                <w:lang w:val="en-AU"/>
              </w:rPr>
              <w:t>GM Training Services</w:t>
            </w:r>
          </w:p>
        </w:tc>
      </w:tr>
      <w:tr w:rsidR="00B624E7" w14:paraId="7B6CE318" w14:textId="77777777" w:rsidTr="006F6224">
        <w:trPr>
          <w:trHeight w:val="624"/>
          <w:jc w:val="left"/>
        </w:trPr>
        <w:tc>
          <w:tcPr>
            <w:tcW w:w="3014" w:type="dxa"/>
            <w:tcBorders>
              <w:top w:val="single" w:sz="24" w:space="0" w:color="FFFFFF" w:themeColor="background1"/>
              <w:left w:val="nil"/>
              <w:bottom w:val="single" w:sz="24" w:space="0" w:color="FFFFFF" w:themeColor="background1"/>
              <w:right w:val="single" w:sz="24" w:space="0" w:color="FFFFFF" w:themeColor="background1"/>
            </w:tcBorders>
            <w:shd w:val="clear" w:color="auto" w:fill="F5E8FF"/>
          </w:tcPr>
          <w:p w14:paraId="4B083A1E" w14:textId="48FACD84" w:rsidR="00B624E7" w:rsidRPr="008736F1" w:rsidRDefault="00B624E7" w:rsidP="00B624E7">
            <w:pPr>
              <w:pStyle w:val="TableBody2"/>
              <w:rPr>
                <w:sz w:val="20"/>
                <w:szCs w:val="20"/>
                <w:lang w:val="en-AU"/>
              </w:rPr>
            </w:pPr>
            <w:r w:rsidRPr="008736F1">
              <w:rPr>
                <w:sz w:val="20"/>
                <w:szCs w:val="20"/>
                <w:lang w:val="en-AU"/>
              </w:rPr>
              <w:t>ICT Officer</w:t>
            </w:r>
          </w:p>
        </w:tc>
        <w:tc>
          <w:tcPr>
            <w:tcW w:w="2862"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5E8FF"/>
          </w:tcPr>
          <w:p w14:paraId="15AA6CEA" w14:textId="4F3D514F" w:rsidR="00B624E7" w:rsidRPr="008736F1" w:rsidRDefault="00ED0E58" w:rsidP="00ED0E58">
            <w:pPr>
              <w:pStyle w:val="TableBody2"/>
              <w:rPr>
                <w:sz w:val="20"/>
                <w:szCs w:val="20"/>
                <w:lang w:val="en-AU"/>
              </w:rPr>
            </w:pPr>
            <w:r w:rsidRPr="008736F1">
              <w:rPr>
                <w:sz w:val="20"/>
                <w:szCs w:val="20"/>
                <w:lang w:val="en-AU"/>
              </w:rPr>
              <w:t>Accountant</w:t>
            </w:r>
          </w:p>
        </w:tc>
        <w:tc>
          <w:tcPr>
            <w:tcW w:w="3169"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F5E8FF"/>
          </w:tcPr>
          <w:p w14:paraId="46210295" w14:textId="182D5B9F" w:rsidR="00B624E7" w:rsidRPr="008736F1" w:rsidRDefault="00ED0E58" w:rsidP="00ED0E58">
            <w:pPr>
              <w:pStyle w:val="TableBody2"/>
              <w:rPr>
                <w:sz w:val="20"/>
                <w:szCs w:val="20"/>
                <w:lang w:val="en-AU"/>
              </w:rPr>
            </w:pPr>
            <w:r w:rsidRPr="008736F1">
              <w:rPr>
                <w:sz w:val="20"/>
                <w:szCs w:val="20"/>
                <w:lang w:val="en-AU"/>
              </w:rPr>
              <w:t>Chief People Officer</w:t>
            </w:r>
          </w:p>
        </w:tc>
      </w:tr>
      <w:tr w:rsidR="00B624E7" w14:paraId="02E017A9" w14:textId="77777777" w:rsidTr="006F6224">
        <w:trPr>
          <w:trHeight w:val="624"/>
          <w:jc w:val="left"/>
        </w:trPr>
        <w:tc>
          <w:tcPr>
            <w:tcW w:w="3014" w:type="dxa"/>
            <w:tcBorders>
              <w:top w:val="single" w:sz="24" w:space="0" w:color="FFFFFF" w:themeColor="background1"/>
              <w:left w:val="nil"/>
              <w:bottom w:val="single" w:sz="24" w:space="0" w:color="FFFFFF" w:themeColor="background1"/>
              <w:right w:val="single" w:sz="24" w:space="0" w:color="FFFFFF" w:themeColor="background1"/>
            </w:tcBorders>
            <w:shd w:val="clear" w:color="auto" w:fill="F5E8FF"/>
          </w:tcPr>
          <w:p w14:paraId="30023313" w14:textId="5FDEE653" w:rsidR="00B624E7" w:rsidRPr="008736F1" w:rsidRDefault="00B624E7" w:rsidP="00B624E7">
            <w:pPr>
              <w:pStyle w:val="TableBody2"/>
              <w:rPr>
                <w:sz w:val="20"/>
                <w:szCs w:val="20"/>
                <w:lang w:val="en-AU"/>
              </w:rPr>
            </w:pPr>
            <w:r w:rsidRPr="008736F1">
              <w:rPr>
                <w:sz w:val="20"/>
                <w:szCs w:val="20"/>
                <w:lang w:val="en-AU"/>
              </w:rPr>
              <w:t>Marketing Specialist</w:t>
            </w:r>
          </w:p>
        </w:tc>
        <w:tc>
          <w:tcPr>
            <w:tcW w:w="2862"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5E8FF"/>
          </w:tcPr>
          <w:p w14:paraId="5F6E28E2" w14:textId="44778C7B" w:rsidR="00B624E7" w:rsidRPr="008736F1" w:rsidRDefault="00ED0E58" w:rsidP="00ED0E58">
            <w:pPr>
              <w:pStyle w:val="TableBody2"/>
              <w:rPr>
                <w:sz w:val="20"/>
                <w:szCs w:val="20"/>
                <w:lang w:val="en-AU"/>
              </w:rPr>
            </w:pPr>
            <w:r w:rsidRPr="008736F1">
              <w:rPr>
                <w:sz w:val="20"/>
                <w:szCs w:val="20"/>
                <w:lang w:val="en-AU"/>
              </w:rPr>
              <w:t>Commercial cleaner</w:t>
            </w:r>
          </w:p>
        </w:tc>
        <w:tc>
          <w:tcPr>
            <w:tcW w:w="3169"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F5E8FF"/>
          </w:tcPr>
          <w:p w14:paraId="20233CCC" w14:textId="50597092" w:rsidR="00B624E7" w:rsidRPr="008736F1" w:rsidRDefault="00ED0E58" w:rsidP="00ED0E58">
            <w:pPr>
              <w:pStyle w:val="TableBody2"/>
              <w:rPr>
                <w:sz w:val="20"/>
                <w:szCs w:val="20"/>
                <w:lang w:val="en-AU"/>
              </w:rPr>
            </w:pPr>
            <w:r w:rsidRPr="008736F1">
              <w:rPr>
                <w:sz w:val="20"/>
                <w:szCs w:val="20"/>
                <w:lang w:val="en-AU"/>
              </w:rPr>
              <w:t>Director – Education Quality</w:t>
            </w:r>
          </w:p>
        </w:tc>
      </w:tr>
    </w:tbl>
    <w:p w14:paraId="732BF81F" w14:textId="77777777" w:rsidR="003E04CB" w:rsidRDefault="003E04CB" w:rsidP="00E921CC">
      <w:pPr>
        <w:spacing w:after="0" w:line="140" w:lineRule="exact"/>
        <w:rPr>
          <w:lang w:val="en-US"/>
        </w:rPr>
      </w:pPr>
    </w:p>
    <w:tbl>
      <w:tblPr>
        <w:tblStyle w:val="TableGrid"/>
        <w:tblW w:w="5829" w:type="dxa"/>
        <w:jc w:val="left"/>
        <w:tblCellMar>
          <w:left w:w="0" w:type="dxa"/>
          <w:right w:w="0" w:type="dxa"/>
        </w:tblCellMar>
        <w:tblLook w:val="04A0" w:firstRow="1" w:lastRow="0" w:firstColumn="1" w:lastColumn="0" w:noHBand="0" w:noVBand="1"/>
        <w:tblCaption w:val="Key for Figure 1.3 JSA VET Workforce Taxonomy"/>
        <w:tblDescription w:val="Workforce Segments (proportion of overall): &#10;- Teach, train and assess (48.5%)&#10;- Curriculum development and learning design (3.6%)&#10;- Learning Support (4.3%)&#10;- Quality and compliance (0.4%)&#10;- Administration and operations (30.3%)&#10;- Leadership (12.8%)&#10;&#10;Example job titles:&#10;- Head Teacher &#10;- VET Teacher &#10;- TAFE Lecturer&#10;- Senior Trainer and Assessor &#10;- Assessor &#10;- LLN Practitioner&#10;- Curriculum Developer&#10;- Instructional Designer&#10;- eLearning Designer&#10;- LMS Designer&#10;- Librarian&#10;- Teaching Aide&#10;- Counsellor&#10;- Enrolment officer&#10;- RTO Quality and Compliance Officer&#10;- Quality Assurance Manager&#10;- RTO Compliance Coordinator&#10;- RTO Risk and Compliance Officer&#10;- Human Resource Officer&#10;- Administrative Officer&#10;- ICT Officer&#10;- Marketing Specialist&#10;- Receptionist&#10;- Security Officer&#10;- Accountant&#10;- Commercial cleaner&#10;- RTO Operations Manager / CEO&#10;- GM Training Services&#10;- Chief People Officer&#10;- Director – Education Quality&#10;"/>
      </w:tblPr>
      <w:tblGrid>
        <w:gridCol w:w="924"/>
        <w:gridCol w:w="2593"/>
        <w:gridCol w:w="2312"/>
      </w:tblGrid>
      <w:tr w:rsidR="00725F57" w14:paraId="14970917" w14:textId="77777777" w:rsidTr="002B0F9B">
        <w:trPr>
          <w:cnfStyle w:val="100000000000" w:firstRow="1" w:lastRow="0" w:firstColumn="0" w:lastColumn="0" w:oddVBand="0" w:evenVBand="0" w:oddHBand="0" w:evenHBand="0" w:firstRowFirstColumn="0" w:firstRowLastColumn="0" w:lastRowFirstColumn="0" w:lastRowLastColumn="0"/>
          <w:trHeight w:val="680"/>
          <w:jc w:val="left"/>
        </w:trPr>
        <w:tc>
          <w:tcPr>
            <w:tcW w:w="924" w:type="dxa"/>
            <w:tcBorders>
              <w:top w:val="single" w:sz="24" w:space="0" w:color="FFFFFF" w:themeColor="background1"/>
              <w:left w:val="nil"/>
              <w:bottom w:val="single" w:sz="24" w:space="0" w:color="FFFFFF" w:themeColor="background1"/>
              <w:right w:val="single" w:sz="24" w:space="0" w:color="FFFFFF" w:themeColor="background1"/>
            </w:tcBorders>
            <w:shd w:val="clear" w:color="auto" w:fill="101928"/>
          </w:tcPr>
          <w:p w14:paraId="1F77A5D9" w14:textId="522F39D1" w:rsidR="00725F57" w:rsidRPr="0056051F" w:rsidRDefault="00725F57" w:rsidP="002B0F9B">
            <w:pPr>
              <w:pStyle w:val="TableBody2"/>
              <w:spacing w:after="0"/>
              <w:rPr>
                <w:color w:val="FFFFFF" w:themeColor="background1"/>
              </w:rPr>
            </w:pPr>
            <w:r w:rsidRPr="0056051F">
              <w:rPr>
                <w:color w:val="FFFFFF" w:themeColor="background1"/>
              </w:rPr>
              <w:t>Key</w:t>
            </w:r>
          </w:p>
        </w:tc>
        <w:tc>
          <w:tcPr>
            <w:tcW w:w="2593"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4B0985"/>
          </w:tcPr>
          <w:p w14:paraId="020EF13D" w14:textId="56F93E36" w:rsidR="00725F57" w:rsidRPr="00725F57" w:rsidRDefault="00725F57" w:rsidP="002B0F9B">
            <w:pPr>
              <w:pStyle w:val="TableBody2"/>
              <w:spacing w:after="0"/>
            </w:pPr>
            <w:r w:rsidRPr="00725F57">
              <w:t>Workforce Segments</w:t>
            </w:r>
          </w:p>
          <w:p w14:paraId="4C2227CF" w14:textId="1249731A" w:rsidR="00725F57" w:rsidRPr="00725F57" w:rsidRDefault="00725F57" w:rsidP="002B0F9B">
            <w:pPr>
              <w:pStyle w:val="TableBody2"/>
              <w:spacing w:after="0"/>
            </w:pPr>
            <w:r w:rsidRPr="00725F57">
              <w:t>(proportion of overall)</w:t>
            </w:r>
          </w:p>
        </w:tc>
        <w:tc>
          <w:tcPr>
            <w:tcW w:w="2312"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F5E8FF"/>
          </w:tcPr>
          <w:p w14:paraId="555E0FF5" w14:textId="32D4774F" w:rsidR="00725F57" w:rsidRPr="009C1D60" w:rsidRDefault="00725F57" w:rsidP="002B0F9B">
            <w:pPr>
              <w:pStyle w:val="TableBody2"/>
              <w:spacing w:after="0"/>
              <w:rPr>
                <w:color w:val="000000" w:themeColor="text1"/>
              </w:rPr>
            </w:pPr>
            <w:r w:rsidRPr="009C1D60">
              <w:rPr>
                <w:color w:val="000000" w:themeColor="text1"/>
              </w:rPr>
              <w:t>Example job titles</w:t>
            </w:r>
          </w:p>
        </w:tc>
      </w:tr>
    </w:tbl>
    <w:p w14:paraId="2472E328" w14:textId="545F877A" w:rsidR="00AB6B5F" w:rsidRDefault="00AB6B5F" w:rsidP="70E2BD6D">
      <w:pPr>
        <w:spacing w:before="120" w:after="60" w:line="240" w:lineRule="auto"/>
        <w:rPr>
          <w:rFonts w:asciiTheme="minorHAnsi" w:hAnsiTheme="minorHAnsi"/>
        </w:rPr>
      </w:pPr>
    </w:p>
    <w:p w14:paraId="691A417C" w14:textId="1A8FE4B3" w:rsidR="00D74B79" w:rsidRDefault="00AB6B5F" w:rsidP="00E16D4F">
      <w:pPr>
        <w:pStyle w:val="Bodycopy"/>
      </w:pPr>
      <w:r w:rsidRPr="28A4995B">
        <w:t>The</w:t>
      </w:r>
      <w:r w:rsidR="00694154">
        <w:t> </w:t>
      </w:r>
      <w:r w:rsidR="002F1FCA" w:rsidRPr="28A4995B">
        <w:t xml:space="preserve">taxonomy as an analytical framework for </w:t>
      </w:r>
      <w:r w:rsidR="0FC34153" w:rsidRPr="28A4995B">
        <w:t>2021 Census dat</w:t>
      </w:r>
      <w:r w:rsidR="00CE58D9" w:rsidRPr="28A4995B">
        <w:t xml:space="preserve">a </w:t>
      </w:r>
      <w:r w:rsidR="00A668AE" w:rsidRPr="28A4995B">
        <w:t>shows that</w:t>
      </w:r>
      <w:r w:rsidR="0FC34153" w:rsidRPr="28A4995B">
        <w:t xml:space="preserve"> just under half of the VET workforce is employed in </w:t>
      </w:r>
      <w:r w:rsidR="006B4C56" w:rsidRPr="28A4995B">
        <w:t>T</w:t>
      </w:r>
      <w:r w:rsidR="0FC34153" w:rsidRPr="28A4995B">
        <w:t xml:space="preserve">each, </w:t>
      </w:r>
      <w:r w:rsidR="00422759">
        <w:t>T</w:t>
      </w:r>
      <w:r w:rsidR="0FC34153" w:rsidRPr="28A4995B">
        <w:t xml:space="preserve">rain and </w:t>
      </w:r>
      <w:r w:rsidR="00422759">
        <w:t>A</w:t>
      </w:r>
      <w:r w:rsidR="0FC34153" w:rsidRPr="28A4995B">
        <w:t xml:space="preserve">ssess roles (48.5%). </w:t>
      </w:r>
      <w:r w:rsidR="00D74B79">
        <w:t>Th</w:t>
      </w:r>
      <w:r w:rsidR="48E6F404" w:rsidRPr="28A4995B">
        <w:t>is is consistent with data provided by TAFEs for this study, which indicate that teachers, trainers and assessors make up generally just over 50% of their workforces. It also aligns with older research by the Productivity Commission in 2011 which estimated 48% of the workforce in VET were ‘Trainers and Assessors’.</w:t>
      </w:r>
      <w:r w:rsidR="006D18AB">
        <w:rPr>
          <w:rStyle w:val="EndnoteReference"/>
          <w:rFonts w:eastAsia="Arial" w:cs="Arial"/>
        </w:rPr>
        <w:endnoteReference w:id="8"/>
      </w:r>
      <w:r w:rsidR="00D74B79">
        <w:rPr>
          <w:vertAlign w:val="superscript"/>
        </w:rPr>
        <w:t xml:space="preserve"> </w:t>
      </w:r>
      <w:r w:rsidR="43D48D8B" w:rsidRPr="28A4995B">
        <w:t>The 2019 NCVER survey of the workforce provided a lower estimate, reporting that teachers represented just under one third (29%) of the total VET workforce, including those delivering training under supervision (estimated at around 9%)</w:t>
      </w:r>
      <w:r w:rsidR="7CB2DB1F" w:rsidRPr="28A4995B">
        <w:t xml:space="preserve"> but as discussed above, there were sampling limitations which could have led to this underestimate.</w:t>
      </w:r>
      <w:r w:rsidR="00A4756C">
        <w:rPr>
          <w:rStyle w:val="EndnoteReference"/>
          <w:rFonts w:eastAsia="Arial" w:cs="Arial"/>
        </w:rPr>
        <w:endnoteReference w:id="9"/>
      </w:r>
      <w:r w:rsidR="0FC34153" w:rsidRPr="28A4995B">
        <w:t xml:space="preserve"> </w:t>
      </w:r>
    </w:p>
    <w:p w14:paraId="35F27748" w14:textId="738714EE" w:rsidR="0FC34153" w:rsidRDefault="0FC34153" w:rsidP="00E16D4F">
      <w:pPr>
        <w:pStyle w:val="Bodycopy"/>
      </w:pPr>
      <w:r w:rsidRPr="28A4995B">
        <w:lastRenderedPageBreak/>
        <w:t xml:space="preserve">The next largest segment of the VET workforce is Administration and operations roles which make up </w:t>
      </w:r>
      <w:r w:rsidR="39B23A37" w:rsidRPr="28A4995B">
        <w:t>29.0</w:t>
      </w:r>
      <w:r w:rsidRPr="28A4995B">
        <w:t>% of the workforce</w:t>
      </w:r>
      <w:r w:rsidR="658F6EC4" w:rsidRPr="28A4995B">
        <w:t>,</w:t>
      </w:r>
      <w:r w:rsidRPr="28A4995B">
        <w:t xml:space="preserve"> followed by </w:t>
      </w:r>
      <w:r w:rsidR="00C67C1F" w:rsidRPr="28A4995B">
        <w:t>L</w:t>
      </w:r>
      <w:r w:rsidRPr="28A4995B">
        <w:t>eadership at 12.8%</w:t>
      </w:r>
      <w:r w:rsidR="51D832CC" w:rsidRPr="28A4995B">
        <w:t>,</w:t>
      </w:r>
      <w:r w:rsidR="009D16EC" w:rsidRPr="28A4995B">
        <w:t xml:space="preserve"> and then </w:t>
      </w:r>
      <w:r w:rsidRPr="28A4995B">
        <w:t xml:space="preserve">Learning support </w:t>
      </w:r>
      <w:r w:rsidR="009D16EC" w:rsidRPr="28A4995B">
        <w:t xml:space="preserve">4.3%. </w:t>
      </w:r>
      <w:r w:rsidRPr="28A4995B">
        <w:t>Curriculum and learning design</w:t>
      </w:r>
      <w:r w:rsidR="0019217F" w:rsidRPr="28A4995B">
        <w:t xml:space="preserve"> is a smaller segment at 3.6%</w:t>
      </w:r>
      <w:r w:rsidR="6B2F0733" w:rsidRPr="28A4995B">
        <w:t>,</w:t>
      </w:r>
      <w:r w:rsidR="0019217F" w:rsidRPr="28A4995B">
        <w:t xml:space="preserve"> but </w:t>
      </w:r>
      <w:r w:rsidR="006B4C56" w:rsidRPr="28A4995B">
        <w:t>other data and trends analysed</w:t>
      </w:r>
      <w:r w:rsidR="0019217F" w:rsidRPr="28A4995B">
        <w:t xml:space="preserve"> throughout the report</w:t>
      </w:r>
      <w:r w:rsidR="006B4C56" w:rsidRPr="28A4995B">
        <w:t xml:space="preserve"> show that</w:t>
      </w:r>
      <w:r w:rsidR="0019217F" w:rsidRPr="28A4995B">
        <w:t xml:space="preserve"> job roles in this segment are growing. The smallest segment </w:t>
      </w:r>
      <w:r w:rsidR="000461B0" w:rsidRPr="28A4995B">
        <w:t xml:space="preserve">is </w:t>
      </w:r>
      <w:r w:rsidRPr="28A4995B">
        <w:t xml:space="preserve">Quality </w:t>
      </w:r>
      <w:r w:rsidR="000461B0" w:rsidRPr="28A4995B">
        <w:t>a</w:t>
      </w:r>
      <w:r w:rsidRPr="28A4995B">
        <w:t xml:space="preserve">ssurance and compliance </w:t>
      </w:r>
      <w:r w:rsidR="000461B0" w:rsidRPr="28A4995B">
        <w:t>at 0.4%</w:t>
      </w:r>
      <w:r w:rsidR="74D0D926" w:rsidRPr="28A4995B">
        <w:t>,</w:t>
      </w:r>
      <w:r w:rsidR="006B4C56" w:rsidRPr="28A4995B">
        <w:t xml:space="preserve"> but as</w:t>
      </w:r>
      <w:r w:rsidR="5806B219" w:rsidRPr="28A4995B">
        <w:t xml:space="preserve"> shown</w:t>
      </w:r>
      <w:r w:rsidR="006B4C56" w:rsidRPr="28A4995B">
        <w:t xml:space="preserve"> </w:t>
      </w:r>
      <w:r w:rsidR="0850541F" w:rsidRPr="28A4995B">
        <w:t xml:space="preserve">in </w:t>
      </w:r>
      <w:hyperlink w:anchor="Figure_1_3" w:history="1">
        <w:r w:rsidR="0850541F" w:rsidRPr="005D6A89">
          <w:rPr>
            <w:rStyle w:val="Hyperlink"/>
          </w:rPr>
          <w:t>Figure 1</w:t>
        </w:r>
        <w:r w:rsidR="00F2073B" w:rsidRPr="005D6A89">
          <w:rPr>
            <w:rStyle w:val="Hyperlink"/>
          </w:rPr>
          <w:t>.3</w:t>
        </w:r>
      </w:hyperlink>
      <w:r w:rsidR="006B4C56" w:rsidRPr="28A4995B">
        <w:t xml:space="preserve">, other roles in other segments especially </w:t>
      </w:r>
      <w:r w:rsidR="00C67C1F" w:rsidRPr="28A4995B">
        <w:t>Administration and Operations as well as Leadership</w:t>
      </w:r>
      <w:r w:rsidR="1A0ECD9A" w:rsidRPr="28A4995B">
        <w:t>,</w:t>
      </w:r>
      <w:r w:rsidR="00C67C1F" w:rsidRPr="28A4995B">
        <w:t xml:space="preserve"> include roles that have some compliance </w:t>
      </w:r>
      <w:r w:rsidR="000461B0" w:rsidRPr="28A4995B">
        <w:t>and quality assurance tasks</w:t>
      </w:r>
      <w:r w:rsidR="00C67C1F" w:rsidRPr="28A4995B">
        <w:t xml:space="preserve"> from a regulatory perspective. </w:t>
      </w:r>
      <w:r w:rsidR="000461B0" w:rsidRPr="28A4995B">
        <w:t xml:space="preserve"> </w:t>
      </w:r>
    </w:p>
    <w:p w14:paraId="39A5754D" w14:textId="138B6B1C" w:rsidR="0FC34153" w:rsidRDefault="00A668AE" w:rsidP="00E16D4F">
      <w:pPr>
        <w:pStyle w:val="Bodycopy"/>
      </w:pPr>
      <w:r>
        <w:t>Existing ABS occupational codes can also be mapped to the taxonomy</w:t>
      </w:r>
      <w:r w:rsidR="00422759">
        <w:t xml:space="preserve"> (see Appendix A)</w:t>
      </w:r>
      <w:r w:rsidR="49C4DA7C">
        <w:t>,</w:t>
      </w:r>
      <w:r>
        <w:t xml:space="preserve"> which again </w:t>
      </w:r>
      <w:r w:rsidR="549323D6">
        <w:t>highlight</w:t>
      </w:r>
      <w:r>
        <w:t>s the diversity of roles across the sector.</w:t>
      </w:r>
      <w:r w:rsidRPr="2FD8B883">
        <w:t xml:space="preserve"> </w:t>
      </w:r>
      <w:r w:rsidR="0FC34153" w:rsidRPr="2FD8B883">
        <w:t>For exampl</w:t>
      </w:r>
      <w:r w:rsidRPr="2FD8B883">
        <w:t xml:space="preserve">e: </w:t>
      </w:r>
    </w:p>
    <w:p w14:paraId="15E5760E" w14:textId="2D4D9760" w:rsidR="0FC34153" w:rsidRPr="00645C7D" w:rsidRDefault="0FC34153" w:rsidP="00D04786">
      <w:pPr>
        <w:pStyle w:val="ListBullet"/>
      </w:pPr>
      <w:r w:rsidRPr="00645C7D">
        <w:t xml:space="preserve">88% of the </w:t>
      </w:r>
      <w:r w:rsidR="00CB29F6">
        <w:t>Teach, Train, and Assess</w:t>
      </w:r>
      <w:r w:rsidRPr="00645C7D">
        <w:t xml:space="preserve"> segment is made up of Vocational Education Teachers, followed by Teachers of English to Speakers of Other Languages (3.7%) and University Lecturers (roughly 2.7% each). The rest of the occupation mix is split between various teaching roles </w:t>
      </w:r>
      <w:r w:rsidR="00B7654D" w:rsidRPr="00645C7D">
        <w:t>such as</w:t>
      </w:r>
      <w:r w:rsidRPr="00645C7D">
        <w:t xml:space="preserve"> Nursing Educators and ICT trainers as well as </w:t>
      </w:r>
      <w:r w:rsidR="002F6A0F" w:rsidRPr="00645C7D">
        <w:t>S</w:t>
      </w:r>
      <w:r w:rsidRPr="00645C7D">
        <w:t xml:space="preserve">econdary and </w:t>
      </w:r>
      <w:r w:rsidR="002F6A0F" w:rsidRPr="00645C7D">
        <w:t>E</w:t>
      </w:r>
      <w:r w:rsidRPr="00645C7D">
        <w:t xml:space="preserve">arly </w:t>
      </w:r>
      <w:r w:rsidR="002F6A0F" w:rsidRPr="00645C7D">
        <w:t>C</w:t>
      </w:r>
      <w:r w:rsidRPr="00645C7D">
        <w:t xml:space="preserve">hildhood </w:t>
      </w:r>
      <w:r w:rsidR="002F6A0F" w:rsidRPr="00645C7D">
        <w:t>T</w:t>
      </w:r>
      <w:r w:rsidRPr="00645C7D">
        <w:t xml:space="preserve">eachers. </w:t>
      </w:r>
    </w:p>
    <w:p w14:paraId="3F3A45F1" w14:textId="262800C3" w:rsidR="0FC34153" w:rsidRPr="00645C7D" w:rsidRDefault="0FC34153" w:rsidP="00D04786">
      <w:pPr>
        <w:pStyle w:val="ListBullet"/>
      </w:pPr>
      <w:r w:rsidRPr="00645C7D">
        <w:t xml:space="preserve">Faculty Head is the main occupation in Leadership (18.1%) followed by Chief Executives and or Managing Directors, Human Resource Managers and Office Managers which all make up around 10% of this segment. Sales and </w:t>
      </w:r>
      <w:r w:rsidR="002F6A0F" w:rsidRPr="00645C7D">
        <w:t>M</w:t>
      </w:r>
      <w:r w:rsidRPr="00645C7D">
        <w:t xml:space="preserve">arketing </w:t>
      </w:r>
      <w:r w:rsidR="002F6A0F" w:rsidRPr="00645C7D">
        <w:t>M</w:t>
      </w:r>
      <w:r w:rsidRPr="00645C7D">
        <w:t>anagers are also a prominent role in leadership at 7.7%, followed by policy and planning managers and education man</w:t>
      </w:r>
      <w:r w:rsidR="007F4DCE">
        <w:t>a</w:t>
      </w:r>
      <w:r w:rsidRPr="00645C7D">
        <w:t>gers (not elsewhere classified)</w:t>
      </w:r>
      <w:r w:rsidR="71629804" w:rsidRPr="00645C7D">
        <w:t>,</w:t>
      </w:r>
      <w:r w:rsidRPr="00645C7D">
        <w:t xml:space="preserve"> which make up just over 5% of leadership roles.</w:t>
      </w:r>
    </w:p>
    <w:p w14:paraId="6D5ED17C" w14:textId="63FF3D46" w:rsidR="001D27BE" w:rsidRDefault="00E251D1" w:rsidP="00D04786">
      <w:pPr>
        <w:pStyle w:val="ListBullet"/>
      </w:pPr>
      <w:r w:rsidRPr="00645C7D">
        <w:t xml:space="preserve">However, </w:t>
      </w:r>
      <w:r w:rsidR="00BB7A1F" w:rsidRPr="00645C7D">
        <w:t>education</w:t>
      </w:r>
      <w:r w:rsidR="00235137" w:rsidRPr="00645C7D">
        <w:t>-</w:t>
      </w:r>
      <w:r w:rsidR="00BB7A1F" w:rsidRPr="00645C7D">
        <w:t>focused managers</w:t>
      </w:r>
      <w:r w:rsidR="001F109E" w:rsidRPr="00645C7D">
        <w:t xml:space="preserve"> and/or leadership positions</w:t>
      </w:r>
      <w:r w:rsidR="00BB7A1F" w:rsidRPr="00645C7D">
        <w:t xml:space="preserve"> like Academic Directors, Head of </w:t>
      </w:r>
      <w:r w:rsidR="001F109E" w:rsidRPr="00645C7D">
        <w:t xml:space="preserve">Education </w:t>
      </w:r>
      <w:r w:rsidR="00FD6D0C" w:rsidRPr="00645C7D">
        <w:t>Quality</w:t>
      </w:r>
      <w:r w:rsidR="00F13911" w:rsidRPr="00645C7D">
        <w:t xml:space="preserve">, </w:t>
      </w:r>
      <w:r w:rsidR="5DAB5C0C" w:rsidRPr="00645C7D">
        <w:t xml:space="preserve">and </w:t>
      </w:r>
      <w:r w:rsidR="00F13911" w:rsidRPr="00645C7D">
        <w:t>Curriculum Lead</w:t>
      </w:r>
      <w:r w:rsidR="410F50B0" w:rsidRPr="00645C7D">
        <w:t>,</w:t>
      </w:r>
      <w:r w:rsidR="00F13911" w:rsidRPr="00645C7D">
        <w:t xml:space="preserve"> are likely to make up a much larger portion of this segment, these roles are just not reflected in ABS occupational coding. Chapter 5 outlines roles in each segment and can be used as a contrast to</w:t>
      </w:r>
      <w:r w:rsidR="00FB45B1" w:rsidRPr="00645C7D">
        <w:t xml:space="preserve"> </w:t>
      </w:r>
      <w:r w:rsidR="00F13911" w:rsidRPr="00645C7D">
        <w:t xml:space="preserve">ANZSCO codes to understand </w:t>
      </w:r>
      <w:r w:rsidR="003F736C" w:rsidRPr="00645C7D">
        <w:t>more recent</w:t>
      </w:r>
      <w:r w:rsidR="00F13911" w:rsidRPr="00645C7D">
        <w:t xml:space="preserve"> </w:t>
      </w:r>
      <w:r w:rsidR="004E5784" w:rsidRPr="00645C7D">
        <w:t xml:space="preserve">practice </w:t>
      </w:r>
      <w:r w:rsidR="00F13911" w:rsidRPr="00645C7D">
        <w:t xml:space="preserve">in the sector and broader education </w:t>
      </w:r>
      <w:r w:rsidR="003F736C" w:rsidRPr="00645C7D">
        <w:t>industries</w:t>
      </w:r>
      <w:r w:rsidR="00F13911" w:rsidRPr="00645C7D">
        <w:t xml:space="preserve">. </w:t>
      </w:r>
      <w:r w:rsidR="0FC34153" w:rsidRPr="00645C7D">
        <w:t xml:space="preserve">Other roles in this segment include </w:t>
      </w:r>
      <w:r w:rsidR="00FB45B1" w:rsidRPr="00645C7D">
        <w:t>managers that</w:t>
      </w:r>
      <w:r w:rsidR="001F109E" w:rsidRPr="00645C7D">
        <w:t xml:space="preserve"> you would expect in all organisations </w:t>
      </w:r>
      <w:r w:rsidR="0000395E">
        <w:t>–</w:t>
      </w:r>
      <w:r w:rsidR="0FC34153" w:rsidRPr="00645C7D">
        <w:t xml:space="preserve"> finance, ICT and business administration. </w:t>
      </w:r>
    </w:p>
    <w:p w14:paraId="1C27D934" w14:textId="77777777" w:rsidR="001D27BE" w:rsidRDefault="0FC34153" w:rsidP="00D04786">
      <w:pPr>
        <w:pStyle w:val="ListBullet"/>
      </w:pPr>
      <w:r w:rsidRPr="00645C7D">
        <w:t xml:space="preserve">‘Training and Development </w:t>
      </w:r>
      <w:r w:rsidR="00F13911" w:rsidRPr="00645C7D">
        <w:t>P</w:t>
      </w:r>
      <w:r w:rsidRPr="00645C7D">
        <w:t>rofessionals’ and ‘Education Advisors’ dominate the Curriculum and Learning Design segment (48.4% and 31.5% respectively). Other prominent occupations in this segment include graphic designers and multimedia designers or specialists which make up 13.6% of the segment when grouped together. In Chapter 4, it becomes clear that this segment of the workforce is in high demand and is a growing part of VET</w:t>
      </w:r>
      <w:r w:rsidR="00F13911" w:rsidRPr="00645C7D">
        <w:t xml:space="preserve">. </w:t>
      </w:r>
      <w:r w:rsidRPr="00645C7D">
        <w:t>This segment will be key to future workforce data collections to understand the changing nature of occupations and emerging roles in VET. For example, proposed changes to ANZSCO</w:t>
      </w:r>
      <w:r w:rsidR="00C07325" w:rsidRPr="00645C7D">
        <w:t xml:space="preserve"> noted above</w:t>
      </w:r>
      <w:r w:rsidRPr="00645C7D">
        <w:t xml:space="preserve"> include adding roles like Instructional Designer (Education), Learning Designer, and Learning Technologist in line with recent industry practice. </w:t>
      </w:r>
    </w:p>
    <w:p w14:paraId="5DD375EA" w14:textId="77777777" w:rsidR="001D27BE" w:rsidRDefault="0FC34153" w:rsidP="00D04786">
      <w:pPr>
        <w:pStyle w:val="ListBullet"/>
      </w:pPr>
      <w:r w:rsidRPr="00645C7D">
        <w:t xml:space="preserve">The Learning </w:t>
      </w:r>
      <w:r w:rsidR="00A47F71" w:rsidRPr="00645C7D">
        <w:t>s</w:t>
      </w:r>
      <w:r w:rsidRPr="00645C7D">
        <w:t xml:space="preserve">upport segment is dominated by Education Aides who make up 39% of this segment, followed by </w:t>
      </w:r>
      <w:r w:rsidR="00A47F71" w:rsidRPr="00645C7D">
        <w:t>ancillary</w:t>
      </w:r>
      <w:r w:rsidR="00117C5E" w:rsidRPr="00645C7D">
        <w:t xml:space="preserve"> professional roles like </w:t>
      </w:r>
      <w:r w:rsidRPr="00645C7D">
        <w:t>counsellors (17%) and librarians (13.4%). Other occupations that make up this segment include Librarian Technicians and Library Assistant</w:t>
      </w:r>
      <w:r w:rsidR="00117C5E" w:rsidRPr="00645C7D">
        <w:t>s</w:t>
      </w:r>
      <w:r w:rsidRPr="00645C7D">
        <w:t>; Student and Career counsellors and Educational Psychologists</w:t>
      </w:r>
      <w:r w:rsidR="00117C5E" w:rsidRPr="00645C7D">
        <w:t>;</w:t>
      </w:r>
      <w:r w:rsidRPr="00645C7D">
        <w:t xml:space="preserve"> Aboriginal and Torres Strait Islander Education Workers, Disabilities Services Officers and Community, Youth and Social Workers. Smaller numbers of occupations </w:t>
      </w:r>
      <w:r w:rsidR="001F5122" w:rsidRPr="00645C7D">
        <w:t>such as</w:t>
      </w:r>
      <w:r w:rsidRPr="00645C7D">
        <w:t xml:space="preserve"> School Laboratory Technicians and Interpreters are also present.</w:t>
      </w:r>
    </w:p>
    <w:p w14:paraId="1B8D1E78" w14:textId="77777777" w:rsidR="001D27BE" w:rsidRDefault="00A47F71" w:rsidP="00D04786">
      <w:pPr>
        <w:pStyle w:val="ListBullet"/>
      </w:pPr>
      <w:r w:rsidRPr="00645C7D">
        <w:lastRenderedPageBreak/>
        <w:t xml:space="preserve">The Administration and Operations segment is split among a greater combination of occupations. General clerks make up most of the administrative roles in this segment at 18.2% followed by roles </w:t>
      </w:r>
      <w:r w:rsidR="001101CB" w:rsidRPr="00645C7D">
        <w:t>such as</w:t>
      </w:r>
      <w:r w:rsidRPr="00645C7D">
        <w:t xml:space="preserve"> Information Officer, Program or Project Administrators, and </w:t>
      </w:r>
      <w:r w:rsidR="00CC043C" w:rsidRPr="00645C7D">
        <w:t>d</w:t>
      </w:r>
      <w:r w:rsidRPr="00645C7D">
        <w:t>ata entry, accounts, and ICT support roles.</w:t>
      </w:r>
    </w:p>
    <w:p w14:paraId="394A86FC" w14:textId="646F34BF" w:rsidR="00AB6B5F" w:rsidRPr="000D2FD8" w:rsidRDefault="00E7259E" w:rsidP="000E171D">
      <w:pPr>
        <w:pStyle w:val="ListBullet"/>
      </w:pPr>
      <w:r w:rsidRPr="000D2FD8">
        <w:t>The Quality Assurance and Compliance segment is split between a small</w:t>
      </w:r>
      <w:r w:rsidR="00CC043C" w:rsidRPr="000D2FD8">
        <w:t xml:space="preserve"> </w:t>
      </w:r>
      <w:r w:rsidRPr="000D2FD8">
        <w:t>number of roles</w:t>
      </w:r>
      <w:r w:rsidR="00CC043C" w:rsidRPr="000D2FD8">
        <w:t>. More than half are</w:t>
      </w:r>
      <w:r w:rsidRPr="000D2FD8">
        <w:t xml:space="preserve"> Quality Assurance Managers </w:t>
      </w:r>
      <w:r w:rsidR="0000395E">
        <w:t>–</w:t>
      </w:r>
      <w:r w:rsidR="00CC043C" w:rsidRPr="000D2FD8">
        <w:t xml:space="preserve"> </w:t>
      </w:r>
      <w:r w:rsidRPr="000D2FD8">
        <w:t>over 55%</w:t>
      </w:r>
      <w:r w:rsidR="00CC043C" w:rsidRPr="000D2FD8">
        <w:t xml:space="preserve"> of the segment</w:t>
      </w:r>
      <w:r w:rsidRPr="000D2FD8">
        <w:t xml:space="preserve">. Inspectors and Regulatory Officers and a small sample of auditors are also present. The new occupation code of Regulatory Affairs Manager will become more apparent in this segment in the future. </w:t>
      </w:r>
      <w:r w:rsidR="00CC043C" w:rsidRPr="000D2FD8">
        <w:t xml:space="preserve">Whilst this segment is small from a </w:t>
      </w:r>
      <w:r w:rsidR="00995FA5" w:rsidRPr="000D2FD8">
        <w:t>C</w:t>
      </w:r>
      <w:r w:rsidR="00CC043C" w:rsidRPr="000D2FD8">
        <w:t xml:space="preserve">ensus perspective, research </w:t>
      </w:r>
      <w:r w:rsidR="00602A58" w:rsidRPr="000D2FD8">
        <w:t>on organisational charts and position descriptions as well as engagement with sector leaders</w:t>
      </w:r>
      <w:r w:rsidR="7D99D532" w:rsidRPr="000D2FD8">
        <w:t>,</w:t>
      </w:r>
      <w:r w:rsidR="00602A58" w:rsidRPr="000D2FD8">
        <w:t xml:space="preserve"> shows that </w:t>
      </w:r>
      <w:r w:rsidR="00CC043C" w:rsidRPr="000D2FD8">
        <w:t xml:space="preserve">various </w:t>
      </w:r>
      <w:r w:rsidRPr="000D2FD8">
        <w:t xml:space="preserve">compliance and quality assurance </w:t>
      </w:r>
      <w:r w:rsidR="00602A58" w:rsidRPr="000D2FD8">
        <w:t>tasks are performed across roles in VET</w:t>
      </w:r>
      <w:r w:rsidR="34519411" w:rsidRPr="000D2FD8">
        <w:t>,</w:t>
      </w:r>
      <w:r w:rsidR="00602A58" w:rsidRPr="000D2FD8">
        <w:t xml:space="preserve"> including in leadership roles due to </w:t>
      </w:r>
      <w:r w:rsidRPr="000D2FD8">
        <w:t>corporate services, facilities, records and specialist manager roles. </w:t>
      </w:r>
    </w:p>
    <w:p w14:paraId="018ECC39" w14:textId="7A68FCBC" w:rsidR="00AB6B5F" w:rsidRPr="00645C7D" w:rsidRDefault="00AB6B5F" w:rsidP="000E171D">
      <w:pPr>
        <w:pStyle w:val="Bodycopy"/>
      </w:pPr>
      <w:r w:rsidRPr="000D2FD8">
        <w:t xml:space="preserve">The study also presents an initial occupational framework that sits underneath the taxonomy and profiles existing and emerging roles in VET. It profiles </w:t>
      </w:r>
      <w:r w:rsidR="00CB29F6">
        <w:t>Teach, Train, and Assess</w:t>
      </w:r>
      <w:r w:rsidRPr="000D2FD8">
        <w:t xml:space="preserve"> roles across a spectrum of working under supervision, focused, broad and extended scope and responsibility.</w:t>
      </w:r>
      <w:r w:rsidR="00082AA6" w:rsidRPr="000D2FD8">
        <w:t xml:space="preserve"> </w:t>
      </w:r>
      <w:hyperlink w:anchor="Figure_1_4" w:history="1">
        <w:r w:rsidR="00082AA6" w:rsidRPr="00BE6AC1">
          <w:rPr>
            <w:rStyle w:val="Hyperlink"/>
          </w:rPr>
          <w:t>Figure 1.</w:t>
        </w:r>
        <w:r w:rsidR="0019108F" w:rsidRPr="00BE6AC1">
          <w:rPr>
            <w:rStyle w:val="Hyperlink"/>
          </w:rPr>
          <w:t>4</w:t>
        </w:r>
      </w:hyperlink>
      <w:r w:rsidR="00082AA6" w:rsidRPr="000D2FD8">
        <w:t xml:space="preserve"> below outlines this spectrum and lists all job profiles included in the study.</w:t>
      </w:r>
    </w:p>
    <w:p w14:paraId="3EC181DF" w14:textId="6779F06F" w:rsidR="0019108F" w:rsidRDefault="0019108F" w:rsidP="0019108F">
      <w:pPr>
        <w:pStyle w:val="Caption"/>
        <w:keepNext/>
      </w:pPr>
      <w:bookmarkStart w:id="49" w:name="Figure_1_4"/>
      <w:r>
        <w:t xml:space="preserve">Figure </w:t>
      </w:r>
      <w:r w:rsidR="006558DC">
        <w:fldChar w:fldCharType="begin"/>
      </w:r>
      <w:r w:rsidR="006558DC">
        <w:instrText xml:space="preserve"> STYLEREF 1 \s </w:instrText>
      </w:r>
      <w:r w:rsidR="006558DC">
        <w:fldChar w:fldCharType="separate"/>
      </w:r>
      <w:r w:rsidR="00E7704E">
        <w:rPr>
          <w:noProof/>
        </w:rPr>
        <w:t>1</w:t>
      </w:r>
      <w:r w:rsidR="006558DC">
        <w:fldChar w:fldCharType="end"/>
      </w:r>
      <w:r w:rsidR="00EA1F63">
        <w:t>.</w:t>
      </w:r>
      <w:r w:rsidR="006558DC">
        <w:fldChar w:fldCharType="begin"/>
      </w:r>
      <w:r w:rsidR="006558DC">
        <w:instrText xml:space="preserve"> SEQ Figure \* ARABIC \s 1 </w:instrText>
      </w:r>
      <w:r w:rsidR="006558DC">
        <w:fldChar w:fldCharType="separate"/>
      </w:r>
      <w:r w:rsidR="00E7704E">
        <w:rPr>
          <w:noProof/>
        </w:rPr>
        <w:t>4</w:t>
      </w:r>
      <w:r w:rsidR="006558DC">
        <w:fldChar w:fldCharType="end"/>
      </w:r>
      <w:r>
        <w:t xml:space="preserve"> Job profiles and </w:t>
      </w:r>
      <w:r w:rsidR="00F51A2A">
        <w:t>initial</w:t>
      </w:r>
      <w:r>
        <w:t xml:space="preserve"> occupational framework for </w:t>
      </w:r>
      <w:r w:rsidR="00CB29F6">
        <w:t>Teach, Train, and Assess</w:t>
      </w:r>
      <w:r>
        <w:t xml:space="preserve"> roles</w:t>
      </w:r>
    </w:p>
    <w:bookmarkEnd w:id="49"/>
    <w:p w14:paraId="7C5589AA" w14:textId="3DC21A87" w:rsidR="00AB6B5F" w:rsidRPr="00957CD4" w:rsidRDefault="00DC404C" w:rsidP="00957CD4">
      <w:pPr>
        <w:rPr>
          <w:lang w:val="en-US"/>
        </w:rPr>
      </w:pPr>
      <w:r>
        <w:rPr>
          <w:noProof/>
          <w:lang w:val="en-US"/>
        </w:rPr>
        <w:drawing>
          <wp:inline distT="0" distB="0" distL="0" distR="0" wp14:anchorId="0402CE70" wp14:editId="538092A9">
            <wp:extent cx="5724000" cy="5013222"/>
            <wp:effectExtent l="0" t="0" r="0" b="0"/>
            <wp:docPr id="392801228" name="Picture 4" descr="The diagram introduces the various job profiles that are discussed in the report and introduces the spectrums of scope of practice (focused, broad and extended), focus of accountability and extent of responsibility and autonomy that informed the construction of Teach, Train and Assess job profiles. These are discussed in detail in chapter 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801228" name="Picture 4" descr="The diagram introduces the various job profiles that are discussed in the report and introduces the spectrums of scope of practice (focused, broad and extended), focus of accountability and extent of responsibility and autonomy that informed the construction of Teach, Train and Assess job profiles. These are discussed in detail in chapter 3.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24000" cy="5013222"/>
                    </a:xfrm>
                    <a:prstGeom prst="rect">
                      <a:avLst/>
                    </a:prstGeom>
                    <a:solidFill>
                      <a:schemeClr val="bg1"/>
                    </a:solidFill>
                  </pic:spPr>
                </pic:pic>
              </a:graphicData>
            </a:graphic>
          </wp:inline>
        </w:drawing>
      </w:r>
    </w:p>
    <w:p w14:paraId="33B5FA31" w14:textId="6B2295F8" w:rsidR="00687EEA" w:rsidRDefault="6A25BFCB" w:rsidP="4D29DDFB">
      <w:pPr>
        <w:pStyle w:val="Heading2"/>
      </w:pPr>
      <w:bookmarkStart w:id="50" w:name="_Toc1935044697"/>
      <w:bookmarkStart w:id="51" w:name="_Toc1783055826"/>
      <w:bookmarkStart w:id="52" w:name="_Toc176770976"/>
      <w:bookmarkStart w:id="53" w:name="_Toc1969840127"/>
      <w:r>
        <w:lastRenderedPageBreak/>
        <w:t>The</w:t>
      </w:r>
      <w:r w:rsidR="1D8E3C80">
        <w:t xml:space="preserve"> </w:t>
      </w:r>
      <w:r w:rsidR="1756DB86">
        <w:t xml:space="preserve">sector </w:t>
      </w:r>
      <w:r w:rsidR="4FDE5639">
        <w:t>context</w:t>
      </w:r>
      <w:r w:rsidR="41F97CDF">
        <w:t xml:space="preserve"> – workforce implications</w:t>
      </w:r>
      <w:bookmarkEnd w:id="50"/>
      <w:bookmarkEnd w:id="51"/>
      <w:bookmarkEnd w:id="52"/>
      <w:r w:rsidR="41F97CDF">
        <w:t xml:space="preserve"> </w:t>
      </w:r>
      <w:bookmarkEnd w:id="53"/>
    </w:p>
    <w:p w14:paraId="22E2105F" w14:textId="0AA10F6D" w:rsidR="00191595" w:rsidRDefault="000370CA" w:rsidP="00E16D4F">
      <w:pPr>
        <w:pStyle w:val="Bodycopy"/>
      </w:pPr>
      <w:r w:rsidRPr="00CB7136">
        <w:t>VET in Australia is a large and diversified system.</w:t>
      </w:r>
      <w:r w:rsidRPr="00B7001D">
        <w:t xml:space="preserve"> </w:t>
      </w:r>
      <w:r w:rsidRPr="00CB7136">
        <w:t xml:space="preserve">Over 4.5 million students were </w:t>
      </w:r>
      <w:r w:rsidRPr="009E2189">
        <w:t>enrolled</w:t>
      </w:r>
      <w:r w:rsidRPr="00CB7136">
        <w:t xml:space="preserve"> in VET programs or subjects in 2022</w:t>
      </w:r>
      <w:r w:rsidR="44110FA4" w:rsidRPr="00CB7136">
        <w:t>,</w:t>
      </w:r>
      <w:r>
        <w:t xml:space="preserve"> and </w:t>
      </w:r>
      <w:r w:rsidRPr="00B7001D">
        <w:t xml:space="preserve">in 2023 there were 4,088 RTOs delivering training across the </w:t>
      </w:r>
      <w:r w:rsidRPr="009E2189">
        <w:t>country.</w:t>
      </w:r>
      <w:r w:rsidR="009E2189" w:rsidRPr="009E2189">
        <w:rPr>
          <w:rStyle w:val="EndnoteReference"/>
        </w:rPr>
        <w:t xml:space="preserve"> </w:t>
      </w:r>
      <w:r w:rsidR="009E2189" w:rsidRPr="009E2189">
        <w:rPr>
          <w:rStyle w:val="EndnoteReference"/>
        </w:rPr>
        <w:endnoteReference w:id="10"/>
      </w:r>
      <w:r w:rsidRPr="009E2189">
        <w:t xml:space="preserve"> </w:t>
      </w:r>
      <w:r w:rsidR="00191595" w:rsidRPr="009E2189">
        <w:t>Students can</w:t>
      </w:r>
      <w:r w:rsidR="00191595" w:rsidRPr="00CB7136">
        <w:t xml:space="preserve"> undertake a range of nationally accredited programs and subjects, including training package qualifications, training package skill sets, accredited qualifications, accredited courses and stand-alone nationally recognised subjects (subject-only enrolments). </w:t>
      </w:r>
    </w:p>
    <w:p w14:paraId="681C3C57" w14:textId="1547CB32" w:rsidR="002F57E0" w:rsidRDefault="00191595" w:rsidP="00B7001D">
      <w:pPr>
        <w:pStyle w:val="Bodycopy"/>
        <w:rPr>
          <w:rFonts w:cs="Arial"/>
          <w:color w:val="000000"/>
          <w:shd w:val="clear" w:color="auto" w:fill="FFFFFF"/>
        </w:rPr>
      </w:pPr>
      <w:r>
        <w:rPr>
          <w:rFonts w:cs="Arial"/>
          <w:color w:val="000000"/>
          <w:shd w:val="clear" w:color="auto" w:fill="FFFFFF"/>
        </w:rPr>
        <w:t xml:space="preserve">This </w:t>
      </w:r>
      <w:r w:rsidR="002F57E0">
        <w:rPr>
          <w:rFonts w:cs="Arial"/>
          <w:color w:val="000000"/>
        </w:rPr>
        <w:t xml:space="preserve">diversity of VET offerings as well as the diverse learning needs of the people enrolled in VET have direct implications for the VET workforce. </w:t>
      </w:r>
      <w:r w:rsidR="002F57E0">
        <w:rPr>
          <w:rFonts w:cs="Arial"/>
          <w:color w:val="000000"/>
          <w:shd w:val="clear" w:color="auto" w:fill="FFFFFF"/>
        </w:rPr>
        <w:t>In this section we introduce the market</w:t>
      </w:r>
      <w:r w:rsidR="00E03EFE">
        <w:rPr>
          <w:rFonts w:cs="Arial"/>
          <w:color w:val="000000"/>
          <w:shd w:val="clear" w:color="auto" w:fill="FFFFFF"/>
        </w:rPr>
        <w:t xml:space="preserve"> (both from a provider and student cohort perspective)</w:t>
      </w:r>
      <w:r w:rsidR="70C6EAB8">
        <w:rPr>
          <w:rFonts w:cs="Arial"/>
          <w:color w:val="000000"/>
          <w:shd w:val="clear" w:color="auto" w:fill="FFFFFF"/>
        </w:rPr>
        <w:t>,</w:t>
      </w:r>
      <w:r w:rsidR="002F57E0">
        <w:rPr>
          <w:rFonts w:cs="Arial"/>
          <w:color w:val="000000"/>
          <w:shd w:val="clear" w:color="auto" w:fill="FFFFFF"/>
        </w:rPr>
        <w:t xml:space="preserve"> and regulatory context of VET</w:t>
      </w:r>
      <w:r w:rsidR="50ADABCA">
        <w:rPr>
          <w:rFonts w:cs="Arial"/>
          <w:color w:val="000000"/>
          <w:shd w:val="clear" w:color="auto" w:fill="FFFFFF"/>
        </w:rPr>
        <w:t>,</w:t>
      </w:r>
      <w:r w:rsidR="002F57E0">
        <w:rPr>
          <w:rFonts w:cs="Arial"/>
          <w:color w:val="000000"/>
          <w:shd w:val="clear" w:color="auto" w:fill="FFFFFF"/>
        </w:rPr>
        <w:t xml:space="preserve"> </w:t>
      </w:r>
      <w:r w:rsidR="2A54C1CB">
        <w:rPr>
          <w:rFonts w:cs="Arial"/>
          <w:color w:val="000000"/>
          <w:shd w:val="clear" w:color="auto" w:fill="FFFFFF"/>
        </w:rPr>
        <w:t>including</w:t>
      </w:r>
      <w:r w:rsidR="002F57E0">
        <w:rPr>
          <w:rFonts w:cs="Arial"/>
          <w:color w:val="000000"/>
          <w:shd w:val="clear" w:color="auto" w:fill="FFFFFF"/>
        </w:rPr>
        <w:t xml:space="preserve"> workforce implications.</w:t>
      </w:r>
      <w:r w:rsidR="00E03EFE">
        <w:rPr>
          <w:rFonts w:cs="Arial"/>
          <w:color w:val="000000"/>
          <w:shd w:val="clear" w:color="auto" w:fill="FFFFFF"/>
        </w:rPr>
        <w:t xml:space="preserve"> We </w:t>
      </w:r>
      <w:r w:rsidR="00DA4D3F">
        <w:rPr>
          <w:rFonts w:cs="Arial"/>
          <w:color w:val="000000"/>
          <w:shd w:val="clear" w:color="auto" w:fill="FFFFFF"/>
        </w:rPr>
        <w:t xml:space="preserve">also touch on </w:t>
      </w:r>
      <w:r>
        <w:rPr>
          <w:rFonts w:cs="Arial"/>
          <w:color w:val="000000"/>
          <w:shd w:val="clear" w:color="auto" w:fill="FFFFFF"/>
        </w:rPr>
        <w:t>some policy context in relation to high enrolments and existing skills shortages</w:t>
      </w:r>
      <w:r w:rsidR="57C4C73E">
        <w:rPr>
          <w:rFonts w:cs="Arial"/>
          <w:color w:val="000000"/>
          <w:shd w:val="clear" w:color="auto" w:fill="FFFFFF"/>
        </w:rPr>
        <w:t>,</w:t>
      </w:r>
      <w:r>
        <w:rPr>
          <w:rFonts w:cs="Arial"/>
          <w:color w:val="000000"/>
          <w:shd w:val="clear" w:color="auto" w:fill="FFFFFF"/>
        </w:rPr>
        <w:t xml:space="preserve"> but this is discussed in more detail in </w:t>
      </w:r>
      <w:r w:rsidR="00E03EFE">
        <w:rPr>
          <w:rFonts w:cs="Arial"/>
          <w:color w:val="000000"/>
          <w:shd w:val="clear" w:color="auto" w:fill="FFFFFF"/>
        </w:rPr>
        <w:t>Chapter 4</w:t>
      </w:r>
      <w:r>
        <w:rPr>
          <w:rFonts w:cs="Arial"/>
          <w:color w:val="000000"/>
          <w:shd w:val="clear" w:color="auto" w:fill="FFFFFF"/>
        </w:rPr>
        <w:t>.</w:t>
      </w:r>
    </w:p>
    <w:p w14:paraId="0E3C26EA" w14:textId="23E5B759" w:rsidR="005A33AD" w:rsidRPr="005A33AD" w:rsidRDefault="1756DB86" w:rsidP="00AE3165">
      <w:pPr>
        <w:pStyle w:val="Heading3"/>
      </w:pPr>
      <w:bookmarkStart w:id="54" w:name="_Toc1316310194"/>
      <w:r w:rsidRPr="2D0AAF70">
        <w:t xml:space="preserve">The </w:t>
      </w:r>
      <w:r w:rsidR="59C49FCE" w:rsidRPr="2D0AAF70">
        <w:t xml:space="preserve">market </w:t>
      </w:r>
      <w:r w:rsidRPr="2D0AAF70">
        <w:t>context</w:t>
      </w:r>
      <w:bookmarkEnd w:id="54"/>
    </w:p>
    <w:p w14:paraId="7C206940" w14:textId="5B46D81A" w:rsidR="00191595" w:rsidRDefault="002F57E0" w:rsidP="00B7001D">
      <w:pPr>
        <w:pStyle w:val="Bodycopy"/>
      </w:pPr>
      <w:r>
        <w:rPr>
          <w:rFonts w:cs="Arial"/>
          <w:color w:val="000000"/>
          <w:shd w:val="clear" w:color="auto" w:fill="FFFFFF"/>
        </w:rPr>
        <w:t xml:space="preserve">Among the thousands of RTO providers are various RTO types including TAFEs, private training providers, schools, dual sector universities, and enterprise and community-based adult education providers. </w:t>
      </w:r>
      <w:r w:rsidR="000370CA">
        <w:rPr>
          <w:rFonts w:cs="Arial"/>
          <w:color w:val="000000"/>
        </w:rPr>
        <w:t xml:space="preserve">Teaching roles look different in </w:t>
      </w:r>
      <w:r>
        <w:rPr>
          <w:rFonts w:cs="Arial"/>
          <w:color w:val="000000"/>
        </w:rPr>
        <w:t>these different types of RTO</w:t>
      </w:r>
      <w:r w:rsidR="6F423E06">
        <w:rPr>
          <w:rFonts w:cs="Arial"/>
          <w:color w:val="000000"/>
        </w:rPr>
        <w:t>s</w:t>
      </w:r>
      <w:r w:rsidR="000370CA">
        <w:rPr>
          <w:rFonts w:cs="Arial"/>
          <w:color w:val="000000"/>
        </w:rPr>
        <w:t>.</w:t>
      </w:r>
      <w:r>
        <w:rPr>
          <w:rFonts w:cs="Arial"/>
          <w:color w:val="000000"/>
        </w:rPr>
        <w:t xml:space="preserve"> </w:t>
      </w:r>
    </w:p>
    <w:p w14:paraId="3581BD5B" w14:textId="77777777" w:rsidR="00457FDF" w:rsidRDefault="00947C6C" w:rsidP="00E16D4F">
      <w:pPr>
        <w:pStyle w:val="Bodycopy"/>
      </w:pPr>
      <w:r>
        <w:t xml:space="preserve">For example, subject-only enrolments like First Aid and Workplace Safety are delivered mostly in private RTOs. </w:t>
      </w:r>
      <w:r w:rsidRPr="69079AD4">
        <w:t>In 2021, NCVER reported that over 90% of this market is provided by the private market and funded on a fee-for-service basis where employers or individuals pay often due to these industry regulatory requirements.</w:t>
      </w:r>
      <w:r w:rsidRPr="69079AD4">
        <w:rPr>
          <w:rStyle w:val="EndnoteReference"/>
          <w:rFonts w:eastAsia="Arial" w:cs="Arial"/>
        </w:rPr>
        <w:endnoteReference w:id="11"/>
      </w:r>
      <w:r w:rsidR="00191595">
        <w:t xml:space="preserve"> </w:t>
      </w:r>
    </w:p>
    <w:p w14:paraId="5FE2F881" w14:textId="41C04BC8" w:rsidR="0019108F" w:rsidRPr="00B7001D" w:rsidRDefault="00457FDF" w:rsidP="00E16D4F">
      <w:pPr>
        <w:pStyle w:val="Bodycopy"/>
      </w:pPr>
      <w:r>
        <w:t>Even though</w:t>
      </w:r>
      <w:r w:rsidR="00595226" w:rsidRPr="00B7001D">
        <w:t xml:space="preserve"> fewer than half (43.6%) of all VET students enrol in qualifications, teachers, trainers and assessors spend more than 80% of their effort (</w:t>
      </w:r>
      <w:r w:rsidR="00852368" w:rsidRPr="00B7001D">
        <w:t xml:space="preserve">as implied by </w:t>
      </w:r>
      <w:r w:rsidR="00595226" w:rsidRPr="00B7001D">
        <w:t xml:space="preserve">training </w:t>
      </w:r>
      <w:r w:rsidR="5C5A3639" w:rsidRPr="00B7001D">
        <w:t xml:space="preserve">delivery </w:t>
      </w:r>
      <w:r w:rsidR="00595226" w:rsidRPr="00B7001D">
        <w:t xml:space="preserve">hours) delivering qualifications </w:t>
      </w:r>
      <w:r w:rsidR="00244813" w:rsidRPr="00B7001D">
        <w:t>s</w:t>
      </w:r>
      <w:r w:rsidR="00595226" w:rsidRPr="00B7001D">
        <w:t xml:space="preserve">ee </w:t>
      </w:r>
      <w:hyperlink w:anchor="Figure_1_5" w:history="1">
        <w:r w:rsidR="00595226" w:rsidRPr="00BE6AC1">
          <w:rPr>
            <w:rStyle w:val="Hyperlink"/>
          </w:rPr>
          <w:t>Figure 1.</w:t>
        </w:r>
        <w:r w:rsidR="00024FF5" w:rsidRPr="00BE6AC1">
          <w:rPr>
            <w:rStyle w:val="Hyperlink"/>
          </w:rPr>
          <w:t>5</w:t>
        </w:r>
      </w:hyperlink>
      <w:r w:rsidR="00595226" w:rsidRPr="00B7001D">
        <w:t>. </w:t>
      </w:r>
      <w:r w:rsidR="5F95CDC3" w:rsidRPr="55C717FF">
        <w:t xml:space="preserve"> </w:t>
      </w:r>
    </w:p>
    <w:p w14:paraId="23C9ED6E" w14:textId="238268FC" w:rsidR="00024FF5" w:rsidRDefault="00024FF5" w:rsidP="00024FF5">
      <w:pPr>
        <w:pStyle w:val="Caption"/>
        <w:keepNext/>
      </w:pPr>
      <w:bookmarkStart w:id="55" w:name="Figure_1_5"/>
      <w:r>
        <w:t xml:space="preserve">Figure </w:t>
      </w:r>
      <w:r w:rsidR="006558DC">
        <w:fldChar w:fldCharType="begin"/>
      </w:r>
      <w:r w:rsidR="006558DC">
        <w:instrText xml:space="preserve"> STYLEREF 1 \s </w:instrText>
      </w:r>
      <w:r w:rsidR="006558DC">
        <w:fldChar w:fldCharType="separate"/>
      </w:r>
      <w:r w:rsidR="00E7704E">
        <w:rPr>
          <w:noProof/>
        </w:rPr>
        <w:t>1</w:t>
      </w:r>
      <w:r w:rsidR="006558DC">
        <w:fldChar w:fldCharType="end"/>
      </w:r>
      <w:r w:rsidR="00EA1F63">
        <w:t>.</w:t>
      </w:r>
      <w:r w:rsidR="006558DC">
        <w:fldChar w:fldCharType="begin"/>
      </w:r>
      <w:r w:rsidR="006558DC">
        <w:instrText xml:space="preserve"> SEQ Figure \* ARABIC \s 1 </w:instrText>
      </w:r>
      <w:r w:rsidR="006558DC">
        <w:fldChar w:fldCharType="separate"/>
      </w:r>
      <w:r w:rsidR="00E7704E">
        <w:rPr>
          <w:noProof/>
        </w:rPr>
        <w:t>5</w:t>
      </w:r>
      <w:r w:rsidR="006558DC">
        <w:fldChar w:fldCharType="end"/>
      </w:r>
      <w:r>
        <w:t xml:space="preserve"> </w:t>
      </w:r>
      <w:r w:rsidRPr="00B7001D">
        <w:rPr>
          <w:rStyle w:val="BodycopyChar"/>
        </w:rPr>
        <w:t>Students enrolled in nationally recognised training, 2022 (%)</w:t>
      </w:r>
      <w:r w:rsidRPr="3C53A4EC">
        <w:t> </w:t>
      </w:r>
      <w:r w:rsidR="00EA3B39">
        <w:t xml:space="preserve"> </w:t>
      </w:r>
    </w:p>
    <w:bookmarkEnd w:id="55"/>
    <w:p w14:paraId="140B75DB" w14:textId="5510C6DF" w:rsidR="3CCEEEE0" w:rsidRPr="00957CD4" w:rsidRDefault="00957CD4" w:rsidP="3CCEEEE0">
      <w:pPr>
        <w:rPr>
          <w:lang w:val="en-US"/>
        </w:rPr>
      </w:pPr>
      <w:r>
        <w:rPr>
          <w:noProof/>
        </w:rPr>
        <w:drawing>
          <wp:inline distT="0" distB="0" distL="0" distR="0" wp14:anchorId="3C0C79EF" wp14:editId="42E53F36">
            <wp:extent cx="5724000" cy="2416013"/>
            <wp:effectExtent l="19050" t="19050" r="10160" b="22860"/>
            <wp:docPr id="783304093" name="Picture 2" descr="Subjects not delivered as part of a nationally recognised program - 66.7%&#10;Training package qualifications - 40.8%&#10;Accredited qualifications - 3.5%&#10;Accredited courses - 2.4%&#10;Training package skill sets -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04093" name="Picture 2" descr="Subjects not delivered as part of a nationally recognised program - 66.7%&#10;Training package qualifications - 40.8%&#10;Accredited qualifications - 3.5%&#10;Accredited courses - 2.4%&#10;Training package skill sets - 2.3%&#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24000" cy="2416013"/>
                    </a:xfrm>
                    <a:prstGeom prst="rect">
                      <a:avLst/>
                    </a:prstGeom>
                    <a:solidFill>
                      <a:schemeClr val="bg1"/>
                    </a:solidFill>
                    <a:ln w="6350">
                      <a:solidFill>
                        <a:schemeClr val="bg1">
                          <a:lumMod val="75000"/>
                        </a:schemeClr>
                      </a:solidFill>
                    </a:ln>
                  </pic:spPr>
                </pic:pic>
              </a:graphicData>
            </a:graphic>
          </wp:inline>
        </w:drawing>
      </w:r>
    </w:p>
    <w:p w14:paraId="52D39311" w14:textId="77777777" w:rsidR="00595226" w:rsidRPr="000651A2" w:rsidRDefault="00595226" w:rsidP="008B2387">
      <w:pPr>
        <w:pStyle w:val="Source"/>
      </w:pPr>
      <w:r w:rsidRPr="000651A2">
        <w:t>Note: Since some students were enrolled in more than one type of training, percentages sum to more than 100%. </w:t>
      </w:r>
    </w:p>
    <w:p w14:paraId="375AEBFF" w14:textId="40A4E71C" w:rsidR="00595226" w:rsidRPr="000651A2" w:rsidRDefault="00595226" w:rsidP="008B2387">
      <w:pPr>
        <w:pStyle w:val="Source"/>
      </w:pPr>
      <w:r w:rsidRPr="000651A2">
        <w:t xml:space="preserve">Source: NCVER, Total VET students and courses 2022: Students, Total, Type of training by </w:t>
      </w:r>
      <w:r w:rsidR="001C793C" w:rsidRPr="000651A2">
        <w:br/>
      </w:r>
      <w:r w:rsidRPr="000651A2">
        <w:t>Year [DataBuilder] accessed 20 December 2023 </w:t>
      </w:r>
    </w:p>
    <w:p w14:paraId="78799AF1" w14:textId="4A9ACBE1" w:rsidR="00C92EEF" w:rsidRDefault="00C92EEF" w:rsidP="00D74B79">
      <w:pPr>
        <w:pStyle w:val="Caption"/>
        <w:keepNext/>
      </w:pPr>
      <w:bookmarkStart w:id="56" w:name="Table_1_2"/>
      <w:r>
        <w:lastRenderedPageBreak/>
        <w:t xml:space="preserve">Table </w:t>
      </w:r>
      <w:r w:rsidR="004B692A">
        <w:fldChar w:fldCharType="begin"/>
      </w:r>
      <w:r w:rsidR="004B692A">
        <w:instrText xml:space="preserve"> STYLEREF 1 \s </w:instrText>
      </w:r>
      <w:r w:rsidR="004B692A">
        <w:fldChar w:fldCharType="separate"/>
      </w:r>
      <w:r w:rsidR="00E7704E">
        <w:rPr>
          <w:noProof/>
        </w:rPr>
        <w:t>1</w:t>
      </w:r>
      <w:r w:rsidR="004B692A">
        <w:fldChar w:fldCharType="end"/>
      </w:r>
      <w:r w:rsidR="004B692A">
        <w:t>.</w:t>
      </w:r>
      <w:r w:rsidR="004B692A">
        <w:fldChar w:fldCharType="begin"/>
      </w:r>
      <w:r w:rsidR="004B692A">
        <w:instrText xml:space="preserve"> SEQ Table \* ARABIC \s 1 </w:instrText>
      </w:r>
      <w:r w:rsidR="004B692A">
        <w:fldChar w:fldCharType="separate"/>
      </w:r>
      <w:r w:rsidR="00E7704E">
        <w:rPr>
          <w:noProof/>
        </w:rPr>
        <w:t>2</w:t>
      </w:r>
      <w:r w:rsidR="004B692A">
        <w:fldChar w:fldCharType="end"/>
      </w:r>
      <w:r>
        <w:t xml:space="preserve"> VET reporting hours by type of training, 2022 (millions of hours)</w:t>
      </w:r>
    </w:p>
    <w:tbl>
      <w:tblPr>
        <w:tblStyle w:val="JSATable1"/>
        <w:tblW w:w="9107" w:type="dxa"/>
        <w:tblCellMar>
          <w:left w:w="227" w:type="dxa"/>
        </w:tblCellMar>
        <w:tblLook w:val="04A0" w:firstRow="1" w:lastRow="0" w:firstColumn="1" w:lastColumn="0" w:noHBand="0" w:noVBand="1"/>
        <w:tblDescription w:val="VET reporting hours by type of training"/>
      </w:tblPr>
      <w:tblGrid>
        <w:gridCol w:w="5046"/>
        <w:gridCol w:w="1963"/>
        <w:gridCol w:w="2098"/>
      </w:tblGrid>
      <w:tr w:rsidR="001C793C" w14:paraId="73346A1C" w14:textId="77777777" w:rsidTr="00F06ADE">
        <w:trPr>
          <w:cnfStyle w:val="100000000000" w:firstRow="1" w:lastRow="0" w:firstColumn="0" w:lastColumn="0" w:oddVBand="0" w:evenVBand="0" w:oddHBand="0" w:evenHBand="0" w:firstRowFirstColumn="0" w:firstRowLastColumn="0" w:lastRowFirstColumn="0" w:lastRowLastColumn="0"/>
          <w:trHeight w:val="971"/>
        </w:trPr>
        <w:tc>
          <w:tcPr>
            <w:cnfStyle w:val="001000000100" w:firstRow="0" w:lastRow="0" w:firstColumn="1" w:lastColumn="0" w:oddVBand="0" w:evenVBand="0" w:oddHBand="0" w:evenHBand="0" w:firstRowFirstColumn="1" w:firstRowLastColumn="0" w:lastRowFirstColumn="0" w:lastRowLastColumn="0"/>
            <w:tcW w:w="5046" w:type="dxa"/>
            <w:hideMark/>
          </w:tcPr>
          <w:bookmarkEnd w:id="56"/>
          <w:p w14:paraId="6599448C" w14:textId="77777777" w:rsidR="00595226" w:rsidRPr="00C239E0" w:rsidRDefault="00595226" w:rsidP="00940CF6">
            <w:pPr>
              <w:pStyle w:val="Bodycopy"/>
              <w:spacing w:before="60" w:after="0"/>
              <w:ind w:left="0"/>
              <w:jc w:val="left"/>
              <w:rPr>
                <w:rFonts w:asciiTheme="minorHAnsi" w:hAnsiTheme="minorHAnsi" w:cstheme="minorHAnsi"/>
                <w:color w:val="FFFFFF" w:themeColor="background1"/>
                <w:sz w:val="20"/>
                <w:szCs w:val="20"/>
              </w:rPr>
            </w:pPr>
            <w:r w:rsidRPr="00C239E0">
              <w:rPr>
                <w:rFonts w:asciiTheme="minorHAnsi" w:hAnsiTheme="minorHAnsi" w:cstheme="minorHAnsi"/>
                <w:color w:val="FFFFFF" w:themeColor="background1"/>
                <w:sz w:val="20"/>
                <w:szCs w:val="20"/>
              </w:rPr>
              <w:t>Type of Training </w:t>
            </w:r>
          </w:p>
        </w:tc>
        <w:tc>
          <w:tcPr>
            <w:tcW w:w="1963" w:type="dxa"/>
            <w:hideMark/>
          </w:tcPr>
          <w:p w14:paraId="43E797FC" w14:textId="1345CCD3" w:rsidR="00595226" w:rsidRPr="00C239E0" w:rsidRDefault="00595226" w:rsidP="00940CF6">
            <w:pPr>
              <w:pStyle w:val="Bodycopy"/>
              <w:spacing w:before="6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Cs w:val="20"/>
              </w:rPr>
            </w:pPr>
            <w:r w:rsidRPr="00C239E0">
              <w:rPr>
                <w:rFonts w:asciiTheme="minorHAnsi" w:hAnsiTheme="minorHAnsi" w:cstheme="minorHAnsi"/>
                <w:color w:val="FFFFFF" w:themeColor="background1"/>
                <w:szCs w:val="20"/>
              </w:rPr>
              <w:t>Hours (millions)</w:t>
            </w:r>
          </w:p>
        </w:tc>
        <w:tc>
          <w:tcPr>
            <w:tcW w:w="2098" w:type="dxa"/>
            <w:hideMark/>
          </w:tcPr>
          <w:p w14:paraId="26BE7252" w14:textId="77CF886D" w:rsidR="00595226" w:rsidRPr="00C239E0" w:rsidRDefault="00595226" w:rsidP="00940CF6">
            <w:pPr>
              <w:pStyle w:val="Bodycopy"/>
              <w:spacing w:before="6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Cs w:val="20"/>
              </w:rPr>
            </w:pPr>
            <w:r w:rsidRPr="00C239E0">
              <w:rPr>
                <w:rFonts w:asciiTheme="minorHAnsi" w:hAnsiTheme="minorHAnsi" w:cstheme="minorHAnsi"/>
                <w:color w:val="FFFFFF" w:themeColor="background1"/>
                <w:szCs w:val="20"/>
              </w:rPr>
              <w:t>% of total hours</w:t>
            </w:r>
          </w:p>
        </w:tc>
      </w:tr>
      <w:tr w:rsidR="00595226" w14:paraId="2A08F13D" w14:textId="77777777" w:rsidTr="00940CF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5046" w:type="dxa"/>
            <w:vAlign w:val="center"/>
            <w:hideMark/>
          </w:tcPr>
          <w:p w14:paraId="3CD7A876" w14:textId="77777777" w:rsidR="00595226" w:rsidRPr="004B6403" w:rsidRDefault="00595226" w:rsidP="00940CF6">
            <w:pPr>
              <w:pStyle w:val="Bodycopy"/>
              <w:spacing w:after="0"/>
              <w:ind w:left="0"/>
            </w:pPr>
            <w:r w:rsidRPr="004B6403">
              <w:t>Training package qualifications </w:t>
            </w:r>
          </w:p>
        </w:tc>
        <w:tc>
          <w:tcPr>
            <w:tcW w:w="1963" w:type="dxa"/>
            <w:vAlign w:val="center"/>
            <w:hideMark/>
          </w:tcPr>
          <w:p w14:paraId="38668D1C" w14:textId="6FB1AC44" w:rsidR="00595226" w:rsidRPr="004B6403" w:rsidRDefault="00595226" w:rsidP="00940CF6">
            <w:pPr>
              <w:pStyle w:val="Bodycopy"/>
              <w:jc w:val="center"/>
              <w:cnfStyle w:val="000000100000" w:firstRow="0" w:lastRow="0" w:firstColumn="0" w:lastColumn="0" w:oddVBand="0" w:evenVBand="0" w:oddHBand="1" w:evenHBand="0" w:firstRowFirstColumn="0" w:firstRowLastColumn="0" w:lastRowFirstColumn="0" w:lastRowLastColumn="0"/>
            </w:pPr>
            <w:r w:rsidRPr="004B6403">
              <w:t>643.2</w:t>
            </w:r>
          </w:p>
        </w:tc>
        <w:tc>
          <w:tcPr>
            <w:tcW w:w="2098" w:type="dxa"/>
            <w:vAlign w:val="center"/>
            <w:hideMark/>
          </w:tcPr>
          <w:p w14:paraId="514047A2" w14:textId="0E2A917C" w:rsidR="00595226" w:rsidRPr="004B6403" w:rsidRDefault="00595226" w:rsidP="00940CF6">
            <w:pPr>
              <w:pStyle w:val="Bodycopy"/>
              <w:jc w:val="center"/>
              <w:cnfStyle w:val="000000100000" w:firstRow="0" w:lastRow="0" w:firstColumn="0" w:lastColumn="0" w:oddVBand="0" w:evenVBand="0" w:oddHBand="1" w:evenHBand="0" w:firstRowFirstColumn="0" w:firstRowLastColumn="0" w:lastRowFirstColumn="0" w:lastRowLastColumn="0"/>
            </w:pPr>
            <w:r w:rsidRPr="004B6403">
              <w:t>77.7</w:t>
            </w:r>
          </w:p>
        </w:tc>
      </w:tr>
      <w:tr w:rsidR="00504FF7" w14:paraId="598F3282" w14:textId="77777777" w:rsidTr="00940CF6">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5046" w:type="dxa"/>
            <w:vAlign w:val="center"/>
            <w:hideMark/>
          </w:tcPr>
          <w:p w14:paraId="341B6D67" w14:textId="77777777" w:rsidR="00595226" w:rsidRPr="004B6403" w:rsidRDefault="00595226" w:rsidP="00940CF6">
            <w:pPr>
              <w:pStyle w:val="Bodycopy"/>
              <w:spacing w:after="0"/>
              <w:ind w:left="0"/>
            </w:pPr>
            <w:r w:rsidRPr="004B6403">
              <w:t>Accredited qualifications </w:t>
            </w:r>
          </w:p>
        </w:tc>
        <w:tc>
          <w:tcPr>
            <w:tcW w:w="1963" w:type="dxa"/>
            <w:vAlign w:val="center"/>
            <w:hideMark/>
          </w:tcPr>
          <w:p w14:paraId="1B40E3C2" w14:textId="121C015D" w:rsidR="00595226" w:rsidRPr="004B6403" w:rsidRDefault="00595226" w:rsidP="00940CF6">
            <w:pPr>
              <w:pStyle w:val="Bodycopy"/>
              <w:jc w:val="center"/>
              <w:cnfStyle w:val="000000010000" w:firstRow="0" w:lastRow="0" w:firstColumn="0" w:lastColumn="0" w:oddVBand="0" w:evenVBand="0" w:oddHBand="0" w:evenHBand="1" w:firstRowFirstColumn="0" w:firstRowLastColumn="0" w:lastRowFirstColumn="0" w:lastRowLastColumn="0"/>
            </w:pPr>
            <w:r w:rsidRPr="004B6403">
              <w:t>40.7</w:t>
            </w:r>
          </w:p>
        </w:tc>
        <w:tc>
          <w:tcPr>
            <w:tcW w:w="2098" w:type="dxa"/>
            <w:vAlign w:val="center"/>
            <w:hideMark/>
          </w:tcPr>
          <w:p w14:paraId="236E4D10" w14:textId="576D12EB" w:rsidR="00595226" w:rsidRPr="004B6403" w:rsidRDefault="00595226" w:rsidP="00940CF6">
            <w:pPr>
              <w:pStyle w:val="Bodycopy"/>
              <w:jc w:val="center"/>
              <w:cnfStyle w:val="000000010000" w:firstRow="0" w:lastRow="0" w:firstColumn="0" w:lastColumn="0" w:oddVBand="0" w:evenVBand="0" w:oddHBand="0" w:evenHBand="1" w:firstRowFirstColumn="0" w:firstRowLastColumn="0" w:lastRowFirstColumn="0" w:lastRowLastColumn="0"/>
            </w:pPr>
            <w:r w:rsidRPr="004B6403">
              <w:t>4.9</w:t>
            </w:r>
          </w:p>
        </w:tc>
      </w:tr>
      <w:tr w:rsidR="00595226" w14:paraId="4EE7C3C8" w14:textId="77777777" w:rsidTr="00940CF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5046" w:type="dxa"/>
            <w:vAlign w:val="center"/>
            <w:hideMark/>
          </w:tcPr>
          <w:p w14:paraId="65917AF1" w14:textId="77777777" w:rsidR="00595226" w:rsidRPr="004B6403" w:rsidRDefault="00595226" w:rsidP="00940CF6">
            <w:pPr>
              <w:pStyle w:val="Bodycopy"/>
              <w:spacing w:after="0"/>
              <w:ind w:left="0"/>
            </w:pPr>
            <w:r w:rsidRPr="004B6403">
              <w:t>Training package skill sets </w:t>
            </w:r>
          </w:p>
        </w:tc>
        <w:tc>
          <w:tcPr>
            <w:tcW w:w="1963" w:type="dxa"/>
            <w:vAlign w:val="center"/>
            <w:hideMark/>
          </w:tcPr>
          <w:p w14:paraId="192667F7" w14:textId="0E7B9BD0" w:rsidR="00595226" w:rsidRPr="004B6403" w:rsidRDefault="00595226" w:rsidP="00940CF6">
            <w:pPr>
              <w:pStyle w:val="Bodycopy"/>
              <w:jc w:val="center"/>
              <w:cnfStyle w:val="000000100000" w:firstRow="0" w:lastRow="0" w:firstColumn="0" w:lastColumn="0" w:oddVBand="0" w:evenVBand="0" w:oddHBand="1" w:evenHBand="0" w:firstRowFirstColumn="0" w:firstRowLastColumn="0" w:lastRowFirstColumn="0" w:lastRowLastColumn="0"/>
            </w:pPr>
            <w:r w:rsidRPr="004B6403">
              <w:t>5.7</w:t>
            </w:r>
          </w:p>
        </w:tc>
        <w:tc>
          <w:tcPr>
            <w:tcW w:w="2098" w:type="dxa"/>
            <w:vAlign w:val="center"/>
            <w:hideMark/>
          </w:tcPr>
          <w:p w14:paraId="716F1E3B" w14:textId="37153741" w:rsidR="00595226" w:rsidRPr="004B6403" w:rsidRDefault="00595226" w:rsidP="00940CF6">
            <w:pPr>
              <w:pStyle w:val="Bodycopy"/>
              <w:jc w:val="center"/>
              <w:cnfStyle w:val="000000100000" w:firstRow="0" w:lastRow="0" w:firstColumn="0" w:lastColumn="0" w:oddVBand="0" w:evenVBand="0" w:oddHBand="1" w:evenHBand="0" w:firstRowFirstColumn="0" w:firstRowLastColumn="0" w:lastRowFirstColumn="0" w:lastRowLastColumn="0"/>
            </w:pPr>
            <w:r w:rsidRPr="004B6403">
              <w:t>0.7</w:t>
            </w:r>
          </w:p>
        </w:tc>
      </w:tr>
      <w:tr w:rsidR="00504FF7" w14:paraId="3984023C" w14:textId="77777777" w:rsidTr="00940CF6">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5046" w:type="dxa"/>
            <w:vAlign w:val="center"/>
            <w:hideMark/>
          </w:tcPr>
          <w:p w14:paraId="2C4E9D5C" w14:textId="77777777" w:rsidR="00595226" w:rsidRPr="004B6403" w:rsidRDefault="00595226" w:rsidP="00940CF6">
            <w:pPr>
              <w:pStyle w:val="Bodycopy"/>
              <w:spacing w:after="0"/>
              <w:ind w:left="0"/>
            </w:pPr>
            <w:r w:rsidRPr="004B6403">
              <w:t>Accredited courses </w:t>
            </w:r>
          </w:p>
        </w:tc>
        <w:tc>
          <w:tcPr>
            <w:tcW w:w="1963" w:type="dxa"/>
            <w:vAlign w:val="center"/>
            <w:hideMark/>
          </w:tcPr>
          <w:p w14:paraId="5EF793C2" w14:textId="43F59766" w:rsidR="00595226" w:rsidRPr="004B6403" w:rsidRDefault="00595226" w:rsidP="00940CF6">
            <w:pPr>
              <w:pStyle w:val="Bodycopy"/>
              <w:jc w:val="center"/>
              <w:cnfStyle w:val="000000010000" w:firstRow="0" w:lastRow="0" w:firstColumn="0" w:lastColumn="0" w:oddVBand="0" w:evenVBand="0" w:oddHBand="0" w:evenHBand="1" w:firstRowFirstColumn="0" w:firstRowLastColumn="0" w:lastRowFirstColumn="0" w:lastRowLastColumn="0"/>
            </w:pPr>
            <w:r w:rsidRPr="004B6403">
              <w:t>5.9</w:t>
            </w:r>
          </w:p>
        </w:tc>
        <w:tc>
          <w:tcPr>
            <w:tcW w:w="2098" w:type="dxa"/>
            <w:vAlign w:val="center"/>
            <w:hideMark/>
          </w:tcPr>
          <w:p w14:paraId="5AEC624D" w14:textId="3FBDF547" w:rsidR="00595226" w:rsidRPr="004B6403" w:rsidRDefault="00595226" w:rsidP="00940CF6">
            <w:pPr>
              <w:pStyle w:val="Bodycopy"/>
              <w:jc w:val="center"/>
              <w:cnfStyle w:val="000000010000" w:firstRow="0" w:lastRow="0" w:firstColumn="0" w:lastColumn="0" w:oddVBand="0" w:evenVBand="0" w:oddHBand="0" w:evenHBand="1" w:firstRowFirstColumn="0" w:firstRowLastColumn="0" w:lastRowFirstColumn="0" w:lastRowLastColumn="0"/>
            </w:pPr>
            <w:r w:rsidRPr="004B6403">
              <w:t>0.7</w:t>
            </w:r>
          </w:p>
        </w:tc>
      </w:tr>
      <w:tr w:rsidR="00595226" w14:paraId="5946D848" w14:textId="77777777" w:rsidTr="00940CF6">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5046" w:type="dxa"/>
            <w:vAlign w:val="center"/>
            <w:hideMark/>
          </w:tcPr>
          <w:p w14:paraId="18567E9B" w14:textId="77777777" w:rsidR="00595226" w:rsidRPr="004B6403" w:rsidRDefault="00595226" w:rsidP="00940CF6">
            <w:pPr>
              <w:pStyle w:val="Bodycopy"/>
              <w:spacing w:after="0"/>
              <w:ind w:left="0"/>
            </w:pPr>
            <w:r w:rsidRPr="004B6403">
              <w:t>Subjects not delivered as part of a nationally recognised program </w:t>
            </w:r>
          </w:p>
        </w:tc>
        <w:tc>
          <w:tcPr>
            <w:tcW w:w="1963" w:type="dxa"/>
            <w:vAlign w:val="center"/>
            <w:hideMark/>
          </w:tcPr>
          <w:p w14:paraId="4943CCBC" w14:textId="75777ABC" w:rsidR="00595226" w:rsidRPr="004B6403" w:rsidRDefault="00595226" w:rsidP="00940CF6">
            <w:pPr>
              <w:pStyle w:val="Bodycopy"/>
              <w:jc w:val="center"/>
              <w:cnfStyle w:val="000000100000" w:firstRow="0" w:lastRow="0" w:firstColumn="0" w:lastColumn="0" w:oddVBand="0" w:evenVBand="0" w:oddHBand="1" w:evenHBand="0" w:firstRowFirstColumn="0" w:firstRowLastColumn="0" w:lastRowFirstColumn="0" w:lastRowLastColumn="0"/>
            </w:pPr>
            <w:r w:rsidRPr="004B6403">
              <w:t>132.4</w:t>
            </w:r>
          </w:p>
        </w:tc>
        <w:tc>
          <w:tcPr>
            <w:tcW w:w="2098" w:type="dxa"/>
            <w:vAlign w:val="center"/>
            <w:hideMark/>
          </w:tcPr>
          <w:p w14:paraId="49122CA0" w14:textId="03AC6541" w:rsidR="00595226" w:rsidRPr="004B6403" w:rsidRDefault="00595226" w:rsidP="00940CF6">
            <w:pPr>
              <w:pStyle w:val="Bodycopy"/>
              <w:jc w:val="center"/>
              <w:cnfStyle w:val="000000100000" w:firstRow="0" w:lastRow="0" w:firstColumn="0" w:lastColumn="0" w:oddVBand="0" w:evenVBand="0" w:oddHBand="1" w:evenHBand="0" w:firstRowFirstColumn="0" w:firstRowLastColumn="0" w:lastRowFirstColumn="0" w:lastRowLastColumn="0"/>
            </w:pPr>
            <w:r w:rsidRPr="004B6403">
              <w:t>16.0</w:t>
            </w:r>
          </w:p>
        </w:tc>
      </w:tr>
      <w:tr w:rsidR="00504FF7" w14:paraId="02EDDA51" w14:textId="77777777" w:rsidTr="00940CF6">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5046" w:type="dxa"/>
            <w:vAlign w:val="center"/>
            <w:hideMark/>
          </w:tcPr>
          <w:p w14:paraId="0DE41A0D" w14:textId="77777777" w:rsidR="00595226" w:rsidRPr="000651A2" w:rsidRDefault="00595226" w:rsidP="00940CF6">
            <w:pPr>
              <w:pStyle w:val="Bodycopy"/>
              <w:spacing w:after="0"/>
              <w:ind w:left="0"/>
            </w:pPr>
            <w:r w:rsidRPr="000651A2">
              <w:rPr>
                <w:b/>
                <w:bCs/>
              </w:rPr>
              <w:t>Totals </w:t>
            </w:r>
          </w:p>
        </w:tc>
        <w:tc>
          <w:tcPr>
            <w:tcW w:w="1963" w:type="dxa"/>
            <w:vAlign w:val="center"/>
            <w:hideMark/>
          </w:tcPr>
          <w:p w14:paraId="02C81AAD" w14:textId="07B511E9" w:rsidR="00595226" w:rsidRPr="000651A2" w:rsidRDefault="00595226" w:rsidP="00940CF6">
            <w:pPr>
              <w:pStyle w:val="Bodycopy"/>
              <w:jc w:val="center"/>
              <w:cnfStyle w:val="000000010000" w:firstRow="0" w:lastRow="0" w:firstColumn="0" w:lastColumn="0" w:oddVBand="0" w:evenVBand="0" w:oddHBand="0" w:evenHBand="1" w:firstRowFirstColumn="0" w:firstRowLastColumn="0" w:lastRowFirstColumn="0" w:lastRowLastColumn="0"/>
            </w:pPr>
            <w:r w:rsidRPr="000651A2">
              <w:rPr>
                <w:b/>
                <w:bCs/>
              </w:rPr>
              <w:t>827.8</w:t>
            </w:r>
          </w:p>
        </w:tc>
        <w:tc>
          <w:tcPr>
            <w:tcW w:w="2098" w:type="dxa"/>
            <w:vAlign w:val="center"/>
            <w:hideMark/>
          </w:tcPr>
          <w:p w14:paraId="51B409EE" w14:textId="487CB9F6" w:rsidR="00595226" w:rsidRPr="000651A2" w:rsidRDefault="00595226" w:rsidP="00940CF6">
            <w:pPr>
              <w:pStyle w:val="Bodycopy"/>
              <w:jc w:val="center"/>
              <w:cnfStyle w:val="000000010000" w:firstRow="0" w:lastRow="0" w:firstColumn="0" w:lastColumn="0" w:oddVBand="0" w:evenVBand="0" w:oddHBand="0" w:evenHBand="1" w:firstRowFirstColumn="0" w:firstRowLastColumn="0" w:lastRowFirstColumn="0" w:lastRowLastColumn="0"/>
            </w:pPr>
            <w:r w:rsidRPr="000651A2">
              <w:rPr>
                <w:b/>
                <w:bCs/>
              </w:rPr>
              <w:t>100.0</w:t>
            </w:r>
          </w:p>
        </w:tc>
      </w:tr>
    </w:tbl>
    <w:p w14:paraId="36EF371F" w14:textId="119DD40E" w:rsidR="001C793C" w:rsidRPr="000651A2" w:rsidRDefault="00595226" w:rsidP="00940CF6">
      <w:pPr>
        <w:pStyle w:val="Source"/>
      </w:pPr>
      <w:r w:rsidRPr="4A63BAB5">
        <w:rPr>
          <w:rFonts w:cs="Arial"/>
        </w:rPr>
        <w:t xml:space="preserve">Source: NCVER, </w:t>
      </w:r>
      <w:hyperlink r:id="rId18">
        <w:r w:rsidRPr="00940CF6">
          <w:rPr>
            <w:rStyle w:val="normaltextrun"/>
            <w:rFonts w:cs="Arial"/>
            <w:u w:val="single"/>
          </w:rPr>
          <w:t>Databuilder</w:t>
        </w:r>
      </w:hyperlink>
      <w:r w:rsidRPr="00B7001D">
        <w:rPr>
          <w:rStyle w:val="BodycopyChar"/>
        </w:rPr>
        <w:t>, accessed 15 February 2024.</w:t>
      </w:r>
      <w:r w:rsidRPr="4A63BAB5">
        <w:rPr>
          <w:rFonts w:cs="Arial"/>
        </w:rPr>
        <w:t> </w:t>
      </w:r>
      <w:r w:rsidR="2E01EAB6" w:rsidRPr="4A63BAB5">
        <w:rPr>
          <w:rFonts w:cs="Arial"/>
        </w:rPr>
        <w:t>Note: Hours of delivery.</w:t>
      </w:r>
    </w:p>
    <w:p w14:paraId="35286EB5" w14:textId="1E886311" w:rsidR="00191595" w:rsidRPr="00E81D9C" w:rsidRDefault="75905575" w:rsidP="00B47204">
      <w:pPr>
        <w:pStyle w:val="Bodycopy"/>
        <w:spacing w:before="360"/>
      </w:pPr>
      <w:r w:rsidRPr="00E81D9C">
        <w:t>Census data also</w:t>
      </w:r>
      <w:r w:rsidRPr="00E81D9C" w:rsidDel="75905575">
        <w:t xml:space="preserve"> </w:t>
      </w:r>
      <w:r w:rsidR="004F470E" w:rsidRPr="00E81D9C">
        <w:t xml:space="preserve">suggest </w:t>
      </w:r>
      <w:r w:rsidRPr="00E81D9C">
        <w:t xml:space="preserve">that </w:t>
      </w:r>
      <w:r w:rsidR="7BC3982C" w:rsidRPr="00E81D9C">
        <w:t xml:space="preserve">over two thirds </w:t>
      </w:r>
      <w:r w:rsidRPr="00E81D9C">
        <w:t>of the VET workforce are employed by public providers</w:t>
      </w:r>
      <w:r w:rsidR="504CFCA6" w:rsidRPr="00E81D9C">
        <w:t xml:space="preserve"> </w:t>
      </w:r>
      <w:r w:rsidRPr="00E81D9C">
        <w:t>and this public provider workforce concentration contrasts with the market proportion of service delivered by that sector</w:t>
      </w:r>
      <w:r w:rsidR="5EC297F0" w:rsidRPr="00E81D9C">
        <w:t xml:space="preserve"> – fewer than 3 in 10 programs (29.2%) and a sixth (15.9%) </w:t>
      </w:r>
      <w:r w:rsidRPr="00E81D9C">
        <w:t>of students</w:t>
      </w:r>
      <w:r w:rsidR="67319118" w:rsidRPr="00E81D9C">
        <w:t>.</w:t>
      </w:r>
      <w:r w:rsidRPr="00C239E0">
        <w:rPr>
          <w:rStyle w:val="EndnoteReference"/>
        </w:rPr>
        <w:endnoteReference w:id="12"/>
      </w:r>
      <w:r w:rsidRPr="00C239E0">
        <w:rPr>
          <w:vertAlign w:val="superscript"/>
        </w:rPr>
        <w:t xml:space="preserve"> </w:t>
      </w:r>
    </w:p>
    <w:p w14:paraId="14E49110" w14:textId="110AAC38" w:rsidR="00191595" w:rsidRPr="00E81D9C" w:rsidRDefault="00595226" w:rsidP="00B7001D">
      <w:pPr>
        <w:pStyle w:val="Bodycopy"/>
      </w:pPr>
      <w:r w:rsidRPr="00E81D9C">
        <w:t>C</w:t>
      </w:r>
      <w:r w:rsidR="00191595" w:rsidRPr="00E81D9C">
        <w:t xml:space="preserve">ertain provider types </w:t>
      </w:r>
      <w:r w:rsidRPr="00E81D9C">
        <w:t xml:space="preserve">also </w:t>
      </w:r>
      <w:r w:rsidR="00191595" w:rsidRPr="00E81D9C">
        <w:t xml:space="preserve">have a larger share of the market for </w:t>
      </w:r>
      <w:r w:rsidRPr="00E81D9C">
        <w:t>certain high</w:t>
      </w:r>
      <w:r w:rsidR="00191595" w:rsidRPr="00E81D9C">
        <w:t xml:space="preserve"> enrolment qualifications. For instance: </w:t>
      </w:r>
    </w:p>
    <w:p w14:paraId="718ECC0F" w14:textId="77777777" w:rsidR="00191595" w:rsidRPr="00E81D9C" w:rsidRDefault="00191595" w:rsidP="0012541F">
      <w:pPr>
        <w:pStyle w:val="ListBullet"/>
      </w:pPr>
      <w:r w:rsidRPr="00E81D9C">
        <w:t xml:space="preserve">private training providers are the predominant providers of the Certificate III in Individual Support and the Certificate III in Early Childhood and Care – critical qualifications for skilling the care economy; and </w:t>
      </w:r>
    </w:p>
    <w:p w14:paraId="121C811D" w14:textId="714D4376" w:rsidR="00191595" w:rsidRPr="00E81D9C" w:rsidRDefault="00191595" w:rsidP="0012541F">
      <w:pPr>
        <w:pStyle w:val="ListBullet"/>
      </w:pPr>
      <w:r w:rsidRPr="00E81D9C">
        <w:t xml:space="preserve">TAFEs account for </w:t>
      </w:r>
      <w:r w:rsidR="00595226" w:rsidRPr="00E81D9C">
        <w:t>most of the</w:t>
      </w:r>
      <w:r w:rsidRPr="00E81D9C">
        <w:t xml:space="preserve"> training in the Certificate III in Electrotechnology</w:t>
      </w:r>
      <w:r w:rsidR="5388F143" w:rsidRPr="00E81D9C">
        <w:t xml:space="preserve"> and Carpentry and </w:t>
      </w:r>
      <w:r w:rsidR="00F51A2A" w:rsidRPr="00E81D9C">
        <w:t>both provide</w:t>
      </w:r>
      <w:r w:rsidRPr="00E81D9C">
        <w:t xml:space="preserve"> the fundamental skills required across a range of roles including in clean energy</w:t>
      </w:r>
    </w:p>
    <w:p w14:paraId="04183D05" w14:textId="2E0F1912" w:rsidR="0018694C" w:rsidRPr="00E81D9C" w:rsidRDefault="004C4377" w:rsidP="00B7001D">
      <w:pPr>
        <w:pStyle w:val="Bodycopy"/>
      </w:pPr>
      <w:r w:rsidRPr="004C4377">
        <w:t xml:space="preserve">More broadly, there is strong alignment between high enrolment qualifications and occupations rated in shortage on the 2023 Skills Priority List (see </w:t>
      </w:r>
      <w:hyperlink w:anchor="Table_1_3" w:history="1">
        <w:r w:rsidRPr="009014D1">
          <w:rPr>
            <w:rStyle w:val="Hyperlink"/>
          </w:rPr>
          <w:t>Table 1.3</w:t>
        </w:r>
      </w:hyperlink>
      <w:r w:rsidRPr="004C4377">
        <w:t>). This is unsurprising as according to projections produced by Victoria University for JSA, around 44% of new jobs expected to be created over the next 10 years have VET as the primary training pathway</w:t>
      </w:r>
      <w:r w:rsidR="00595226" w:rsidRPr="00E81D9C">
        <w:t>.</w:t>
      </w:r>
      <w:r w:rsidR="00077A99">
        <w:rPr>
          <w:rStyle w:val="EndnoteReference"/>
        </w:rPr>
        <w:endnoteReference w:id="13"/>
      </w:r>
      <w:r>
        <w:t xml:space="preserve"> </w:t>
      </w:r>
      <w:r w:rsidRPr="004C4377">
        <w:t xml:space="preserve">The National Skills Agreement (NSA) and fee-free TAFE initiatives are likely to further increase demand for enrolments in the </w:t>
      </w:r>
      <w:r w:rsidR="0035735F" w:rsidRPr="004C4377">
        <w:t>high-volume</w:t>
      </w:r>
      <w:r w:rsidRPr="004C4377">
        <w:t xml:space="preserve"> qualifications aligned with strong current and future demand.</w:t>
      </w:r>
    </w:p>
    <w:p w14:paraId="5ECCF8AE" w14:textId="03A36429" w:rsidR="00595226" w:rsidRPr="00E81D9C" w:rsidRDefault="00595226" w:rsidP="00B7001D">
      <w:pPr>
        <w:pStyle w:val="Bodycopy"/>
      </w:pPr>
      <w:r w:rsidRPr="00E81D9C">
        <w:t xml:space="preserve">Government funded training also represents a sizeable portion of the VET market and impacts demand for VET jobs and how they look. On a subject enrolment basis, government funded VET subjects constituted 41% of subject enrolments in 2022. For a summary of the top 10 qualifications by enrolments where most of the VET workforce is engaged in teaching see </w:t>
      </w:r>
      <w:hyperlink w:anchor="Table_1_3" w:history="1">
        <w:r w:rsidR="00EF03C3" w:rsidRPr="009014D1">
          <w:rPr>
            <w:rStyle w:val="Hyperlink"/>
          </w:rPr>
          <w:t>Table 1.3</w:t>
        </w:r>
      </w:hyperlink>
      <w:r w:rsidRPr="00E81D9C">
        <w:t>.</w:t>
      </w:r>
    </w:p>
    <w:p w14:paraId="472EB5ED" w14:textId="454B5B6F" w:rsidR="00C92EEF" w:rsidRDefault="00C92EEF" w:rsidP="00D74B79">
      <w:pPr>
        <w:pStyle w:val="Caption"/>
        <w:keepNext/>
      </w:pPr>
      <w:bookmarkStart w:id="57" w:name="Table_1_3"/>
      <w:r>
        <w:lastRenderedPageBreak/>
        <w:t xml:space="preserve">Table </w:t>
      </w:r>
      <w:r w:rsidR="004B692A">
        <w:fldChar w:fldCharType="begin"/>
      </w:r>
      <w:r w:rsidR="004B692A">
        <w:instrText xml:space="preserve"> STYLEREF 1 \s </w:instrText>
      </w:r>
      <w:r w:rsidR="004B692A">
        <w:fldChar w:fldCharType="separate"/>
      </w:r>
      <w:r w:rsidR="00E7704E">
        <w:rPr>
          <w:noProof/>
        </w:rPr>
        <w:t>1</w:t>
      </w:r>
      <w:r w:rsidR="004B692A">
        <w:fldChar w:fldCharType="end"/>
      </w:r>
      <w:r w:rsidR="004B692A">
        <w:t>.</w:t>
      </w:r>
      <w:r w:rsidR="004B692A">
        <w:fldChar w:fldCharType="begin"/>
      </w:r>
      <w:r w:rsidR="004B692A">
        <w:instrText xml:space="preserve"> SEQ Table \* ARABIC \s 1 </w:instrText>
      </w:r>
      <w:r w:rsidR="004B692A">
        <w:fldChar w:fldCharType="separate"/>
      </w:r>
      <w:r w:rsidR="00E7704E">
        <w:rPr>
          <w:noProof/>
        </w:rPr>
        <w:t>3</w:t>
      </w:r>
      <w:r w:rsidR="004B692A">
        <w:fldChar w:fldCharType="end"/>
      </w:r>
      <w:r>
        <w:t xml:space="preserve"> Top 10 qualifications by number of enrolments, 2022</w:t>
      </w:r>
    </w:p>
    <w:tbl>
      <w:tblPr>
        <w:tblStyle w:val="JSATable1"/>
        <w:tblW w:w="8901" w:type="dxa"/>
        <w:tblLook w:val="04A0" w:firstRow="1" w:lastRow="0" w:firstColumn="1" w:lastColumn="0" w:noHBand="0" w:noVBand="1"/>
        <w:tblDescription w:val="Top 10 qualifications by number of enrolments, 2022"/>
      </w:tblPr>
      <w:tblGrid>
        <w:gridCol w:w="3544"/>
        <w:gridCol w:w="1418"/>
        <w:gridCol w:w="1984"/>
        <w:gridCol w:w="1955"/>
      </w:tblGrid>
      <w:tr w:rsidR="00504FF7" w:rsidRPr="00940CF6" w14:paraId="478D14BA" w14:textId="77777777" w:rsidTr="006F4154">
        <w:trPr>
          <w:cnfStyle w:val="100000000000" w:firstRow="1" w:lastRow="0" w:firstColumn="0" w:lastColumn="0" w:oddVBand="0" w:evenVBand="0" w:oddHBand="0" w:evenHBand="0" w:firstRowFirstColumn="0" w:firstRowLastColumn="0" w:lastRowFirstColumn="0" w:lastRowLastColumn="0"/>
          <w:trHeight w:val="1113"/>
          <w:tblHeader/>
        </w:trPr>
        <w:tc>
          <w:tcPr>
            <w:cnfStyle w:val="001000000100" w:firstRow="0" w:lastRow="0" w:firstColumn="1" w:lastColumn="0" w:oddVBand="0" w:evenVBand="0" w:oddHBand="0" w:evenHBand="0" w:firstRowFirstColumn="1" w:firstRowLastColumn="0" w:lastRowFirstColumn="0" w:lastRowLastColumn="0"/>
            <w:tcW w:w="3544" w:type="dxa"/>
            <w:hideMark/>
          </w:tcPr>
          <w:bookmarkEnd w:id="57"/>
          <w:p w14:paraId="64800C04" w14:textId="77777777" w:rsidR="00E94959" w:rsidRPr="00940CF6" w:rsidRDefault="00E94959" w:rsidP="00940CF6">
            <w:pPr>
              <w:pStyle w:val="Tableheader"/>
              <w:jc w:val="left"/>
              <w:rPr>
                <w:sz w:val="20"/>
                <w:szCs w:val="20"/>
                <w:lang w:eastAsia="en-AU"/>
              </w:rPr>
            </w:pPr>
            <w:r w:rsidRPr="00940CF6">
              <w:rPr>
                <w:sz w:val="20"/>
                <w:szCs w:val="20"/>
                <w:lang w:eastAsia="en-AU"/>
              </w:rPr>
              <w:t>Program Name </w:t>
            </w:r>
          </w:p>
        </w:tc>
        <w:tc>
          <w:tcPr>
            <w:tcW w:w="1418" w:type="dxa"/>
            <w:hideMark/>
          </w:tcPr>
          <w:p w14:paraId="1F59D105" w14:textId="7A9C0939" w:rsidR="00E94959" w:rsidRPr="00940CF6" w:rsidRDefault="00E94959" w:rsidP="0018694C">
            <w:pPr>
              <w:pStyle w:val="Tableheader"/>
              <w:cnfStyle w:val="100000000000" w:firstRow="1" w:lastRow="0" w:firstColumn="0" w:lastColumn="0" w:oddVBand="0" w:evenVBand="0" w:oddHBand="0" w:evenHBand="0" w:firstRowFirstColumn="0" w:firstRowLastColumn="0" w:lastRowFirstColumn="0" w:lastRowLastColumn="0"/>
              <w:rPr>
                <w:szCs w:val="20"/>
                <w:lang w:eastAsia="en-AU"/>
              </w:rPr>
            </w:pPr>
            <w:r w:rsidRPr="00940CF6">
              <w:rPr>
                <w:szCs w:val="20"/>
                <w:lang w:eastAsia="en-AU"/>
              </w:rPr>
              <w:t>2022</w:t>
            </w:r>
          </w:p>
        </w:tc>
        <w:tc>
          <w:tcPr>
            <w:tcW w:w="1984" w:type="dxa"/>
            <w:hideMark/>
          </w:tcPr>
          <w:p w14:paraId="53B45EF1" w14:textId="6423C9E7" w:rsidR="00E94959" w:rsidRPr="00940CF6" w:rsidRDefault="00FF6B97" w:rsidP="0018694C">
            <w:pPr>
              <w:pStyle w:val="Tableheader"/>
              <w:cnfStyle w:val="100000000000" w:firstRow="1" w:lastRow="0" w:firstColumn="0" w:lastColumn="0" w:oddVBand="0" w:evenVBand="0" w:oddHBand="0" w:evenHBand="0" w:firstRowFirstColumn="0" w:firstRowLastColumn="0" w:lastRowFirstColumn="0" w:lastRowLastColumn="0"/>
              <w:rPr>
                <w:szCs w:val="20"/>
                <w:lang w:eastAsia="en-AU"/>
              </w:rPr>
            </w:pPr>
            <w:r w:rsidRPr="00940CF6">
              <w:rPr>
                <w:szCs w:val="20"/>
                <w:lang w:eastAsia="en-AU"/>
              </w:rPr>
              <w:t xml:space="preserve">Related </w:t>
            </w:r>
            <w:r w:rsidR="0018694C" w:rsidRPr="00940CF6">
              <w:rPr>
                <w:szCs w:val="20"/>
                <w:lang w:eastAsia="en-AU"/>
              </w:rPr>
              <w:br/>
            </w:r>
            <w:r w:rsidRPr="00940CF6">
              <w:rPr>
                <w:szCs w:val="20"/>
                <w:lang w:eastAsia="en-AU"/>
              </w:rPr>
              <w:t>Occupation</w:t>
            </w:r>
            <w:r w:rsidR="002227D8" w:rsidRPr="00940CF6">
              <w:rPr>
                <w:szCs w:val="20"/>
                <w:lang w:eastAsia="en-AU"/>
              </w:rPr>
              <w:t xml:space="preserve"> </w:t>
            </w:r>
            <w:r w:rsidR="00940CF6" w:rsidRPr="00940CF6">
              <w:rPr>
                <w:szCs w:val="20"/>
                <w:lang w:eastAsia="en-AU"/>
              </w:rPr>
              <w:br/>
            </w:r>
            <w:r w:rsidR="002227D8" w:rsidRPr="00940CF6">
              <w:rPr>
                <w:szCs w:val="20"/>
                <w:lang w:eastAsia="en-AU"/>
              </w:rPr>
              <w:t>(</w:t>
            </w:r>
            <w:r w:rsidR="00E94959" w:rsidRPr="00940CF6">
              <w:rPr>
                <w:szCs w:val="20"/>
                <w:lang w:eastAsia="en-AU"/>
              </w:rPr>
              <w:t>ANZSCO</w:t>
            </w:r>
            <w:r w:rsidR="002227D8" w:rsidRPr="00940CF6">
              <w:rPr>
                <w:szCs w:val="20"/>
                <w:lang w:eastAsia="en-AU"/>
              </w:rPr>
              <w:t>)</w:t>
            </w:r>
          </w:p>
        </w:tc>
        <w:tc>
          <w:tcPr>
            <w:tcW w:w="1955" w:type="dxa"/>
            <w:hideMark/>
          </w:tcPr>
          <w:p w14:paraId="49AB313F" w14:textId="541C9E94" w:rsidR="00E94959" w:rsidRPr="00940CF6" w:rsidRDefault="00E94959" w:rsidP="0018694C">
            <w:pPr>
              <w:pStyle w:val="Tableheader"/>
              <w:cnfStyle w:val="100000000000" w:firstRow="1" w:lastRow="0" w:firstColumn="0" w:lastColumn="0" w:oddVBand="0" w:evenVBand="0" w:oddHBand="0" w:evenHBand="0" w:firstRowFirstColumn="0" w:firstRowLastColumn="0" w:lastRowFirstColumn="0" w:lastRowLastColumn="0"/>
              <w:rPr>
                <w:szCs w:val="20"/>
                <w:lang w:eastAsia="en-AU"/>
              </w:rPr>
            </w:pPr>
            <w:r w:rsidRPr="00940CF6">
              <w:rPr>
                <w:szCs w:val="20"/>
                <w:lang w:eastAsia="en-AU"/>
              </w:rPr>
              <w:t>Skills Priority List 2023 – National Rating</w:t>
            </w:r>
          </w:p>
        </w:tc>
      </w:tr>
      <w:tr w:rsidR="00E94959" w:rsidRPr="00E94959" w14:paraId="42D90FF1" w14:textId="77777777" w:rsidTr="006F4154">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44" w:type="dxa"/>
            <w:vAlign w:val="center"/>
            <w:hideMark/>
          </w:tcPr>
          <w:p w14:paraId="0A61116B" w14:textId="77777777" w:rsidR="00E94959" w:rsidRPr="00E94959" w:rsidRDefault="00E94959" w:rsidP="00E81D9C">
            <w:pPr>
              <w:pStyle w:val="Tablebodycopy"/>
              <w:rPr>
                <w:b/>
                <w:bCs/>
                <w:lang w:eastAsia="en-AU"/>
              </w:rPr>
            </w:pPr>
            <w:r w:rsidRPr="00E94959">
              <w:rPr>
                <w:b/>
                <w:bCs/>
                <w:lang w:eastAsia="en-AU"/>
              </w:rPr>
              <w:t>Certificate III in Individual Support </w:t>
            </w:r>
          </w:p>
        </w:tc>
        <w:tc>
          <w:tcPr>
            <w:tcW w:w="1418" w:type="dxa"/>
            <w:vAlign w:val="center"/>
            <w:hideMark/>
          </w:tcPr>
          <w:p w14:paraId="48E5F449" w14:textId="68FC7578" w:rsidR="00E94959" w:rsidRPr="00E94959" w:rsidRDefault="00E94959" w:rsidP="00E81D9C">
            <w:pPr>
              <w:pStyle w:val="Tablebodycopy"/>
              <w:jc w:val="center"/>
              <w:cnfStyle w:val="000000100000" w:firstRow="0" w:lastRow="0" w:firstColumn="0" w:lastColumn="0" w:oddVBand="0" w:evenVBand="0" w:oddHBand="1" w:evenHBand="0" w:firstRowFirstColumn="0" w:firstRowLastColumn="0" w:lastRowFirstColumn="0" w:lastRowLastColumn="0"/>
              <w:rPr>
                <w:b/>
                <w:bCs/>
                <w:lang w:eastAsia="en-AU"/>
              </w:rPr>
            </w:pPr>
            <w:r w:rsidRPr="00E94959">
              <w:rPr>
                <w:b/>
                <w:bCs/>
                <w:lang w:eastAsia="en-AU"/>
              </w:rPr>
              <w:t>86,425</w:t>
            </w:r>
          </w:p>
        </w:tc>
        <w:tc>
          <w:tcPr>
            <w:tcW w:w="1984" w:type="dxa"/>
            <w:vAlign w:val="center"/>
            <w:hideMark/>
          </w:tcPr>
          <w:p w14:paraId="38D97A20" w14:textId="31B6D842" w:rsidR="00E94959" w:rsidRPr="00E94959" w:rsidRDefault="00E94959" w:rsidP="00E81D9C">
            <w:pPr>
              <w:pStyle w:val="Tablebodycopy"/>
              <w:jc w:val="center"/>
              <w:cnfStyle w:val="000000100000" w:firstRow="0" w:lastRow="0" w:firstColumn="0" w:lastColumn="0" w:oddVBand="0" w:evenVBand="0" w:oddHBand="1" w:evenHBand="0" w:firstRowFirstColumn="0" w:firstRowLastColumn="0" w:lastRowFirstColumn="0" w:lastRowLastColumn="0"/>
              <w:rPr>
                <w:b/>
                <w:bCs/>
                <w:lang w:eastAsia="en-AU"/>
              </w:rPr>
            </w:pPr>
            <w:r w:rsidRPr="00E94959">
              <w:rPr>
                <w:b/>
                <w:bCs/>
                <w:lang w:eastAsia="en-AU"/>
              </w:rPr>
              <w:t xml:space="preserve">Aged or Disabled </w:t>
            </w:r>
            <w:r w:rsidR="006F4154">
              <w:rPr>
                <w:b/>
                <w:bCs/>
                <w:lang w:eastAsia="en-AU"/>
              </w:rPr>
              <w:br/>
            </w:r>
            <w:r w:rsidRPr="00E94959">
              <w:rPr>
                <w:b/>
                <w:bCs/>
                <w:lang w:eastAsia="en-AU"/>
              </w:rPr>
              <w:t>Carer</w:t>
            </w:r>
          </w:p>
        </w:tc>
        <w:tc>
          <w:tcPr>
            <w:tcW w:w="1955" w:type="dxa"/>
            <w:vAlign w:val="center"/>
            <w:hideMark/>
          </w:tcPr>
          <w:p w14:paraId="0A2EDCCB" w14:textId="29787918" w:rsidR="00E94959" w:rsidRPr="00E94959" w:rsidRDefault="00E94959" w:rsidP="00E81D9C">
            <w:pPr>
              <w:pStyle w:val="Tablebodycopy"/>
              <w:jc w:val="center"/>
              <w:cnfStyle w:val="000000100000" w:firstRow="0" w:lastRow="0" w:firstColumn="0" w:lastColumn="0" w:oddVBand="0" w:evenVBand="0" w:oddHBand="1" w:evenHBand="0" w:firstRowFirstColumn="0" w:firstRowLastColumn="0" w:lastRowFirstColumn="0" w:lastRowLastColumn="0"/>
              <w:rPr>
                <w:b/>
                <w:bCs/>
                <w:lang w:eastAsia="en-AU"/>
              </w:rPr>
            </w:pPr>
            <w:r w:rsidRPr="00E94959">
              <w:rPr>
                <w:b/>
                <w:bCs/>
                <w:lang w:eastAsia="en-AU"/>
              </w:rPr>
              <w:t>Shortage</w:t>
            </w:r>
          </w:p>
        </w:tc>
      </w:tr>
      <w:tr w:rsidR="00E94959" w:rsidRPr="00E94959" w14:paraId="0F71AC08" w14:textId="77777777" w:rsidTr="006F4154">
        <w:trPr>
          <w:cnfStyle w:val="000000010000" w:firstRow="0" w:lastRow="0" w:firstColumn="0" w:lastColumn="0" w:oddVBand="0" w:evenVBand="0" w:oddHBand="0" w:evenHBand="1"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3544" w:type="dxa"/>
            <w:vAlign w:val="center"/>
            <w:hideMark/>
          </w:tcPr>
          <w:p w14:paraId="1C45733C" w14:textId="77777777" w:rsidR="00E94959" w:rsidRPr="00E94959" w:rsidRDefault="00E94959" w:rsidP="00E81D9C">
            <w:pPr>
              <w:pStyle w:val="Tablebodycopy"/>
              <w:rPr>
                <w:b/>
                <w:bCs/>
                <w:lang w:eastAsia="en-AU"/>
              </w:rPr>
            </w:pPr>
            <w:r w:rsidRPr="00E94959">
              <w:rPr>
                <w:b/>
                <w:bCs/>
                <w:lang w:eastAsia="en-AU"/>
              </w:rPr>
              <w:t>Certificate III in Early Childhood Education and Care </w:t>
            </w:r>
          </w:p>
        </w:tc>
        <w:tc>
          <w:tcPr>
            <w:tcW w:w="1418" w:type="dxa"/>
            <w:vAlign w:val="center"/>
            <w:hideMark/>
          </w:tcPr>
          <w:p w14:paraId="2F6280BE" w14:textId="0DCA5CEC" w:rsidR="00E94959" w:rsidRPr="00E94959" w:rsidRDefault="00E94959" w:rsidP="00E81D9C">
            <w:pPr>
              <w:pStyle w:val="Tablebodycopy"/>
              <w:jc w:val="center"/>
              <w:cnfStyle w:val="000000010000" w:firstRow="0" w:lastRow="0" w:firstColumn="0" w:lastColumn="0" w:oddVBand="0" w:evenVBand="0" w:oddHBand="0" w:evenHBand="1" w:firstRowFirstColumn="0" w:firstRowLastColumn="0" w:lastRowFirstColumn="0" w:lastRowLastColumn="0"/>
              <w:rPr>
                <w:b/>
                <w:bCs/>
                <w:lang w:eastAsia="en-AU"/>
              </w:rPr>
            </w:pPr>
            <w:r w:rsidRPr="00E94959">
              <w:rPr>
                <w:b/>
                <w:bCs/>
                <w:lang w:eastAsia="en-AU"/>
              </w:rPr>
              <w:t>73,860</w:t>
            </w:r>
          </w:p>
        </w:tc>
        <w:tc>
          <w:tcPr>
            <w:tcW w:w="1984" w:type="dxa"/>
            <w:vAlign w:val="center"/>
            <w:hideMark/>
          </w:tcPr>
          <w:p w14:paraId="70F1B87C" w14:textId="196AB273" w:rsidR="00E94959" w:rsidRPr="00E94959" w:rsidRDefault="00E94959" w:rsidP="00E81D9C">
            <w:pPr>
              <w:pStyle w:val="Tablebodycopy"/>
              <w:jc w:val="center"/>
              <w:cnfStyle w:val="000000010000" w:firstRow="0" w:lastRow="0" w:firstColumn="0" w:lastColumn="0" w:oddVBand="0" w:evenVBand="0" w:oddHBand="0" w:evenHBand="1" w:firstRowFirstColumn="0" w:firstRowLastColumn="0" w:lastRowFirstColumn="0" w:lastRowLastColumn="0"/>
              <w:rPr>
                <w:b/>
                <w:bCs/>
              </w:rPr>
            </w:pPr>
            <w:r w:rsidRPr="00E94959">
              <w:rPr>
                <w:b/>
                <w:bCs/>
              </w:rPr>
              <w:t>Child Care Worker</w:t>
            </w:r>
            <w:r w:rsidRPr="00E94959">
              <w:rPr>
                <w:rStyle w:val="FootnoteReference"/>
                <w:b/>
                <w:bCs/>
              </w:rPr>
              <w:footnoteReference w:id="2"/>
            </w:r>
          </w:p>
        </w:tc>
        <w:tc>
          <w:tcPr>
            <w:tcW w:w="1955" w:type="dxa"/>
            <w:vAlign w:val="center"/>
            <w:hideMark/>
          </w:tcPr>
          <w:p w14:paraId="043F677C" w14:textId="275B7CFD" w:rsidR="00E94959" w:rsidRPr="00E94959" w:rsidRDefault="00E94959" w:rsidP="00E81D9C">
            <w:pPr>
              <w:pStyle w:val="Tablebodycopy"/>
              <w:jc w:val="center"/>
              <w:cnfStyle w:val="000000010000" w:firstRow="0" w:lastRow="0" w:firstColumn="0" w:lastColumn="0" w:oddVBand="0" w:evenVBand="0" w:oddHBand="0" w:evenHBand="1" w:firstRowFirstColumn="0" w:firstRowLastColumn="0" w:lastRowFirstColumn="0" w:lastRowLastColumn="0"/>
              <w:rPr>
                <w:b/>
                <w:bCs/>
                <w:lang w:eastAsia="en-AU"/>
              </w:rPr>
            </w:pPr>
            <w:r w:rsidRPr="00E94959">
              <w:rPr>
                <w:b/>
                <w:bCs/>
                <w:lang w:eastAsia="en-AU"/>
              </w:rPr>
              <w:t>Shortage</w:t>
            </w:r>
          </w:p>
        </w:tc>
      </w:tr>
      <w:tr w:rsidR="00E94959" w:rsidRPr="00E94959" w14:paraId="6C976D7D" w14:textId="77777777" w:rsidTr="006F4154">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3544" w:type="dxa"/>
            <w:vAlign w:val="center"/>
            <w:hideMark/>
          </w:tcPr>
          <w:p w14:paraId="16E17A49" w14:textId="77777777" w:rsidR="00E94959" w:rsidRPr="00E94959" w:rsidRDefault="00E94959" w:rsidP="00E81D9C">
            <w:pPr>
              <w:pStyle w:val="Tablebodycopy"/>
              <w:rPr>
                <w:lang w:eastAsia="en-AU"/>
              </w:rPr>
            </w:pPr>
            <w:r w:rsidRPr="00E94959">
              <w:rPr>
                <w:lang w:eastAsia="en-AU"/>
              </w:rPr>
              <w:t>Certificate III in Business </w:t>
            </w:r>
          </w:p>
        </w:tc>
        <w:tc>
          <w:tcPr>
            <w:tcW w:w="1418" w:type="dxa"/>
            <w:vAlign w:val="center"/>
            <w:hideMark/>
          </w:tcPr>
          <w:p w14:paraId="631D1204" w14:textId="7BD6B2AC" w:rsidR="00E94959" w:rsidRPr="00E94959" w:rsidRDefault="00E94959" w:rsidP="00E81D9C">
            <w:pPr>
              <w:pStyle w:val="Tablebodycopy"/>
              <w:jc w:val="center"/>
              <w:cnfStyle w:val="000000100000" w:firstRow="0" w:lastRow="0" w:firstColumn="0" w:lastColumn="0" w:oddVBand="0" w:evenVBand="0" w:oddHBand="1" w:evenHBand="0" w:firstRowFirstColumn="0" w:firstRowLastColumn="0" w:lastRowFirstColumn="0" w:lastRowLastColumn="0"/>
              <w:rPr>
                <w:lang w:eastAsia="en-AU"/>
              </w:rPr>
            </w:pPr>
            <w:r w:rsidRPr="00E94959">
              <w:rPr>
                <w:lang w:eastAsia="en-AU"/>
              </w:rPr>
              <w:t>71,670</w:t>
            </w:r>
          </w:p>
        </w:tc>
        <w:tc>
          <w:tcPr>
            <w:tcW w:w="1984" w:type="dxa"/>
            <w:vAlign w:val="center"/>
            <w:hideMark/>
          </w:tcPr>
          <w:p w14:paraId="6D4918F0" w14:textId="76917C99" w:rsidR="00E94959" w:rsidRPr="00E94959" w:rsidRDefault="00E94959" w:rsidP="00E81D9C">
            <w:pPr>
              <w:pStyle w:val="Tablebodycopy"/>
              <w:jc w:val="center"/>
              <w:cnfStyle w:val="000000100000" w:firstRow="0" w:lastRow="0" w:firstColumn="0" w:lastColumn="0" w:oddVBand="0" w:evenVBand="0" w:oddHBand="1" w:evenHBand="0" w:firstRowFirstColumn="0" w:firstRowLastColumn="0" w:lastRowFirstColumn="0" w:lastRowLastColumn="0"/>
              <w:rPr>
                <w:lang w:eastAsia="en-AU"/>
              </w:rPr>
            </w:pPr>
            <w:r w:rsidRPr="00E94959">
              <w:rPr>
                <w:lang w:eastAsia="en-AU"/>
              </w:rPr>
              <w:t>General Clerk</w:t>
            </w:r>
          </w:p>
        </w:tc>
        <w:tc>
          <w:tcPr>
            <w:tcW w:w="1955" w:type="dxa"/>
            <w:vAlign w:val="center"/>
            <w:hideMark/>
          </w:tcPr>
          <w:p w14:paraId="284EA833" w14:textId="4665ED32" w:rsidR="00E94959" w:rsidRPr="00E94959" w:rsidRDefault="00E94959" w:rsidP="00E81D9C">
            <w:pPr>
              <w:pStyle w:val="Tablebodycopy"/>
              <w:jc w:val="center"/>
              <w:cnfStyle w:val="000000100000" w:firstRow="0" w:lastRow="0" w:firstColumn="0" w:lastColumn="0" w:oddVBand="0" w:evenVBand="0" w:oddHBand="1" w:evenHBand="0" w:firstRowFirstColumn="0" w:firstRowLastColumn="0" w:lastRowFirstColumn="0" w:lastRowLastColumn="0"/>
              <w:rPr>
                <w:lang w:eastAsia="en-AU"/>
              </w:rPr>
            </w:pPr>
            <w:r w:rsidRPr="00E94959">
              <w:rPr>
                <w:lang w:eastAsia="en-AU"/>
              </w:rPr>
              <w:t>No Shortage</w:t>
            </w:r>
          </w:p>
        </w:tc>
      </w:tr>
      <w:tr w:rsidR="00E94959" w:rsidRPr="00E94959" w14:paraId="002E3D80" w14:textId="77777777" w:rsidTr="006F4154">
        <w:trPr>
          <w:cnfStyle w:val="000000010000" w:firstRow="0" w:lastRow="0" w:firstColumn="0" w:lastColumn="0" w:oddVBand="0" w:evenVBand="0" w:oddHBand="0" w:evenHBand="1"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3544" w:type="dxa"/>
            <w:vAlign w:val="center"/>
            <w:hideMark/>
          </w:tcPr>
          <w:p w14:paraId="085040C3" w14:textId="77777777" w:rsidR="00E94959" w:rsidRPr="00054E14" w:rsidRDefault="00E94959" w:rsidP="00E81D9C">
            <w:pPr>
              <w:pStyle w:val="Tablebodycopy"/>
              <w:rPr>
                <w:b/>
                <w:bCs/>
                <w:lang w:eastAsia="en-AU"/>
              </w:rPr>
            </w:pPr>
            <w:r w:rsidRPr="00054E14">
              <w:rPr>
                <w:b/>
                <w:bCs/>
                <w:lang w:eastAsia="en-AU"/>
              </w:rPr>
              <w:t>Certificate III in Carpentry </w:t>
            </w:r>
          </w:p>
        </w:tc>
        <w:tc>
          <w:tcPr>
            <w:tcW w:w="1418" w:type="dxa"/>
            <w:vAlign w:val="center"/>
            <w:hideMark/>
          </w:tcPr>
          <w:p w14:paraId="09D11F22" w14:textId="4F497B7E" w:rsidR="00E94959" w:rsidRPr="00054E14" w:rsidRDefault="00E94959" w:rsidP="00E81D9C">
            <w:pPr>
              <w:pStyle w:val="Tablebodycopy"/>
              <w:jc w:val="center"/>
              <w:cnfStyle w:val="000000010000" w:firstRow="0" w:lastRow="0" w:firstColumn="0" w:lastColumn="0" w:oddVBand="0" w:evenVBand="0" w:oddHBand="0" w:evenHBand="1" w:firstRowFirstColumn="0" w:firstRowLastColumn="0" w:lastRowFirstColumn="0" w:lastRowLastColumn="0"/>
              <w:rPr>
                <w:b/>
                <w:bCs/>
                <w:lang w:eastAsia="en-AU"/>
              </w:rPr>
            </w:pPr>
            <w:r w:rsidRPr="00054E14">
              <w:rPr>
                <w:b/>
                <w:bCs/>
                <w:lang w:eastAsia="en-AU"/>
              </w:rPr>
              <w:t>55,165</w:t>
            </w:r>
          </w:p>
        </w:tc>
        <w:tc>
          <w:tcPr>
            <w:tcW w:w="1984" w:type="dxa"/>
            <w:vAlign w:val="center"/>
            <w:hideMark/>
          </w:tcPr>
          <w:p w14:paraId="36A407DC" w14:textId="511372EE" w:rsidR="00E94959" w:rsidRPr="00054E14" w:rsidRDefault="00E94959" w:rsidP="00E81D9C">
            <w:pPr>
              <w:pStyle w:val="Tablebodycopy"/>
              <w:jc w:val="center"/>
              <w:cnfStyle w:val="000000010000" w:firstRow="0" w:lastRow="0" w:firstColumn="0" w:lastColumn="0" w:oddVBand="0" w:evenVBand="0" w:oddHBand="0" w:evenHBand="1" w:firstRowFirstColumn="0" w:firstRowLastColumn="0" w:lastRowFirstColumn="0" w:lastRowLastColumn="0"/>
              <w:rPr>
                <w:b/>
                <w:bCs/>
                <w:lang w:eastAsia="en-AU"/>
              </w:rPr>
            </w:pPr>
            <w:r w:rsidRPr="00054E14">
              <w:rPr>
                <w:b/>
                <w:bCs/>
                <w:lang w:eastAsia="en-AU"/>
              </w:rPr>
              <w:t>Carpenter</w:t>
            </w:r>
          </w:p>
        </w:tc>
        <w:tc>
          <w:tcPr>
            <w:tcW w:w="1955" w:type="dxa"/>
            <w:vAlign w:val="center"/>
            <w:hideMark/>
          </w:tcPr>
          <w:p w14:paraId="4DCE58B7" w14:textId="722CEC59" w:rsidR="00E94959" w:rsidRPr="00054E14" w:rsidRDefault="00E94959" w:rsidP="00E81D9C">
            <w:pPr>
              <w:pStyle w:val="Tablebodycopy"/>
              <w:jc w:val="center"/>
              <w:cnfStyle w:val="000000010000" w:firstRow="0" w:lastRow="0" w:firstColumn="0" w:lastColumn="0" w:oddVBand="0" w:evenVBand="0" w:oddHBand="0" w:evenHBand="1" w:firstRowFirstColumn="0" w:firstRowLastColumn="0" w:lastRowFirstColumn="0" w:lastRowLastColumn="0"/>
              <w:rPr>
                <w:b/>
                <w:bCs/>
                <w:lang w:eastAsia="en-AU"/>
              </w:rPr>
            </w:pPr>
            <w:r w:rsidRPr="00054E14">
              <w:rPr>
                <w:b/>
                <w:bCs/>
                <w:lang w:eastAsia="en-AU"/>
              </w:rPr>
              <w:t>Shortage</w:t>
            </w:r>
          </w:p>
        </w:tc>
      </w:tr>
      <w:tr w:rsidR="00E94959" w:rsidRPr="00E94959" w14:paraId="364F68A4" w14:textId="77777777" w:rsidTr="006F415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544" w:type="dxa"/>
            <w:vAlign w:val="center"/>
            <w:hideMark/>
          </w:tcPr>
          <w:p w14:paraId="08FA02E3" w14:textId="77777777" w:rsidR="00E94959" w:rsidRPr="00054E14" w:rsidRDefault="00E94959" w:rsidP="00E81D9C">
            <w:pPr>
              <w:pStyle w:val="Tablebodycopy"/>
              <w:rPr>
                <w:b/>
                <w:bCs/>
                <w:lang w:eastAsia="en-AU"/>
              </w:rPr>
            </w:pPr>
            <w:r w:rsidRPr="00054E14">
              <w:rPr>
                <w:b/>
                <w:bCs/>
                <w:lang w:eastAsia="en-AU"/>
              </w:rPr>
              <w:t>Certificate III in Electrotechnology Electrician </w:t>
            </w:r>
          </w:p>
        </w:tc>
        <w:tc>
          <w:tcPr>
            <w:tcW w:w="1418" w:type="dxa"/>
            <w:vAlign w:val="center"/>
            <w:hideMark/>
          </w:tcPr>
          <w:p w14:paraId="7A4D7875" w14:textId="40741502" w:rsidR="00E94959" w:rsidRPr="00054E14" w:rsidRDefault="00E94959" w:rsidP="00E81D9C">
            <w:pPr>
              <w:pStyle w:val="Tablebodycopy"/>
              <w:jc w:val="center"/>
              <w:cnfStyle w:val="000000100000" w:firstRow="0" w:lastRow="0" w:firstColumn="0" w:lastColumn="0" w:oddVBand="0" w:evenVBand="0" w:oddHBand="1" w:evenHBand="0" w:firstRowFirstColumn="0" w:firstRowLastColumn="0" w:lastRowFirstColumn="0" w:lastRowLastColumn="0"/>
              <w:rPr>
                <w:b/>
                <w:bCs/>
                <w:lang w:eastAsia="en-AU"/>
              </w:rPr>
            </w:pPr>
            <w:r w:rsidRPr="00054E14">
              <w:rPr>
                <w:b/>
                <w:bCs/>
                <w:lang w:eastAsia="en-AU"/>
              </w:rPr>
              <w:t>49,265</w:t>
            </w:r>
          </w:p>
        </w:tc>
        <w:tc>
          <w:tcPr>
            <w:tcW w:w="1984" w:type="dxa"/>
            <w:vAlign w:val="center"/>
            <w:hideMark/>
          </w:tcPr>
          <w:p w14:paraId="09131F5A" w14:textId="4056BF2D" w:rsidR="00E94959" w:rsidRPr="00054E14" w:rsidRDefault="00E94959" w:rsidP="00E81D9C">
            <w:pPr>
              <w:pStyle w:val="Tablebodycopy"/>
              <w:jc w:val="center"/>
              <w:cnfStyle w:val="000000100000" w:firstRow="0" w:lastRow="0" w:firstColumn="0" w:lastColumn="0" w:oddVBand="0" w:evenVBand="0" w:oddHBand="1" w:evenHBand="0" w:firstRowFirstColumn="0" w:firstRowLastColumn="0" w:lastRowFirstColumn="0" w:lastRowLastColumn="0"/>
              <w:rPr>
                <w:b/>
                <w:bCs/>
                <w:lang w:eastAsia="en-AU"/>
              </w:rPr>
            </w:pPr>
            <w:r w:rsidRPr="00054E14">
              <w:rPr>
                <w:b/>
                <w:bCs/>
                <w:lang w:eastAsia="en-AU"/>
              </w:rPr>
              <w:t>Electrician</w:t>
            </w:r>
          </w:p>
        </w:tc>
        <w:tc>
          <w:tcPr>
            <w:tcW w:w="1955" w:type="dxa"/>
            <w:vAlign w:val="center"/>
            <w:hideMark/>
          </w:tcPr>
          <w:p w14:paraId="3DA677D1" w14:textId="5AF0E5D5" w:rsidR="00E94959" w:rsidRPr="00054E14" w:rsidRDefault="00E94959" w:rsidP="00E81D9C">
            <w:pPr>
              <w:pStyle w:val="Tablebodycopy"/>
              <w:jc w:val="center"/>
              <w:cnfStyle w:val="000000100000" w:firstRow="0" w:lastRow="0" w:firstColumn="0" w:lastColumn="0" w:oddVBand="0" w:evenVBand="0" w:oddHBand="1" w:evenHBand="0" w:firstRowFirstColumn="0" w:firstRowLastColumn="0" w:lastRowFirstColumn="0" w:lastRowLastColumn="0"/>
              <w:rPr>
                <w:b/>
                <w:bCs/>
                <w:lang w:eastAsia="en-AU"/>
              </w:rPr>
            </w:pPr>
            <w:r w:rsidRPr="00054E14">
              <w:rPr>
                <w:b/>
                <w:bCs/>
                <w:lang w:eastAsia="en-AU"/>
              </w:rPr>
              <w:t>Shortage</w:t>
            </w:r>
          </w:p>
        </w:tc>
      </w:tr>
      <w:tr w:rsidR="00E94959" w:rsidRPr="00E94959" w14:paraId="238A911F" w14:textId="77777777" w:rsidTr="006F4154">
        <w:trPr>
          <w:cnfStyle w:val="000000010000" w:firstRow="0" w:lastRow="0" w:firstColumn="0" w:lastColumn="0" w:oddVBand="0" w:evenVBand="0" w:oddHBand="0" w:evenHBand="1"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3544" w:type="dxa"/>
            <w:vAlign w:val="center"/>
            <w:hideMark/>
          </w:tcPr>
          <w:p w14:paraId="1F6E1BA5" w14:textId="77777777" w:rsidR="00E94959" w:rsidRPr="00054E14" w:rsidRDefault="00E94959" w:rsidP="00E81D9C">
            <w:pPr>
              <w:pStyle w:val="Tablebodycopy"/>
              <w:rPr>
                <w:b/>
                <w:bCs/>
                <w:lang w:eastAsia="en-AU"/>
              </w:rPr>
            </w:pPr>
            <w:r w:rsidRPr="00054E14">
              <w:rPr>
                <w:b/>
                <w:bCs/>
                <w:lang w:eastAsia="en-AU"/>
              </w:rPr>
              <w:t>Certificate IV in Training and Assessment </w:t>
            </w:r>
          </w:p>
        </w:tc>
        <w:tc>
          <w:tcPr>
            <w:tcW w:w="1418" w:type="dxa"/>
            <w:vAlign w:val="center"/>
            <w:hideMark/>
          </w:tcPr>
          <w:p w14:paraId="5E274808" w14:textId="66ADF6F7" w:rsidR="00E94959" w:rsidRPr="00054E14" w:rsidRDefault="00E94959" w:rsidP="00E81D9C">
            <w:pPr>
              <w:pStyle w:val="Tablebodycopy"/>
              <w:jc w:val="center"/>
              <w:cnfStyle w:val="000000010000" w:firstRow="0" w:lastRow="0" w:firstColumn="0" w:lastColumn="0" w:oddVBand="0" w:evenVBand="0" w:oddHBand="0" w:evenHBand="1" w:firstRowFirstColumn="0" w:firstRowLastColumn="0" w:lastRowFirstColumn="0" w:lastRowLastColumn="0"/>
              <w:rPr>
                <w:b/>
                <w:bCs/>
                <w:lang w:eastAsia="en-AU"/>
              </w:rPr>
            </w:pPr>
            <w:r w:rsidRPr="00054E14">
              <w:rPr>
                <w:b/>
                <w:bCs/>
                <w:lang w:eastAsia="en-AU"/>
              </w:rPr>
              <w:t>39,680</w:t>
            </w:r>
          </w:p>
        </w:tc>
        <w:tc>
          <w:tcPr>
            <w:tcW w:w="1984" w:type="dxa"/>
            <w:vAlign w:val="center"/>
            <w:hideMark/>
          </w:tcPr>
          <w:p w14:paraId="24033280" w14:textId="3AE852B9" w:rsidR="00E94959" w:rsidRPr="00054E14" w:rsidRDefault="00E94959" w:rsidP="00E81D9C">
            <w:pPr>
              <w:pStyle w:val="Tablebodycopy"/>
              <w:jc w:val="center"/>
              <w:cnfStyle w:val="000000010000" w:firstRow="0" w:lastRow="0" w:firstColumn="0" w:lastColumn="0" w:oddVBand="0" w:evenVBand="0" w:oddHBand="0" w:evenHBand="1" w:firstRowFirstColumn="0" w:firstRowLastColumn="0" w:lastRowFirstColumn="0" w:lastRowLastColumn="0"/>
              <w:rPr>
                <w:b/>
                <w:bCs/>
                <w:lang w:eastAsia="en-AU"/>
              </w:rPr>
            </w:pPr>
            <w:r w:rsidRPr="00054E14">
              <w:rPr>
                <w:b/>
                <w:bCs/>
                <w:lang w:eastAsia="en-AU"/>
              </w:rPr>
              <w:t>Vocational Education Teacher</w:t>
            </w:r>
          </w:p>
        </w:tc>
        <w:tc>
          <w:tcPr>
            <w:tcW w:w="1955" w:type="dxa"/>
            <w:vAlign w:val="center"/>
            <w:hideMark/>
          </w:tcPr>
          <w:p w14:paraId="29B518F1" w14:textId="7DBA59BF" w:rsidR="00E94959" w:rsidRPr="00054E14" w:rsidRDefault="00E94959" w:rsidP="00E81D9C">
            <w:pPr>
              <w:pStyle w:val="Tablebodycopy"/>
              <w:jc w:val="center"/>
              <w:cnfStyle w:val="000000010000" w:firstRow="0" w:lastRow="0" w:firstColumn="0" w:lastColumn="0" w:oddVBand="0" w:evenVBand="0" w:oddHBand="0" w:evenHBand="1" w:firstRowFirstColumn="0" w:firstRowLastColumn="0" w:lastRowFirstColumn="0" w:lastRowLastColumn="0"/>
              <w:rPr>
                <w:b/>
                <w:bCs/>
                <w:lang w:eastAsia="en-AU"/>
              </w:rPr>
            </w:pPr>
            <w:r w:rsidRPr="00054E14">
              <w:rPr>
                <w:b/>
                <w:bCs/>
                <w:lang w:eastAsia="en-AU"/>
              </w:rPr>
              <w:t>Shortage</w:t>
            </w:r>
          </w:p>
        </w:tc>
      </w:tr>
      <w:tr w:rsidR="00E94959" w:rsidRPr="00E94959" w14:paraId="76242E74" w14:textId="77777777" w:rsidTr="006F4154">
        <w:trPr>
          <w:cnfStyle w:val="000000100000" w:firstRow="0" w:lastRow="0" w:firstColumn="0" w:lastColumn="0" w:oddVBand="0" w:evenVBand="0" w:oddHBand="1" w:evenHBand="0"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3544" w:type="dxa"/>
            <w:vAlign w:val="center"/>
            <w:hideMark/>
          </w:tcPr>
          <w:p w14:paraId="15EE1540" w14:textId="77777777" w:rsidR="00E94959" w:rsidRPr="00E94959" w:rsidRDefault="00E94959" w:rsidP="00E81D9C">
            <w:pPr>
              <w:pStyle w:val="Tablebodycopy"/>
              <w:rPr>
                <w:lang w:eastAsia="en-AU"/>
              </w:rPr>
            </w:pPr>
            <w:r w:rsidRPr="00E94959">
              <w:rPr>
                <w:lang w:eastAsia="en-AU"/>
              </w:rPr>
              <w:t>Certificate II in Hospitality </w:t>
            </w:r>
          </w:p>
        </w:tc>
        <w:tc>
          <w:tcPr>
            <w:tcW w:w="1418" w:type="dxa"/>
            <w:vAlign w:val="center"/>
            <w:hideMark/>
          </w:tcPr>
          <w:p w14:paraId="69B1FA8F" w14:textId="7111ECB8" w:rsidR="00E94959" w:rsidRPr="00E94959" w:rsidRDefault="00E94959" w:rsidP="00E81D9C">
            <w:pPr>
              <w:pStyle w:val="Tablebodycopy"/>
              <w:jc w:val="center"/>
              <w:cnfStyle w:val="000000100000" w:firstRow="0" w:lastRow="0" w:firstColumn="0" w:lastColumn="0" w:oddVBand="0" w:evenVBand="0" w:oddHBand="1" w:evenHBand="0" w:firstRowFirstColumn="0" w:firstRowLastColumn="0" w:lastRowFirstColumn="0" w:lastRowLastColumn="0"/>
              <w:rPr>
                <w:lang w:eastAsia="en-AU"/>
              </w:rPr>
            </w:pPr>
            <w:r w:rsidRPr="00E94959">
              <w:rPr>
                <w:lang w:eastAsia="en-AU"/>
              </w:rPr>
              <w:t>36,500</w:t>
            </w:r>
          </w:p>
        </w:tc>
        <w:tc>
          <w:tcPr>
            <w:tcW w:w="1984" w:type="dxa"/>
            <w:vAlign w:val="center"/>
            <w:hideMark/>
          </w:tcPr>
          <w:p w14:paraId="6BE636A2" w14:textId="57B34441" w:rsidR="00E94959" w:rsidRPr="00E94959" w:rsidRDefault="00E94959" w:rsidP="00E81D9C">
            <w:pPr>
              <w:pStyle w:val="Tablebodycopy"/>
              <w:jc w:val="center"/>
              <w:cnfStyle w:val="000000100000" w:firstRow="0" w:lastRow="0" w:firstColumn="0" w:lastColumn="0" w:oddVBand="0" w:evenVBand="0" w:oddHBand="1" w:evenHBand="0" w:firstRowFirstColumn="0" w:firstRowLastColumn="0" w:lastRowFirstColumn="0" w:lastRowLastColumn="0"/>
              <w:rPr>
                <w:lang w:eastAsia="en-AU"/>
              </w:rPr>
            </w:pPr>
            <w:r w:rsidRPr="00E94959">
              <w:rPr>
                <w:lang w:eastAsia="en-AU"/>
              </w:rPr>
              <w:t>Hospitality Workers </w:t>
            </w:r>
          </w:p>
        </w:tc>
        <w:tc>
          <w:tcPr>
            <w:tcW w:w="1955" w:type="dxa"/>
            <w:vAlign w:val="center"/>
            <w:hideMark/>
          </w:tcPr>
          <w:p w14:paraId="79CADA43" w14:textId="134E63BB" w:rsidR="00E94959" w:rsidRPr="00E94959" w:rsidRDefault="00E94959" w:rsidP="00E81D9C">
            <w:pPr>
              <w:pStyle w:val="Tablebodycopy"/>
              <w:jc w:val="center"/>
              <w:cnfStyle w:val="000000100000" w:firstRow="0" w:lastRow="0" w:firstColumn="0" w:lastColumn="0" w:oddVBand="0" w:evenVBand="0" w:oddHBand="1" w:evenHBand="0" w:firstRowFirstColumn="0" w:firstRowLastColumn="0" w:lastRowFirstColumn="0" w:lastRowLastColumn="0"/>
              <w:rPr>
                <w:lang w:eastAsia="en-AU"/>
              </w:rPr>
            </w:pPr>
            <w:r w:rsidRPr="00E94959">
              <w:rPr>
                <w:lang w:eastAsia="en-AU"/>
              </w:rPr>
              <w:t>No shortage</w:t>
            </w:r>
          </w:p>
        </w:tc>
      </w:tr>
      <w:tr w:rsidR="00E94959" w:rsidRPr="00E94959" w14:paraId="29AC1ADA" w14:textId="77777777" w:rsidTr="006F4154">
        <w:trPr>
          <w:cnfStyle w:val="000000010000" w:firstRow="0" w:lastRow="0" w:firstColumn="0" w:lastColumn="0" w:oddVBand="0" w:evenVBand="0" w:oddHBand="0" w:evenHBand="1"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3544" w:type="dxa"/>
            <w:vAlign w:val="center"/>
            <w:hideMark/>
          </w:tcPr>
          <w:p w14:paraId="65170A8E" w14:textId="77777777" w:rsidR="00E94959" w:rsidRPr="00054E14" w:rsidRDefault="00E94959" w:rsidP="00E81D9C">
            <w:pPr>
              <w:pStyle w:val="Tablebodycopy"/>
              <w:rPr>
                <w:b/>
                <w:bCs/>
                <w:lang w:eastAsia="en-AU"/>
              </w:rPr>
            </w:pPr>
            <w:r w:rsidRPr="00054E14">
              <w:rPr>
                <w:b/>
                <w:bCs/>
                <w:lang w:eastAsia="en-AU"/>
              </w:rPr>
              <w:t>Certificate III in Fitness </w:t>
            </w:r>
          </w:p>
        </w:tc>
        <w:tc>
          <w:tcPr>
            <w:tcW w:w="1418" w:type="dxa"/>
            <w:vAlign w:val="center"/>
            <w:hideMark/>
          </w:tcPr>
          <w:p w14:paraId="3FFCD183" w14:textId="4154C8E9" w:rsidR="00E94959" w:rsidRPr="00054E14" w:rsidRDefault="00E94959" w:rsidP="00E81D9C">
            <w:pPr>
              <w:pStyle w:val="Tablebodycopy"/>
              <w:jc w:val="center"/>
              <w:cnfStyle w:val="000000010000" w:firstRow="0" w:lastRow="0" w:firstColumn="0" w:lastColumn="0" w:oddVBand="0" w:evenVBand="0" w:oddHBand="0" w:evenHBand="1" w:firstRowFirstColumn="0" w:firstRowLastColumn="0" w:lastRowFirstColumn="0" w:lastRowLastColumn="0"/>
              <w:rPr>
                <w:b/>
                <w:bCs/>
                <w:lang w:eastAsia="en-AU"/>
              </w:rPr>
            </w:pPr>
            <w:r w:rsidRPr="00054E14">
              <w:rPr>
                <w:b/>
                <w:bCs/>
                <w:lang w:eastAsia="en-AU"/>
              </w:rPr>
              <w:t>36,235</w:t>
            </w:r>
          </w:p>
        </w:tc>
        <w:tc>
          <w:tcPr>
            <w:tcW w:w="1984" w:type="dxa"/>
            <w:vAlign w:val="center"/>
            <w:hideMark/>
          </w:tcPr>
          <w:p w14:paraId="60FE65F4" w14:textId="60A3B046" w:rsidR="00E94959" w:rsidRPr="004C4377" w:rsidRDefault="004C4377" w:rsidP="004C4377">
            <w:pPr>
              <w:pStyle w:val="Tablebodycopy"/>
              <w:spacing w:line="300" w:lineRule="exact"/>
              <w:jc w:val="center"/>
              <w:cnfStyle w:val="000000010000" w:firstRow="0" w:lastRow="0" w:firstColumn="0" w:lastColumn="0" w:oddVBand="0" w:evenVBand="0" w:oddHBand="0" w:evenHBand="1" w:firstRowFirstColumn="0" w:firstRowLastColumn="0" w:lastRowFirstColumn="0" w:lastRowLastColumn="0"/>
              <w:rPr>
                <w:b/>
                <w:bCs/>
                <w:lang w:eastAsia="en-AU"/>
              </w:rPr>
            </w:pPr>
            <w:r w:rsidRPr="00A21EAD">
              <w:rPr>
                <w:lang w:eastAsia="en-AU"/>
              </w:rPr>
              <w:t>Fitness Instructor</w:t>
            </w:r>
            <w:r w:rsidRPr="00054E14">
              <w:rPr>
                <w:b/>
                <w:bCs/>
                <w:lang w:eastAsia="en-AU"/>
              </w:rPr>
              <w:t xml:space="preserve"> </w:t>
            </w:r>
            <w:r w:rsidR="00E94959" w:rsidRPr="00054E14">
              <w:rPr>
                <w:b/>
                <w:bCs/>
                <w:lang w:eastAsia="en-AU"/>
              </w:rPr>
              <w:t xml:space="preserve">Swimming Coach </w:t>
            </w:r>
          </w:p>
        </w:tc>
        <w:tc>
          <w:tcPr>
            <w:tcW w:w="1955" w:type="dxa"/>
            <w:vAlign w:val="center"/>
            <w:hideMark/>
          </w:tcPr>
          <w:p w14:paraId="1A9A39E7" w14:textId="0BC47DE3" w:rsidR="00A21EAD" w:rsidRPr="004C4377" w:rsidRDefault="004C4377" w:rsidP="004C4377">
            <w:pPr>
              <w:pStyle w:val="Tablebodycopy"/>
              <w:spacing w:line="300" w:lineRule="exact"/>
              <w:jc w:val="center"/>
              <w:cnfStyle w:val="000000010000" w:firstRow="0" w:lastRow="0" w:firstColumn="0" w:lastColumn="0" w:oddVBand="0" w:evenVBand="0" w:oddHBand="0" w:evenHBand="1" w:firstRowFirstColumn="0" w:firstRowLastColumn="0" w:lastRowFirstColumn="0" w:lastRowLastColumn="0"/>
              <w:rPr>
                <w:b/>
                <w:bCs/>
                <w:lang w:eastAsia="en-AU"/>
              </w:rPr>
            </w:pPr>
            <w:r w:rsidRPr="00A21EAD">
              <w:rPr>
                <w:lang w:eastAsia="en-AU"/>
              </w:rPr>
              <w:t>No shortage</w:t>
            </w:r>
            <w:r w:rsidRPr="00054E14">
              <w:rPr>
                <w:b/>
                <w:bCs/>
                <w:lang w:eastAsia="en-AU"/>
              </w:rPr>
              <w:t xml:space="preserve"> </w:t>
            </w:r>
            <w:r w:rsidR="00E94959" w:rsidRPr="00054E14">
              <w:rPr>
                <w:b/>
                <w:bCs/>
                <w:lang w:eastAsia="en-AU"/>
              </w:rPr>
              <w:t>Shortage</w:t>
            </w:r>
          </w:p>
        </w:tc>
      </w:tr>
      <w:tr w:rsidR="00E94959" w:rsidRPr="00E94959" w14:paraId="790365F7" w14:textId="77777777" w:rsidTr="00207618">
        <w:trPr>
          <w:cnfStyle w:val="000000100000" w:firstRow="0" w:lastRow="0" w:firstColumn="0" w:lastColumn="0" w:oddVBand="0" w:evenVBand="0" w:oddHBand="1" w:evenHBand="0"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3544" w:type="dxa"/>
            <w:tcBorders>
              <w:bottom w:val="nil"/>
            </w:tcBorders>
            <w:vAlign w:val="center"/>
            <w:hideMark/>
          </w:tcPr>
          <w:p w14:paraId="4A8EDF0F" w14:textId="77777777" w:rsidR="00E94959" w:rsidRPr="00E94959" w:rsidRDefault="00E94959" w:rsidP="00E81D9C">
            <w:pPr>
              <w:pStyle w:val="Tablebodycopy"/>
              <w:rPr>
                <w:lang w:eastAsia="en-AU"/>
              </w:rPr>
            </w:pPr>
            <w:r w:rsidRPr="00E94959">
              <w:rPr>
                <w:lang w:eastAsia="en-AU"/>
              </w:rPr>
              <w:t>Diploma of Leadership and Management </w:t>
            </w:r>
          </w:p>
        </w:tc>
        <w:tc>
          <w:tcPr>
            <w:tcW w:w="1418" w:type="dxa"/>
            <w:tcBorders>
              <w:bottom w:val="nil"/>
            </w:tcBorders>
            <w:vAlign w:val="center"/>
            <w:hideMark/>
          </w:tcPr>
          <w:p w14:paraId="66100F53" w14:textId="4FAC27F4" w:rsidR="00E94959" w:rsidRPr="00E94959" w:rsidRDefault="00E94959" w:rsidP="00E81D9C">
            <w:pPr>
              <w:pStyle w:val="Tablebodycopy"/>
              <w:jc w:val="center"/>
              <w:cnfStyle w:val="000000100000" w:firstRow="0" w:lastRow="0" w:firstColumn="0" w:lastColumn="0" w:oddVBand="0" w:evenVBand="0" w:oddHBand="1" w:evenHBand="0" w:firstRowFirstColumn="0" w:firstRowLastColumn="0" w:lastRowFirstColumn="0" w:lastRowLastColumn="0"/>
              <w:rPr>
                <w:lang w:eastAsia="en-AU"/>
              </w:rPr>
            </w:pPr>
            <w:r w:rsidRPr="00E94959">
              <w:rPr>
                <w:lang w:eastAsia="en-AU"/>
              </w:rPr>
              <w:t>35,615</w:t>
            </w:r>
          </w:p>
        </w:tc>
        <w:tc>
          <w:tcPr>
            <w:tcW w:w="1984" w:type="dxa"/>
            <w:tcBorders>
              <w:bottom w:val="nil"/>
            </w:tcBorders>
            <w:vAlign w:val="center"/>
            <w:hideMark/>
          </w:tcPr>
          <w:p w14:paraId="1128CAEE" w14:textId="1A85AD16" w:rsidR="00E94959" w:rsidRPr="00E94959" w:rsidRDefault="00E94959" w:rsidP="00E81D9C">
            <w:pPr>
              <w:pStyle w:val="Tablebodycopy"/>
              <w:jc w:val="center"/>
              <w:cnfStyle w:val="000000100000" w:firstRow="0" w:lastRow="0" w:firstColumn="0" w:lastColumn="0" w:oddVBand="0" w:evenVBand="0" w:oddHBand="1" w:evenHBand="0" w:firstRowFirstColumn="0" w:firstRowLastColumn="0" w:lastRowFirstColumn="0" w:lastRowLastColumn="0"/>
              <w:rPr>
                <w:lang w:eastAsia="en-AU"/>
              </w:rPr>
            </w:pPr>
            <w:r w:rsidRPr="00E94959">
              <w:rPr>
                <w:lang w:eastAsia="en-AU"/>
              </w:rPr>
              <w:t>Corporate General Manager </w:t>
            </w:r>
          </w:p>
        </w:tc>
        <w:tc>
          <w:tcPr>
            <w:tcW w:w="1955" w:type="dxa"/>
            <w:tcBorders>
              <w:bottom w:val="nil"/>
            </w:tcBorders>
            <w:vAlign w:val="center"/>
            <w:hideMark/>
          </w:tcPr>
          <w:p w14:paraId="64FDD5E4" w14:textId="154DD89F" w:rsidR="00E94959" w:rsidRPr="00E94959" w:rsidRDefault="00E94959" w:rsidP="00E81D9C">
            <w:pPr>
              <w:pStyle w:val="Tablebodycopy"/>
              <w:jc w:val="center"/>
              <w:cnfStyle w:val="000000100000" w:firstRow="0" w:lastRow="0" w:firstColumn="0" w:lastColumn="0" w:oddVBand="0" w:evenVBand="0" w:oddHBand="1" w:evenHBand="0" w:firstRowFirstColumn="0" w:firstRowLastColumn="0" w:lastRowFirstColumn="0" w:lastRowLastColumn="0"/>
              <w:rPr>
                <w:lang w:eastAsia="en-AU"/>
              </w:rPr>
            </w:pPr>
            <w:r w:rsidRPr="00E94959">
              <w:rPr>
                <w:lang w:eastAsia="en-AU"/>
              </w:rPr>
              <w:t>No shortage</w:t>
            </w:r>
          </w:p>
        </w:tc>
      </w:tr>
      <w:tr w:rsidR="00E94959" w:rsidRPr="00E94959" w14:paraId="11965459" w14:textId="77777777" w:rsidTr="00207618">
        <w:trPr>
          <w:cnfStyle w:val="000000010000" w:firstRow="0" w:lastRow="0" w:firstColumn="0" w:lastColumn="0" w:oddVBand="0" w:evenVBand="0" w:oddHBand="0" w:evenHBand="1"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3544" w:type="dxa"/>
            <w:tcBorders>
              <w:bottom w:val="single" w:sz="8" w:space="0" w:color="2F005F"/>
            </w:tcBorders>
            <w:vAlign w:val="center"/>
            <w:hideMark/>
          </w:tcPr>
          <w:p w14:paraId="126BA247" w14:textId="77777777" w:rsidR="00E94959" w:rsidRPr="00E94959" w:rsidRDefault="00E94959" w:rsidP="00E81D9C">
            <w:pPr>
              <w:pStyle w:val="Tablebodycopy"/>
              <w:rPr>
                <w:lang w:eastAsia="en-AU"/>
              </w:rPr>
            </w:pPr>
            <w:r w:rsidRPr="00E94959">
              <w:rPr>
                <w:lang w:eastAsia="en-AU"/>
              </w:rPr>
              <w:t>Certificate II in Skills for Work and Vocational Pathways </w:t>
            </w:r>
          </w:p>
        </w:tc>
        <w:tc>
          <w:tcPr>
            <w:tcW w:w="1418" w:type="dxa"/>
            <w:tcBorders>
              <w:bottom w:val="single" w:sz="8" w:space="0" w:color="2F005F"/>
            </w:tcBorders>
            <w:vAlign w:val="center"/>
            <w:hideMark/>
          </w:tcPr>
          <w:p w14:paraId="463D46D9" w14:textId="667C0501" w:rsidR="00E94959" w:rsidRPr="00E94959" w:rsidRDefault="00E94959" w:rsidP="00E81D9C">
            <w:pPr>
              <w:pStyle w:val="Tablebodycopy"/>
              <w:jc w:val="center"/>
              <w:cnfStyle w:val="000000010000" w:firstRow="0" w:lastRow="0" w:firstColumn="0" w:lastColumn="0" w:oddVBand="0" w:evenVBand="0" w:oddHBand="0" w:evenHBand="1" w:firstRowFirstColumn="0" w:firstRowLastColumn="0" w:lastRowFirstColumn="0" w:lastRowLastColumn="0"/>
              <w:rPr>
                <w:lang w:eastAsia="en-AU"/>
              </w:rPr>
            </w:pPr>
            <w:r w:rsidRPr="00E94959">
              <w:rPr>
                <w:lang w:eastAsia="en-AU"/>
              </w:rPr>
              <w:t>32,025</w:t>
            </w:r>
          </w:p>
        </w:tc>
        <w:tc>
          <w:tcPr>
            <w:tcW w:w="1984" w:type="dxa"/>
            <w:tcBorders>
              <w:bottom w:val="single" w:sz="8" w:space="0" w:color="2F005F"/>
            </w:tcBorders>
            <w:vAlign w:val="center"/>
            <w:hideMark/>
          </w:tcPr>
          <w:p w14:paraId="37D3D07E" w14:textId="3ED8EEE0" w:rsidR="00E94959" w:rsidRPr="00E94959" w:rsidRDefault="00E94959" w:rsidP="00E81D9C">
            <w:pPr>
              <w:pStyle w:val="Tablebodycopy"/>
              <w:jc w:val="center"/>
              <w:cnfStyle w:val="000000010000" w:firstRow="0" w:lastRow="0" w:firstColumn="0" w:lastColumn="0" w:oddVBand="0" w:evenVBand="0" w:oddHBand="0" w:evenHBand="1" w:firstRowFirstColumn="0" w:firstRowLastColumn="0" w:lastRowFirstColumn="0" w:lastRowLastColumn="0"/>
              <w:rPr>
                <w:lang w:eastAsia="en-AU"/>
              </w:rPr>
            </w:pPr>
            <w:r w:rsidRPr="00E94959">
              <w:rPr>
                <w:lang w:eastAsia="en-AU"/>
              </w:rPr>
              <w:t>N/A</w:t>
            </w:r>
          </w:p>
        </w:tc>
        <w:tc>
          <w:tcPr>
            <w:tcW w:w="1955" w:type="dxa"/>
            <w:tcBorders>
              <w:bottom w:val="single" w:sz="8" w:space="0" w:color="2F005F"/>
            </w:tcBorders>
            <w:vAlign w:val="center"/>
            <w:hideMark/>
          </w:tcPr>
          <w:p w14:paraId="53F24D8F" w14:textId="2350D65A" w:rsidR="00E94959" w:rsidRPr="00E94959" w:rsidRDefault="00E94959" w:rsidP="00E81D9C">
            <w:pPr>
              <w:pStyle w:val="Tablebodycopy"/>
              <w:jc w:val="center"/>
              <w:cnfStyle w:val="000000010000" w:firstRow="0" w:lastRow="0" w:firstColumn="0" w:lastColumn="0" w:oddVBand="0" w:evenVBand="0" w:oddHBand="0" w:evenHBand="1" w:firstRowFirstColumn="0" w:firstRowLastColumn="0" w:lastRowFirstColumn="0" w:lastRowLastColumn="0"/>
              <w:rPr>
                <w:lang w:eastAsia="en-AU"/>
              </w:rPr>
            </w:pPr>
            <w:r w:rsidRPr="00E94959">
              <w:rPr>
                <w:lang w:eastAsia="en-AU"/>
              </w:rPr>
              <w:t>N/A</w:t>
            </w:r>
          </w:p>
        </w:tc>
      </w:tr>
    </w:tbl>
    <w:p w14:paraId="078E875E" w14:textId="29405DED" w:rsidR="00191595" w:rsidRPr="00DA4D3F" w:rsidRDefault="00191595" w:rsidP="008B2387">
      <w:pPr>
        <w:pStyle w:val="Source"/>
        <w:rPr>
          <w:rFonts w:ascii="Segoe UI" w:hAnsi="Segoe UI" w:cs="Segoe UI"/>
          <w:lang w:val="en-GB" w:eastAsia="en-AU"/>
        </w:rPr>
      </w:pPr>
      <w:r w:rsidRPr="00DA4D3F">
        <w:rPr>
          <w:lang w:eastAsia="en-AU"/>
        </w:rPr>
        <w:t>Note: Table presents combined enrolment figures for qualifications with enrolments across current and superseded versions (e.g. CHC30113 and CHC30121 – Certificate III in Early Childhood Education and Care).</w:t>
      </w:r>
      <w:r w:rsidRPr="00DA4D3F">
        <w:rPr>
          <w:lang w:val="en-GB" w:eastAsia="en-AU"/>
        </w:rPr>
        <w:t> </w:t>
      </w:r>
    </w:p>
    <w:p w14:paraId="621C4DFD" w14:textId="271E7655" w:rsidR="00191595" w:rsidRPr="00191595" w:rsidRDefault="00191595" w:rsidP="008B2387">
      <w:pPr>
        <w:pStyle w:val="Source"/>
        <w:rPr>
          <w:rFonts w:ascii="Segoe UI" w:hAnsi="Segoe UI" w:cs="Segoe UI"/>
          <w:lang w:val="en-GB" w:eastAsia="en-AU"/>
        </w:rPr>
      </w:pPr>
      <w:r w:rsidRPr="00DA4D3F">
        <w:rPr>
          <w:lang w:eastAsia="en-AU"/>
        </w:rPr>
        <w:t>Source: NCVER 2023, Total VET students and courses 2022, Program enrolments, Total, Training package, Program name by Year [DataBuilder], accessed 28 November 2023; training.gov.au; Jobs and Skills Australia, Skills Priority List 2023</w:t>
      </w:r>
      <w:r w:rsidR="00A21EAD">
        <w:rPr>
          <w:lang w:eastAsia="en-AU"/>
        </w:rPr>
        <w:t>.</w:t>
      </w:r>
      <w:r w:rsidRPr="00DA4D3F">
        <w:rPr>
          <w:lang w:val="en-GB" w:eastAsia="en-AU"/>
        </w:rPr>
        <w:t> </w:t>
      </w:r>
    </w:p>
    <w:p w14:paraId="78CE0114" w14:textId="67C9BC6C" w:rsidR="00191595" w:rsidRPr="00EA7E68" w:rsidRDefault="007D4CBB" w:rsidP="006D7719">
      <w:pPr>
        <w:pStyle w:val="Bodycopy"/>
        <w:rPr>
          <w:rFonts w:cs="Arial"/>
          <w:color w:val="000000"/>
          <w:shd w:val="clear" w:color="auto" w:fill="FFFFFF"/>
        </w:rPr>
      </w:pPr>
      <w:r>
        <w:br/>
      </w:r>
      <w:r w:rsidR="00191595">
        <w:t>From a student cohort perspective, there is also diversity. Th</w:t>
      </w:r>
      <w:r w:rsidR="0B1C6A1A">
        <w:t>e</w:t>
      </w:r>
      <w:r w:rsidR="00191595">
        <w:t xml:space="preserve"> VET </w:t>
      </w:r>
      <w:r w:rsidR="6FF3A40E">
        <w:t xml:space="preserve">cohort </w:t>
      </w:r>
      <w:r w:rsidR="00191595">
        <w:t>range</w:t>
      </w:r>
      <w:r w:rsidR="45EB129E">
        <w:t>s</w:t>
      </w:r>
      <w:r w:rsidR="00191595">
        <w:t xml:space="preserve"> from school students to those undertaking their first post-secondary qualification, jobseekers, workers seeking to reskill or upskill, and adults looking for second chance language, literacy, and numeracy training. In doing so, VET delivers a range of supports to the Australian labour market. </w:t>
      </w:r>
    </w:p>
    <w:p w14:paraId="58F44F7C" w14:textId="7273A462" w:rsidR="00191595" w:rsidRPr="006F4154" w:rsidRDefault="00191595" w:rsidP="006F4154">
      <w:pPr>
        <w:pStyle w:val="Bodycopy"/>
      </w:pPr>
      <w:r w:rsidRPr="006D7719">
        <w:t>Indeed,</w:t>
      </w:r>
      <w:r w:rsidR="5C4C2179" w:rsidRPr="006D7719">
        <w:t xml:space="preserve"> Government funding and policy influencing student participation in VET, for example through entitlement funding models or interventions to promote uptake by priority </w:t>
      </w:r>
      <w:r w:rsidR="5C4C2179" w:rsidRPr="006F4154">
        <w:t>cohorts, also has implications for workforce training needs</w:t>
      </w:r>
      <w:r w:rsidRPr="006F4154">
        <w:t xml:space="preserve"> (Atkinson and Stanwick 2016</w:t>
      </w:r>
      <w:r w:rsidR="003D4551" w:rsidRPr="006F4154">
        <w:t>).</w:t>
      </w:r>
      <w:r w:rsidRPr="00363CF3">
        <w:rPr>
          <w:vertAlign w:val="superscript"/>
        </w:rPr>
        <w:t>vi</w:t>
      </w:r>
      <w:r w:rsidR="003D4551" w:rsidRPr="006F4154">
        <w:t xml:space="preserve"> </w:t>
      </w:r>
      <w:r w:rsidRPr="006F4154">
        <w:lastRenderedPageBreak/>
        <w:t>For example, the Fee-Free TAFE initiative implemented by the Australian Government in partnership with state and territory governments</w:t>
      </w:r>
      <w:r w:rsidR="2BA52B08" w:rsidRPr="006F4154">
        <w:t>,</w:t>
      </w:r>
      <w:r w:rsidRPr="006F4154">
        <w:t xml:space="preserve"> saw places prioritised for a range of priority groups including but not limited to First Nations Australians, young people, and people with disability. The impact of fee</w:t>
      </w:r>
      <w:r w:rsidR="002C15F4">
        <w:t>-</w:t>
      </w:r>
      <w:r w:rsidRPr="006F4154">
        <w:t>free initiatives on demand have already likely impact</w:t>
      </w:r>
      <w:r w:rsidR="0B06AA8B" w:rsidRPr="006F4154">
        <w:t>ed</w:t>
      </w:r>
      <w:r w:rsidRPr="006F4154">
        <w:t xml:space="preserve"> in some jurisdictions. </w:t>
      </w:r>
    </w:p>
    <w:p w14:paraId="1173D62B" w14:textId="0272A804" w:rsidR="00595226" w:rsidRPr="006F4154" w:rsidRDefault="00191595" w:rsidP="006F4154">
      <w:pPr>
        <w:pStyle w:val="Bodycopy"/>
      </w:pPr>
      <w:r w:rsidRPr="006F4154">
        <w:t>Where uptake of training by priority groups increases</w:t>
      </w:r>
      <w:r w:rsidR="007F0621">
        <w:t xml:space="preserve"> </w:t>
      </w:r>
      <w:r w:rsidR="0000395E">
        <w:t>–</w:t>
      </w:r>
      <w:r w:rsidR="007F0621">
        <w:t xml:space="preserve"> </w:t>
      </w:r>
      <w:r w:rsidRPr="006F4154">
        <w:t xml:space="preserve">workforce implications may include increased demand for </w:t>
      </w:r>
      <w:r w:rsidR="00B6057B" w:rsidRPr="00B6057B">
        <w:t>pedagogical</w:t>
      </w:r>
      <w:r w:rsidRPr="006F4154">
        <w:t xml:space="preserve"> skills in delivering effective training and assessment for these cohorts</w:t>
      </w:r>
      <w:r w:rsidR="6B1CECD1" w:rsidRPr="006F4154">
        <w:t>,</w:t>
      </w:r>
      <w:r w:rsidRPr="006F4154">
        <w:t xml:space="preserve"> and for a workforce capable of providing additional wrap-around supports. This may particularly be the case if change is concentrated in a particular segment of the market, e.g. certain provider types or certain qualifications.</w:t>
      </w:r>
      <w:r w:rsidR="00595226" w:rsidRPr="006F4154">
        <w:t xml:space="preserve"> </w:t>
      </w:r>
    </w:p>
    <w:p w14:paraId="2F9A293B" w14:textId="366D639E" w:rsidR="00191595" w:rsidRPr="006F4154" w:rsidRDefault="00595226" w:rsidP="006F4154">
      <w:pPr>
        <w:pStyle w:val="Bodycopy"/>
      </w:pPr>
      <w:r w:rsidRPr="006F4154">
        <w:t>Many VET students also require individualised support for numeracy and literacy</w:t>
      </w:r>
      <w:r w:rsidR="03B66893" w:rsidRPr="006F4154">
        <w:t>,</w:t>
      </w:r>
      <w:r w:rsidRPr="006F4154">
        <w:t xml:space="preserve"> and this impacts the demand for literacy and numeracy teachers. A breakdown of students enrolled in VET by key demographic details is provided in </w:t>
      </w:r>
      <w:hyperlink w:anchor="Figure_1_6" w:history="1">
        <w:r w:rsidRPr="00BE6AC1">
          <w:rPr>
            <w:rStyle w:val="Hyperlink"/>
          </w:rPr>
          <w:t>Figure 1.</w:t>
        </w:r>
        <w:r w:rsidR="32DB63DC" w:rsidRPr="00BE6AC1">
          <w:rPr>
            <w:rStyle w:val="Hyperlink"/>
          </w:rPr>
          <w:t>6</w:t>
        </w:r>
      </w:hyperlink>
      <w:r w:rsidRPr="006F4154">
        <w:t>. </w:t>
      </w:r>
    </w:p>
    <w:p w14:paraId="2164BDA3" w14:textId="03575FE0" w:rsidR="00390576" w:rsidRDefault="00390576" w:rsidP="00B47204">
      <w:pPr>
        <w:pStyle w:val="Caption"/>
        <w:keepNext/>
        <w:spacing w:before="240"/>
      </w:pPr>
      <w:bookmarkStart w:id="58" w:name="Figure_1_6"/>
      <w:r>
        <w:t xml:space="preserve">Figure </w:t>
      </w:r>
      <w:r w:rsidR="006558DC">
        <w:fldChar w:fldCharType="begin"/>
      </w:r>
      <w:r w:rsidR="006558DC">
        <w:instrText xml:space="preserve"> STYLEREF 1 \s </w:instrText>
      </w:r>
      <w:r w:rsidR="006558DC">
        <w:fldChar w:fldCharType="separate"/>
      </w:r>
      <w:r w:rsidR="00E7704E">
        <w:rPr>
          <w:noProof/>
        </w:rPr>
        <w:t>1</w:t>
      </w:r>
      <w:r w:rsidR="006558DC">
        <w:fldChar w:fldCharType="end"/>
      </w:r>
      <w:r w:rsidR="00EA1F63">
        <w:t>.</w:t>
      </w:r>
      <w:r w:rsidR="006558DC">
        <w:fldChar w:fldCharType="begin"/>
      </w:r>
      <w:r w:rsidR="006558DC">
        <w:instrText xml:space="preserve"> SEQ Figure \* ARABIC \s 1 </w:instrText>
      </w:r>
      <w:r w:rsidR="006558DC">
        <w:fldChar w:fldCharType="separate"/>
      </w:r>
      <w:r w:rsidR="00E7704E">
        <w:rPr>
          <w:noProof/>
        </w:rPr>
        <w:t>6</w:t>
      </w:r>
      <w:r w:rsidR="006558DC">
        <w:fldChar w:fldCharType="end"/>
      </w:r>
      <w:r>
        <w:t xml:space="preserve"> VET student demographics (2022)</w:t>
      </w:r>
    </w:p>
    <w:bookmarkEnd w:id="58"/>
    <w:p w14:paraId="1B8F095F" w14:textId="77777777" w:rsidR="00EA7E68" w:rsidRPr="00E11AB1" w:rsidRDefault="00D4041B" w:rsidP="00E11AB1">
      <w:pPr>
        <w:rPr>
          <w:lang w:val="en-US"/>
        </w:rPr>
      </w:pPr>
      <w:r>
        <w:rPr>
          <w:noProof/>
          <w:lang w:val="en-US"/>
        </w:rPr>
        <w:drawing>
          <wp:inline distT="0" distB="0" distL="0" distR="0" wp14:anchorId="3B12BAEC" wp14:editId="37286662">
            <wp:extent cx="5731510" cy="3883789"/>
            <wp:effectExtent l="0" t="0" r="2540" b="2540"/>
            <wp:docPr id="1995824101" name="Picture 10" descr="VET Student demographics&#10;&#10;23% of females aged 15-64 undertook VET (compared to 25% of all Australians)&#10;&#10;21 training packages made more than 80% of program enrolments concentrated in one gender in 2022&#10;- CPC – Construction 94% male&#10;- HLT – Health 82% female&#10;&#10;57% of VET students are 30 or over (compared with 28% of higher education students)&#10;&#10;17% of VET students are from the lowest socio-economic status areas&#10;&#10;28% of VET students are from regional and remote Australia&#10;&#10;First Nations Australians account for 3.6% of VET students (higher than First Nations share of working age population at 3%)&#10;&#10;178,620 students with a disability undertook VET (3.9% of all VET students)&#10;&#10;242,945 VET in Schools students&#10;&#10;15% of VET students unemployed or not in labour force&#10;&#10;14% of VET students speak a language other than English at home&#10;&#10;5% of VET students are international stu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824101" name="Picture 10" descr="VET Student demographics&#10;&#10;23% of females aged 15-64 undertook VET (compared to 25% of all Australians)&#10;&#10;21 training packages made more than 80% of program enrolments concentrated in one gender in 2022&#10;- CPC – Construction 94% male&#10;- HLT – Health 82% female&#10;&#10;57% of VET students are 30 or over (compared with 28% of higher education students)&#10;&#10;17% of VET students are from the lowest socio-economic status areas&#10;&#10;28% of VET students are from regional and remote Australia&#10;&#10;First Nations Australians account for 3.6% of VET students (higher than First Nations share of working age population at 3%)&#10;&#10;178,620 students with a disability undertook VET (3.9% of all VET students)&#10;&#10;242,945 VET in Schools students&#10;&#10;15% of VET students unemployed or not in labour force&#10;&#10;14% of VET students speak a language other than English at home&#10;&#10;5% of VET students are international students&#1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883789"/>
                    </a:xfrm>
                    <a:prstGeom prst="rect">
                      <a:avLst/>
                    </a:prstGeom>
                    <a:solidFill>
                      <a:schemeClr val="bg1"/>
                    </a:solidFill>
                  </pic:spPr>
                </pic:pic>
              </a:graphicData>
            </a:graphic>
          </wp:inline>
        </w:drawing>
      </w:r>
    </w:p>
    <w:p w14:paraId="69A972BB" w14:textId="674B085E" w:rsidR="00E134D6" w:rsidRDefault="00E134D6" w:rsidP="00E16D4F">
      <w:pPr>
        <w:pStyle w:val="Bodycopy"/>
        <w:rPr>
          <w:rFonts w:cs="Arial"/>
          <w:color w:val="000000"/>
        </w:rPr>
      </w:pPr>
      <w:r>
        <w:t xml:space="preserve">Post-pandemic there has also been a growth </w:t>
      </w:r>
      <w:r w:rsidRPr="00B7001D">
        <w:t xml:space="preserve">in blended delivery and associated decline in VET subjects delivered without any online component. These shifts have workforce implications and require greater digital skills for </w:t>
      </w:r>
      <w:r w:rsidR="00CC6D50">
        <w:t>VET teachers</w:t>
      </w:r>
      <w:r w:rsidRPr="00B7001D">
        <w:t xml:space="preserve">, trainers, and assessors, who are older on average than the workforce as a </w:t>
      </w:r>
      <w:r w:rsidR="5AE39DC1" w:rsidRPr="00B7001D">
        <w:t xml:space="preserve">whole </w:t>
      </w:r>
      <w:r w:rsidRPr="00B7001D">
        <w:t>and may have come from an industry background which demanded little digital engagement. There is also increasing demand for e-learning designers and education technologists with skills and experience in planning and delivering quality online learning.</w:t>
      </w:r>
      <w:r>
        <w:rPr>
          <w:rFonts w:cs="Arial"/>
          <w:color w:val="000000"/>
        </w:rPr>
        <w:t xml:space="preserve"> This is discussed throughout the report. </w:t>
      </w:r>
    </w:p>
    <w:p w14:paraId="2D6A8165" w14:textId="77777777" w:rsidR="007A502F" w:rsidRDefault="007A502F">
      <w:pPr>
        <w:rPr>
          <w:spacing w:val="2"/>
        </w:rPr>
      </w:pPr>
      <w:r>
        <w:br w:type="page"/>
      </w:r>
    </w:p>
    <w:p w14:paraId="24A3505E" w14:textId="70815A1A" w:rsidR="00E134D6" w:rsidRPr="00191595" w:rsidRDefault="00E134D6" w:rsidP="00E16D4F">
      <w:pPr>
        <w:pStyle w:val="Bodycopy"/>
      </w:pPr>
      <w:r w:rsidRPr="00B7001D">
        <w:lastRenderedPageBreak/>
        <w:t xml:space="preserve">Work integrated learning is also increasing in prominence in VET beyond apprenticeships and traineeships, where work-based learning has always been integral. Notwithstanding the benefits of work integrated learning, incorporating work placements into VET programs can </w:t>
      </w:r>
      <w:r w:rsidRPr="002D4813">
        <w:t>add</w:t>
      </w:r>
      <w:r w:rsidRPr="002D4813" w:rsidDel="009C1C9B">
        <w:t xml:space="preserve"> </w:t>
      </w:r>
      <w:r w:rsidRPr="002D4813">
        <w:t xml:space="preserve">further </w:t>
      </w:r>
      <w:r w:rsidR="009C1C9B" w:rsidRPr="002D4813">
        <w:t xml:space="preserve">skills and knowledge requirements (as well as </w:t>
      </w:r>
      <w:r w:rsidRPr="002D4813">
        <w:t>workload</w:t>
      </w:r>
      <w:r w:rsidR="009C1C9B" w:rsidRPr="002D4813">
        <w:t>)</w:t>
      </w:r>
      <w:r w:rsidRPr="002D4813">
        <w:t xml:space="preserve"> on</w:t>
      </w:r>
      <w:r w:rsidR="009C1C9B" w:rsidRPr="002D4813">
        <w:t>to</w:t>
      </w:r>
      <w:r w:rsidRPr="002D4813">
        <w:t xml:space="preserve"> staff with respect to coordinating sufficient placements with employers, integrating placement within the course schedule, and assuring the quality of work-based learnin</w:t>
      </w:r>
      <w:r w:rsidR="003D4551" w:rsidRPr="002D4813">
        <w:t>g.</w:t>
      </w:r>
    </w:p>
    <w:p w14:paraId="52DDDE53" w14:textId="4687FCA8" w:rsidR="000370CA" w:rsidRDefault="1CA22571" w:rsidP="00B47204">
      <w:pPr>
        <w:pStyle w:val="Heading3"/>
        <w:spacing w:before="240"/>
      </w:pPr>
      <w:bookmarkStart w:id="59" w:name="_Toc1224927631"/>
      <w:r>
        <w:t>The regulatory context</w:t>
      </w:r>
      <w:bookmarkEnd w:id="59"/>
    </w:p>
    <w:p w14:paraId="7BFDD0A2" w14:textId="289EDAEB" w:rsidR="00687EEA" w:rsidRPr="00687EEA" w:rsidRDefault="0F79ECFF" w:rsidP="006B77FE">
      <w:pPr>
        <w:pStyle w:val="Bodycopy"/>
      </w:pPr>
      <w:r>
        <w:t>T</w:t>
      </w:r>
      <w:r w:rsidR="670971AF">
        <w:t>he</w:t>
      </w:r>
      <w:r w:rsidR="006B77FE">
        <w:t xml:space="preserve"> </w:t>
      </w:r>
      <w:r w:rsidR="006B77FE" w:rsidRPr="006B77FE">
        <w:rPr>
          <w:i/>
          <w:iCs/>
        </w:rPr>
        <w:t xml:space="preserve">Standards for Registered Training Organisations (RTOs) 2015 </w:t>
      </w:r>
      <w:r w:rsidR="006B77FE">
        <w:t xml:space="preserve">(RTO Standards) </w:t>
      </w:r>
      <w:r w:rsidR="16311F66">
        <w:t xml:space="preserve">and </w:t>
      </w:r>
      <w:r w:rsidR="009A5614">
        <w:t xml:space="preserve">the </w:t>
      </w:r>
      <w:r w:rsidR="009A5614" w:rsidRPr="006B77FE">
        <w:rPr>
          <w:i/>
          <w:iCs/>
        </w:rPr>
        <w:t>Educational</w:t>
      </w:r>
      <w:r w:rsidR="16311F66" w:rsidRPr="006B77FE">
        <w:rPr>
          <w:i/>
          <w:iCs/>
        </w:rPr>
        <w:t xml:space="preserve"> Services (Post-secondary Education) Award 2020</w:t>
      </w:r>
      <w:r w:rsidR="16311F66">
        <w:t xml:space="preserve"> are th</w:t>
      </w:r>
      <w:r w:rsidR="488D09F1">
        <w:t>e</w:t>
      </w:r>
      <w:r w:rsidR="16311F66">
        <w:t xml:space="preserve"> two main regulatory instruments in the sector. </w:t>
      </w:r>
      <w:r w:rsidR="11D67BC4">
        <w:t xml:space="preserve">The RTO </w:t>
      </w:r>
      <w:r w:rsidR="00A575E7">
        <w:t>S</w:t>
      </w:r>
      <w:r w:rsidR="11D67BC4">
        <w:t>tandards set out</w:t>
      </w:r>
      <w:r w:rsidR="16311F66">
        <w:t xml:space="preserve"> the requirements for those delivering training and assessment in VET from a competency and qualification perspective. They also set out the requirements to be a training provider and meet training package and accredited course standards. There are also </w:t>
      </w:r>
      <w:r w:rsidR="008E1EC9">
        <w:t>S</w:t>
      </w:r>
      <w:r w:rsidR="16311F66">
        <w:t>tandards focusing on ensuring consideration of learner’s needs and thus have key workforce implications</w:t>
      </w:r>
      <w:r w:rsidR="4EF3A055">
        <w:t>.</w:t>
      </w:r>
    </w:p>
    <w:p w14:paraId="375DBFB6" w14:textId="4C0DFF47" w:rsidR="00687EEA" w:rsidRPr="00687EEA" w:rsidRDefault="4EF3A055" w:rsidP="006F4154">
      <w:pPr>
        <w:pStyle w:val="Bodycopy"/>
        <w:rPr>
          <w:rFonts w:eastAsia="Arial" w:cs="Arial"/>
        </w:rPr>
      </w:pPr>
      <w:r>
        <w:t>The</w:t>
      </w:r>
      <w:r w:rsidR="670971AF">
        <w:t xml:space="preserve"> award</w:t>
      </w:r>
      <w:r w:rsidR="5FC93F67" w:rsidRPr="28A4995B">
        <w:rPr>
          <w:rFonts w:eastAsia="Arial" w:cs="Arial"/>
        </w:rPr>
        <w:t xml:space="preserve"> </w:t>
      </w:r>
      <w:r w:rsidR="4B8F584B" w:rsidRPr="28A4995B">
        <w:rPr>
          <w:rFonts w:eastAsia="Arial" w:cs="Arial"/>
        </w:rPr>
        <w:t>outline</w:t>
      </w:r>
      <w:r w:rsidR="3CD258C0" w:rsidRPr="28A4995B">
        <w:rPr>
          <w:rFonts w:eastAsia="Arial" w:cs="Arial"/>
        </w:rPr>
        <w:t>s</w:t>
      </w:r>
      <w:r w:rsidR="4B8F584B" w:rsidRPr="28A4995B">
        <w:rPr>
          <w:rFonts w:eastAsia="Arial" w:cs="Arial"/>
        </w:rPr>
        <w:t xml:space="preserve"> and define</w:t>
      </w:r>
      <w:r w:rsidR="00140F03">
        <w:rPr>
          <w:rFonts w:eastAsia="Arial" w:cs="Arial"/>
        </w:rPr>
        <w:t>s</w:t>
      </w:r>
      <w:r w:rsidR="4B8F584B" w:rsidRPr="28A4995B">
        <w:rPr>
          <w:rFonts w:eastAsia="Arial" w:cs="Arial"/>
        </w:rPr>
        <w:t xml:space="preserve"> key VET workforce roles, qualification credentials and </w:t>
      </w:r>
      <w:r w:rsidR="76478EF0" w:rsidRPr="28A4995B">
        <w:rPr>
          <w:rFonts w:eastAsia="Arial" w:cs="Arial"/>
        </w:rPr>
        <w:t>common workforce standards</w:t>
      </w:r>
      <w:r w:rsidR="6133B9B3" w:rsidRPr="28A4995B">
        <w:rPr>
          <w:rFonts w:eastAsia="Arial" w:cs="Arial"/>
        </w:rPr>
        <w:t>, pay and conditions</w:t>
      </w:r>
      <w:r w:rsidR="76478EF0" w:rsidRPr="28A4995B">
        <w:rPr>
          <w:rFonts w:eastAsia="Arial" w:cs="Arial"/>
        </w:rPr>
        <w:t xml:space="preserve"> for the ‘post-secondary educations services industry’. </w:t>
      </w:r>
      <w:r w:rsidR="0731EF23" w:rsidRPr="28A4995B">
        <w:rPr>
          <w:rFonts w:eastAsia="Arial" w:cs="Arial"/>
        </w:rPr>
        <w:t xml:space="preserve">However, the </w:t>
      </w:r>
      <w:r w:rsidR="00D203EB">
        <w:rPr>
          <w:rFonts w:eastAsia="Arial" w:cs="Arial"/>
        </w:rPr>
        <w:t>RTO S</w:t>
      </w:r>
      <w:r w:rsidR="0731EF23" w:rsidRPr="28A4995B">
        <w:rPr>
          <w:rFonts w:eastAsia="Arial" w:cs="Arial"/>
        </w:rPr>
        <w:t>tandards and the award</w:t>
      </w:r>
      <w:r w:rsidR="00565206" w:rsidRPr="28A4995B">
        <w:rPr>
          <w:rFonts w:eastAsia="Arial" w:cs="Arial"/>
        </w:rPr>
        <w:t xml:space="preserve"> </w:t>
      </w:r>
      <w:r w:rsidR="0F79ECFF" w:rsidRPr="28A4995B" w:rsidDel="00565206">
        <w:rPr>
          <w:rFonts w:eastAsia="Arial" w:cs="Arial"/>
        </w:rPr>
        <w:t xml:space="preserve">are </w:t>
      </w:r>
      <w:r w:rsidR="16DC3DB3" w:rsidRPr="28A4995B">
        <w:rPr>
          <w:rFonts w:eastAsia="Arial" w:cs="Arial"/>
        </w:rPr>
        <w:t>not the</w:t>
      </w:r>
      <w:r w:rsidR="00565206" w:rsidRPr="28A4995B">
        <w:rPr>
          <w:rFonts w:eastAsia="Arial" w:cs="Arial"/>
        </w:rPr>
        <w:t xml:space="preserve"> only </w:t>
      </w:r>
      <w:r w:rsidR="730C50BA" w:rsidRPr="28A4995B">
        <w:rPr>
          <w:rFonts w:eastAsia="Arial" w:cs="Arial"/>
        </w:rPr>
        <w:t>regulatory instruments in the sector</w:t>
      </w:r>
      <w:r w:rsidR="00565206" w:rsidRPr="28A4995B">
        <w:rPr>
          <w:rFonts w:eastAsia="Arial" w:cs="Arial"/>
        </w:rPr>
        <w:t>.</w:t>
      </w:r>
      <w:r w:rsidR="00390576" w:rsidRPr="6113034D">
        <w:rPr>
          <w:rFonts w:eastAsia="Arial" w:cs="Arial"/>
        </w:rPr>
        <w:t xml:space="preserve"> </w:t>
      </w:r>
      <w:r w:rsidR="00C5067A" w:rsidRPr="00C5067A">
        <w:rPr>
          <w:rFonts w:eastAsia="Arial" w:cs="Arial"/>
        </w:rPr>
        <w:t>Some industries have mandatory licensing or other regulatory requirements in high volume subject enrolments like First Aid or Workplace Safety, as a condition of registration or employment</w:t>
      </w:r>
      <w:r w:rsidR="041703F2" w:rsidRPr="28A4995B">
        <w:rPr>
          <w:rFonts w:eastAsia="Arial" w:cs="Arial"/>
        </w:rPr>
        <w:t xml:space="preserve">. </w:t>
      </w:r>
      <w:r w:rsidR="6BF0CCF5" w:rsidRPr="28A4995B">
        <w:rPr>
          <w:rFonts w:eastAsia="Arial" w:cs="Arial"/>
        </w:rPr>
        <w:t xml:space="preserve">Another example is </w:t>
      </w:r>
      <w:r w:rsidR="00390576" w:rsidRPr="28A4995B">
        <w:rPr>
          <w:rFonts w:eastAsia="Arial" w:cs="Arial"/>
        </w:rPr>
        <w:t>professional</w:t>
      </w:r>
      <w:r w:rsidR="6BF0CCF5" w:rsidRPr="28A4995B">
        <w:rPr>
          <w:rFonts w:eastAsia="Arial" w:cs="Arial"/>
        </w:rPr>
        <w:t xml:space="preserve"> registration requirements </w:t>
      </w:r>
      <w:r w:rsidR="00F87AEA">
        <w:rPr>
          <w:rFonts w:eastAsia="Arial" w:cs="Arial"/>
        </w:rPr>
        <w:t>including</w:t>
      </w:r>
      <w:r w:rsidR="6BF0CCF5" w:rsidRPr="28A4995B">
        <w:rPr>
          <w:rFonts w:eastAsia="Arial" w:cs="Arial"/>
        </w:rPr>
        <w:t xml:space="preserve"> Enrolled Nurses under the Australian Health Practitioner Regulation Agency (A</w:t>
      </w:r>
      <w:r w:rsidR="0028188C">
        <w:rPr>
          <w:rFonts w:eastAsia="Arial" w:cs="Arial"/>
        </w:rPr>
        <w:t>H</w:t>
      </w:r>
      <w:r w:rsidR="6BF0CCF5" w:rsidRPr="28A4995B">
        <w:rPr>
          <w:rFonts w:eastAsia="Arial" w:cs="Arial"/>
        </w:rPr>
        <w:t>PRA</w:t>
      </w:r>
      <w:r w:rsidR="6BF0CCF5" w:rsidRPr="6113034D">
        <w:rPr>
          <w:rFonts w:eastAsia="Arial" w:cs="Arial"/>
        </w:rPr>
        <w:t>).</w:t>
      </w:r>
      <w:r w:rsidR="6FD25CDE" w:rsidRPr="28A4995B">
        <w:rPr>
          <w:rFonts w:eastAsia="Arial" w:cs="Arial"/>
        </w:rPr>
        <w:t xml:space="preserve"> </w:t>
      </w:r>
      <w:r w:rsidR="49C4E04C" w:rsidRPr="28A4995B">
        <w:rPr>
          <w:rFonts w:eastAsia="Arial" w:cs="Arial"/>
        </w:rPr>
        <w:t xml:space="preserve">Similarly, TESOL and other courses for overseas </w:t>
      </w:r>
      <w:r w:rsidR="00CB7136" w:rsidRPr="28A4995B">
        <w:rPr>
          <w:rFonts w:eastAsia="Arial" w:cs="Arial"/>
        </w:rPr>
        <w:t>s</w:t>
      </w:r>
      <w:r w:rsidR="49C4E04C" w:rsidRPr="28A4995B">
        <w:rPr>
          <w:rFonts w:eastAsia="Arial" w:cs="Arial"/>
        </w:rPr>
        <w:t>tudent</w:t>
      </w:r>
      <w:r w:rsidR="62EC74C6" w:rsidRPr="28A4995B">
        <w:rPr>
          <w:rFonts w:eastAsia="Arial" w:cs="Arial"/>
        </w:rPr>
        <w:t>s</w:t>
      </w:r>
      <w:r w:rsidR="49C4E04C" w:rsidRPr="28A4995B">
        <w:rPr>
          <w:rFonts w:eastAsia="Arial" w:cs="Arial"/>
        </w:rPr>
        <w:t xml:space="preserve"> are regulated</w:t>
      </w:r>
      <w:r w:rsidR="51F60E77" w:rsidRPr="28A4995B">
        <w:rPr>
          <w:rFonts w:eastAsia="Arial" w:cs="Arial"/>
        </w:rPr>
        <w:t xml:space="preserve"> </w:t>
      </w:r>
      <w:r w:rsidR="77510787" w:rsidRPr="28A4995B">
        <w:rPr>
          <w:rFonts w:eastAsia="Arial" w:cs="Arial"/>
        </w:rPr>
        <w:t>by</w:t>
      </w:r>
      <w:r w:rsidR="2E2091DD" w:rsidRPr="28A4995B">
        <w:rPr>
          <w:rFonts w:eastAsia="Arial" w:cs="Arial"/>
        </w:rPr>
        <w:t xml:space="preserve"> the National ELT Accreditation Scheme (NEAS).</w:t>
      </w:r>
      <w:r w:rsidR="6651A636" w:rsidRPr="28A4995B">
        <w:rPr>
          <w:rFonts w:eastAsia="Arial" w:cs="Arial"/>
        </w:rPr>
        <w:t xml:space="preserve"> Dual sector institutions are also regulated by both TESQA and ASQA. However, t</w:t>
      </w:r>
      <w:r w:rsidR="131EEC4D" w:rsidRPr="28A4995B">
        <w:rPr>
          <w:rFonts w:eastAsia="Arial" w:cs="Arial"/>
        </w:rPr>
        <w:t xml:space="preserve">he RTO </w:t>
      </w:r>
      <w:r w:rsidR="007B42D3">
        <w:rPr>
          <w:rFonts w:eastAsia="Arial" w:cs="Arial"/>
        </w:rPr>
        <w:t>S</w:t>
      </w:r>
      <w:r w:rsidR="131EEC4D" w:rsidRPr="28A4995B">
        <w:rPr>
          <w:rFonts w:eastAsia="Arial" w:cs="Arial"/>
        </w:rPr>
        <w:t>tandards and the modern award</w:t>
      </w:r>
      <w:r w:rsidR="00565206" w:rsidRPr="28A4995B">
        <w:rPr>
          <w:rFonts w:eastAsia="Arial" w:cs="Arial"/>
        </w:rPr>
        <w:t xml:space="preserve">, </w:t>
      </w:r>
      <w:r w:rsidR="00B967D0">
        <w:rPr>
          <w:rFonts w:eastAsia="Arial" w:cs="Arial"/>
        </w:rPr>
        <w:t>including</w:t>
      </w:r>
      <w:r w:rsidR="00565206" w:rsidRPr="28A4995B">
        <w:rPr>
          <w:rFonts w:eastAsia="Arial" w:cs="Arial"/>
        </w:rPr>
        <w:t xml:space="preserve"> the diverse student cohort and provider context, have significant </w:t>
      </w:r>
      <w:r w:rsidR="00D960DA" w:rsidRPr="28A4995B">
        <w:rPr>
          <w:rFonts w:eastAsia="Arial" w:cs="Arial"/>
        </w:rPr>
        <w:t xml:space="preserve">and widespread </w:t>
      </w:r>
      <w:r w:rsidR="00565206" w:rsidRPr="28A4995B">
        <w:rPr>
          <w:rFonts w:eastAsia="Arial" w:cs="Arial"/>
        </w:rPr>
        <w:t>workforce implications.</w:t>
      </w:r>
    </w:p>
    <w:p w14:paraId="756AE5CF" w14:textId="666AA39E" w:rsidR="00687EEA" w:rsidRPr="002D4813" w:rsidRDefault="7ED1EDD3" w:rsidP="002D4813">
      <w:pPr>
        <w:pStyle w:val="Heading4"/>
      </w:pPr>
      <w:bookmarkStart w:id="60" w:name="_Toc333729090"/>
      <w:r w:rsidRPr="002D4813">
        <w:t xml:space="preserve">Teacher, Trainer and </w:t>
      </w:r>
      <w:r w:rsidR="00E40ECE">
        <w:t>A</w:t>
      </w:r>
      <w:r w:rsidRPr="002D4813">
        <w:t>ssessor qualification requirements under the</w:t>
      </w:r>
      <w:r w:rsidR="09010F20" w:rsidRPr="002D4813">
        <w:t xml:space="preserve"> RTO</w:t>
      </w:r>
      <w:r w:rsidRPr="002D4813">
        <w:t xml:space="preserve"> </w:t>
      </w:r>
      <w:r w:rsidR="000B795F">
        <w:t>S</w:t>
      </w:r>
      <w:r w:rsidRPr="002D4813">
        <w:t>tandards</w:t>
      </w:r>
      <w:bookmarkEnd w:id="60"/>
    </w:p>
    <w:p w14:paraId="7BBD7590" w14:textId="0EFA2CE4" w:rsidR="00687EEA" w:rsidRPr="00687EEA" w:rsidRDefault="00687EEA" w:rsidP="00E16D4F">
      <w:pPr>
        <w:pStyle w:val="Bodycopy"/>
      </w:pPr>
      <w:r w:rsidRPr="4D29DDFB">
        <w:t>There are three VET regulators in Australia</w:t>
      </w:r>
      <w:r w:rsidR="5C835286" w:rsidRPr="4D29DDFB">
        <w:t xml:space="preserve"> </w:t>
      </w:r>
      <w:r w:rsidR="0000395E">
        <w:t>–</w:t>
      </w:r>
      <w:r w:rsidR="63181EBB" w:rsidRPr="4D29DDFB">
        <w:t xml:space="preserve"> </w:t>
      </w:r>
      <w:r w:rsidR="267E3792" w:rsidRPr="4D29DDFB">
        <w:t>t</w:t>
      </w:r>
      <w:r w:rsidRPr="4D29DDFB">
        <w:t xml:space="preserve">he Australian Skills Quality Authority (ASQA) </w:t>
      </w:r>
      <w:r w:rsidR="4E4D73D2" w:rsidRPr="4D29DDFB">
        <w:t>i</w:t>
      </w:r>
      <w:r w:rsidRPr="4D29DDFB">
        <w:t>s the national VET regulator</w:t>
      </w:r>
      <w:r w:rsidR="00C5067A">
        <w:t xml:space="preserve">, </w:t>
      </w:r>
      <w:r w:rsidR="6D0E04F7" w:rsidRPr="4D29DDFB">
        <w:t>t</w:t>
      </w:r>
      <w:r w:rsidR="002F6B33" w:rsidRPr="4D29DDFB">
        <w:t xml:space="preserve">he Victorian Registration and Qualifications Authority </w:t>
      </w:r>
      <w:r w:rsidR="00C5067A">
        <w:t xml:space="preserve">(VRQA) </w:t>
      </w:r>
      <w:r w:rsidR="002F6B33" w:rsidRPr="4D29DDFB">
        <w:t>and the Western Australian Training and Accreditation Council</w:t>
      </w:r>
      <w:r w:rsidR="00C5067A">
        <w:t xml:space="preserve">. </w:t>
      </w:r>
      <w:r w:rsidR="00C5067A" w:rsidRPr="00C5067A">
        <w:t>All three register and regulate RTOs, that deliver training to domestic students in their respective states or in the case of ASQA nationally, and in VIC and WA if the RTO operates in various states, online or delivers to international students</w:t>
      </w:r>
      <w:r w:rsidRPr="4D29DDFB">
        <w:t>. As VET is a shared responsibility, national standards for the VET sector are agreed by the Australian</w:t>
      </w:r>
      <w:r w:rsidR="00552AC1" w:rsidRPr="4D29DDFB">
        <w:t>, and State and Territory</w:t>
      </w:r>
      <w:r w:rsidRPr="4D29DDFB">
        <w:t xml:space="preserve"> Government</w:t>
      </w:r>
      <w:r w:rsidR="00552AC1" w:rsidRPr="4D29DDFB">
        <w:t>s</w:t>
      </w:r>
      <w:r w:rsidR="4FB625BE" w:rsidRPr="4D29DDFB">
        <w:t xml:space="preserve"> and are enabled under the </w:t>
      </w:r>
      <w:r w:rsidR="4FB625BE" w:rsidRPr="4D29DDFB">
        <w:rPr>
          <w:i/>
          <w:iCs/>
        </w:rPr>
        <w:t>National Vocational Education and Training Regulator Act 2011</w:t>
      </w:r>
      <w:r w:rsidR="002836AE">
        <w:rPr>
          <w:i/>
          <w:iCs/>
        </w:rPr>
        <w:t xml:space="preserve"> </w:t>
      </w:r>
      <w:r w:rsidR="002836AE" w:rsidRPr="002836AE">
        <w:t>(Cth)</w:t>
      </w:r>
      <w:r w:rsidR="4FB625BE" w:rsidRPr="4D29DDFB">
        <w:t xml:space="preserve">. </w:t>
      </w:r>
      <w:r w:rsidR="00C5067A" w:rsidRPr="00C5067A">
        <w:t>This is the case in all states except Victoria where the VRQA has their own standards</w:t>
      </w:r>
      <w:r w:rsidR="00C5067A">
        <w:t>,</w:t>
      </w:r>
      <w:r w:rsidR="00C5067A" w:rsidRPr="00C5067A">
        <w:t xml:space="preserve"> but these are largely consistent with the RTO Standards.</w:t>
      </w:r>
      <w:r w:rsidR="00C5067A">
        <w:t xml:space="preserve"> </w:t>
      </w:r>
      <w:r w:rsidR="4FB625BE" w:rsidRPr="4D29DDFB">
        <w:t>The s</w:t>
      </w:r>
      <w:r w:rsidRPr="4D29DDFB">
        <w:t>tandards include: </w:t>
      </w:r>
    </w:p>
    <w:p w14:paraId="2E541272" w14:textId="4FDA9122" w:rsidR="00687EEA" w:rsidRPr="004A11A6" w:rsidRDefault="2AB329CF" w:rsidP="00D04786">
      <w:pPr>
        <w:pStyle w:val="ListBullet"/>
      </w:pPr>
      <w:r>
        <w:t>Standards for R</w:t>
      </w:r>
      <w:r w:rsidR="00C5067A">
        <w:t>egistered Training Organisations (R</w:t>
      </w:r>
      <w:r>
        <w:t>TOs</w:t>
      </w:r>
      <w:r w:rsidR="00C5067A">
        <w:t>)</w:t>
      </w:r>
      <w:r w:rsidR="00DC2182">
        <w:t xml:space="preserve"> </w:t>
      </w:r>
      <w:r>
        <w:t xml:space="preserve">2015 </w:t>
      </w:r>
      <w:r w:rsidR="6FD9A245">
        <w:t>(</w:t>
      </w:r>
      <w:r>
        <w:t>the RTO Standards); </w:t>
      </w:r>
    </w:p>
    <w:p w14:paraId="6A547701" w14:textId="77777777" w:rsidR="00687EEA" w:rsidRPr="004A11A6" w:rsidRDefault="2AB329CF" w:rsidP="00D04786">
      <w:pPr>
        <w:pStyle w:val="ListBullet"/>
      </w:pPr>
      <w:r>
        <w:t>Standards for Training Packages;  </w:t>
      </w:r>
    </w:p>
    <w:p w14:paraId="4566482A" w14:textId="77777777" w:rsidR="00687EEA" w:rsidRPr="004A11A6" w:rsidRDefault="2AB329CF" w:rsidP="00D04786">
      <w:pPr>
        <w:pStyle w:val="ListBullet"/>
      </w:pPr>
      <w:r>
        <w:t>Standards for VET Accredited Courses 2021; and </w:t>
      </w:r>
    </w:p>
    <w:p w14:paraId="7FEB552F" w14:textId="77777777" w:rsidR="00687EEA" w:rsidRPr="004A11A6" w:rsidRDefault="2AB329CF" w:rsidP="00D04786">
      <w:pPr>
        <w:pStyle w:val="ListBullet"/>
      </w:pPr>
      <w:r>
        <w:t>Standards for VET Regulators. </w:t>
      </w:r>
    </w:p>
    <w:p w14:paraId="601CC2AD" w14:textId="77777777" w:rsidR="00FE0428" w:rsidRDefault="00687EEA" w:rsidP="00E16D4F">
      <w:pPr>
        <w:pStyle w:val="Bodycopy"/>
      </w:pPr>
      <w:r>
        <w:lastRenderedPageBreak/>
        <w:t>For the purposes of this study, the RTO Standards</w:t>
      </w:r>
      <w:r w:rsidR="00380F72">
        <w:t xml:space="preserve"> </w:t>
      </w:r>
      <w:r w:rsidR="20A5A714">
        <w:t>s</w:t>
      </w:r>
      <w:r w:rsidR="45C7144D">
        <w:t>pecify the requirements for those delivering training and assessment in VET from a competency and qualification perspective</w:t>
      </w:r>
      <w:r w:rsidR="64C05D79">
        <w:t>. They also</w:t>
      </w:r>
      <w:r w:rsidR="00785634">
        <w:t xml:space="preserve"> </w:t>
      </w:r>
      <w:r w:rsidR="00C150A8">
        <w:t>set out the requirements to be a training provider</w:t>
      </w:r>
      <w:r w:rsidR="6497BA43">
        <w:t xml:space="preserve"> and</w:t>
      </w:r>
      <w:r w:rsidR="00C150A8">
        <w:t xml:space="preserve"> meet t</w:t>
      </w:r>
      <w:r w:rsidR="03443356">
        <w:t xml:space="preserve">raining package and accredited course standards. There are also standards focusing on </w:t>
      </w:r>
      <w:r w:rsidR="00C150A8">
        <w:t>ensur</w:t>
      </w:r>
      <w:r w:rsidR="3ADB99F5">
        <w:t>ing</w:t>
      </w:r>
      <w:r w:rsidR="00C150A8">
        <w:t xml:space="preserve"> consideration of learner’s needs</w:t>
      </w:r>
      <w:r w:rsidR="4FD562FA">
        <w:t xml:space="preserve"> and thus </w:t>
      </w:r>
      <w:r w:rsidR="67D22202">
        <w:t xml:space="preserve">have key workforce implications. </w:t>
      </w:r>
    </w:p>
    <w:p w14:paraId="561D0D1F" w14:textId="180DAFC4" w:rsidR="00687EEA" w:rsidRPr="00687EEA" w:rsidRDefault="00273BE8" w:rsidP="00E16D4F">
      <w:pPr>
        <w:pStyle w:val="Bodycopy"/>
      </w:pPr>
      <w:r>
        <w:t>Within Part 2 of the RTO Standards, clauses</w:t>
      </w:r>
      <w:r w:rsidR="00E72E0A">
        <w:t xml:space="preserve"> 1.13 to 1.24 specify the requirement</w:t>
      </w:r>
      <w:r w:rsidR="00E261CB">
        <w:t xml:space="preserve">s for those delivering training and assessment in VET. </w:t>
      </w:r>
      <w:r w:rsidR="00565206">
        <w:t>The</w:t>
      </w:r>
      <w:r w:rsidR="003A2886">
        <w:t>se</w:t>
      </w:r>
      <w:r w:rsidR="00565206">
        <w:t xml:space="preserve"> standards mandate that </w:t>
      </w:r>
      <w:r w:rsidR="00687EEA">
        <w:t>training and assessment is delivered only by people who have: </w:t>
      </w:r>
    </w:p>
    <w:p w14:paraId="338D3661" w14:textId="065FEA68" w:rsidR="00687EEA" w:rsidRPr="004A11A6" w:rsidRDefault="2AB329CF" w:rsidP="00D04786">
      <w:pPr>
        <w:pStyle w:val="ListBullet"/>
      </w:pPr>
      <w:r>
        <w:t>vocational competencies at least to the level being delivered and assessed</w:t>
      </w:r>
      <w:r w:rsidR="0082144D">
        <w:t>;</w:t>
      </w:r>
    </w:p>
    <w:p w14:paraId="4B6BF217" w14:textId="77777777" w:rsidR="00687EEA" w:rsidRPr="004A11A6" w:rsidRDefault="2AB329CF" w:rsidP="00D04786">
      <w:pPr>
        <w:pStyle w:val="ListBullet"/>
      </w:pPr>
      <w:r>
        <w:t>current industry skills directly relevant to the training and assessment being provided; and </w:t>
      </w:r>
    </w:p>
    <w:p w14:paraId="073347CE" w14:textId="77777777" w:rsidR="00687EEA" w:rsidRPr="004A11A6" w:rsidRDefault="2AB329CF" w:rsidP="00D04786">
      <w:pPr>
        <w:pStyle w:val="ListBullet"/>
      </w:pPr>
      <w:r>
        <w:t>current knowledge and skills in vocational training and learning that informs their training and assessment. </w:t>
      </w:r>
    </w:p>
    <w:p w14:paraId="608D6237" w14:textId="66BF526C" w:rsidR="00BB02C8" w:rsidRDefault="00565206" w:rsidP="002D4813">
      <w:pPr>
        <w:pStyle w:val="Bodycopy"/>
      </w:pPr>
      <w:r>
        <w:t xml:space="preserve">The </w:t>
      </w:r>
      <w:r w:rsidR="000646E6">
        <w:t>RTO S</w:t>
      </w:r>
      <w:r>
        <w:t xml:space="preserve">tandards effectively set the </w:t>
      </w:r>
      <w:r w:rsidRPr="6F42DF0D">
        <w:t xml:space="preserve">Certificate IV in Training and Assessment </w:t>
      </w:r>
      <w:r w:rsidR="00605D18">
        <w:t xml:space="preserve">(TAE) </w:t>
      </w:r>
      <w:r w:rsidRPr="6F42DF0D">
        <w:t>as the minimum teaching and assessment credential for VET</w:t>
      </w:r>
      <w:r w:rsidR="00DB536F">
        <w:t>, while recognising some alternatives</w:t>
      </w:r>
      <w:r w:rsidRPr="6F42DF0D">
        <w:t>.</w:t>
      </w:r>
      <w:r>
        <w:t xml:space="preserve"> However, they also give provision for teachers, trainers</w:t>
      </w:r>
      <w:r w:rsidR="00630B3A">
        <w:t>,</w:t>
      </w:r>
      <w:r>
        <w:t xml:space="preserve"> and </w:t>
      </w:r>
      <w:r w:rsidRPr="6F42DF0D">
        <w:t>assessor</w:t>
      </w:r>
      <w:r>
        <w:t xml:space="preserve">s to </w:t>
      </w:r>
      <w:r w:rsidRPr="00565206">
        <w:t>work</w:t>
      </w:r>
      <w:r w:rsidRPr="00565206">
        <w:rPr>
          <w:i/>
          <w:iCs/>
        </w:rPr>
        <w:t xml:space="preserve"> under the supervision </w:t>
      </w:r>
      <w:r w:rsidRPr="00565206">
        <w:t xml:space="preserve">of a qualified </w:t>
      </w:r>
      <w:r w:rsidR="00BB02C8">
        <w:t xml:space="preserve">VET teacher. There are also specific skill sets for those who are assessing only. These </w:t>
      </w:r>
      <w:r w:rsidR="00762E2D">
        <w:t xml:space="preserve">qualification </w:t>
      </w:r>
      <w:r w:rsidR="00BB02C8">
        <w:t xml:space="preserve">credentials, including the impact of the recent March 2024 changes to the RTO </w:t>
      </w:r>
      <w:r w:rsidR="00013ED2">
        <w:t>S</w:t>
      </w:r>
      <w:r w:rsidR="00BB02C8">
        <w:t xml:space="preserve">tandards are discussed in Chapter 3. </w:t>
      </w:r>
    </w:p>
    <w:p w14:paraId="0C1ED1C5" w14:textId="6C8611DD" w:rsidR="00687EEA" w:rsidRDefault="00762E2D" w:rsidP="002D4813">
      <w:pPr>
        <w:pStyle w:val="Bodycopy"/>
        <w:rPr>
          <w:rFonts w:eastAsia="SimSun" w:cs="Times New Roman"/>
          <w:lang w:val="en-GB" w:eastAsia="en-GB"/>
        </w:rPr>
      </w:pPr>
      <w:r>
        <w:t>O</w:t>
      </w:r>
      <w:r w:rsidR="00687EEA" w:rsidRPr="00687EEA">
        <w:t xml:space="preserve">ther </w:t>
      </w:r>
      <w:r w:rsidR="004F6A2E">
        <w:t>C</w:t>
      </w:r>
      <w:r w:rsidR="00687EEA" w:rsidRPr="00687EEA">
        <w:t xml:space="preserve">lauses in </w:t>
      </w:r>
      <w:r w:rsidR="003277C3">
        <w:t xml:space="preserve">the </w:t>
      </w:r>
      <w:r w:rsidR="00D75DD9">
        <w:t>RTO S</w:t>
      </w:r>
      <w:r w:rsidR="00687EEA" w:rsidRPr="00687EEA">
        <w:t xml:space="preserve">tandards </w:t>
      </w:r>
      <w:r>
        <w:t xml:space="preserve">also </w:t>
      </w:r>
      <w:r w:rsidR="00687EEA" w:rsidRPr="00687EEA">
        <w:t>set out an RTO’s obligations in</w:t>
      </w:r>
      <w:r>
        <w:t xml:space="preserve"> </w:t>
      </w:r>
      <w:r w:rsidR="00687EEA" w:rsidRPr="00687EEA">
        <w:t>implementing, monitoring</w:t>
      </w:r>
      <w:r w:rsidR="000477BB">
        <w:t>,</w:t>
      </w:r>
      <w:r w:rsidR="00687EEA" w:rsidRPr="00687EEA">
        <w:t xml:space="preserve"> and evaluating training and assessment strategies and practices; and engaging with industry. </w:t>
      </w:r>
      <w:r w:rsidR="6B868724">
        <w:t>Th</w:t>
      </w:r>
      <w:r>
        <w:t>e</w:t>
      </w:r>
      <w:r w:rsidR="6B868724">
        <w:t xml:space="preserve">se </w:t>
      </w:r>
      <w:r w:rsidR="004F6A2E">
        <w:t>C</w:t>
      </w:r>
      <w:r w:rsidR="2AB329CF" w:rsidRPr="00687EEA">
        <w:t xml:space="preserve">lauses focus less on individuals’ qualifications but place the responsibility on the RTO to ensure that </w:t>
      </w:r>
      <w:r w:rsidR="2AB329CF" w:rsidRPr="7AD33374">
        <w:rPr>
          <w:i/>
          <w:iCs/>
        </w:rPr>
        <w:t>collectively</w:t>
      </w:r>
      <w:r w:rsidR="2AB329CF" w:rsidRPr="00687EEA">
        <w:t xml:space="preserve"> the staff of the RTO have the range of capabilities, </w:t>
      </w:r>
      <w:r w:rsidR="6B868724" w:rsidRPr="00687EEA">
        <w:t>credentials,</w:t>
      </w:r>
      <w:r w:rsidR="2AB329CF" w:rsidRPr="00687EEA">
        <w:t xml:space="preserve"> and experience to</w:t>
      </w:r>
      <w:r w:rsidR="7855001D">
        <w:t xml:space="preserve"> </w:t>
      </w:r>
      <w:r w:rsidR="2AB329CF" w:rsidRPr="00687EEA">
        <w:t>ensure that assessment artefacts and teaching and learning strategies are appropriate</w:t>
      </w:r>
      <w:r w:rsidR="003277C3">
        <w:t xml:space="preserve">. </w:t>
      </w:r>
      <w:r w:rsidR="2AB329CF" w:rsidRPr="15966BA6">
        <w:rPr>
          <w:rFonts w:eastAsia="SimSun" w:cs="Times New Roman"/>
          <w:spacing w:val="-1"/>
          <w:lang w:val="en-GB" w:eastAsia="en-GB"/>
        </w:rPr>
        <w:t xml:space="preserve">The </w:t>
      </w:r>
      <w:r w:rsidR="00D505D5">
        <w:rPr>
          <w:rFonts w:eastAsia="SimSun" w:cs="Times New Roman"/>
          <w:spacing w:val="-1"/>
          <w:lang w:val="en-GB" w:eastAsia="en-GB"/>
        </w:rPr>
        <w:t>RTO S</w:t>
      </w:r>
      <w:r w:rsidR="2AB329CF" w:rsidRPr="15966BA6">
        <w:rPr>
          <w:rFonts w:eastAsia="SimSun" w:cs="Times New Roman"/>
          <w:spacing w:val="-1"/>
          <w:lang w:val="en-GB" w:eastAsia="en-GB"/>
        </w:rPr>
        <w:t xml:space="preserve">tandards also outline an RTO’s obligations to learners and clients, and rules </w:t>
      </w:r>
      <w:r w:rsidR="00A8582A">
        <w:rPr>
          <w:rFonts w:eastAsia="SimSun" w:cs="Times New Roman"/>
          <w:spacing w:val="-1"/>
          <w:lang w:val="en-GB" w:eastAsia="en-GB"/>
        </w:rPr>
        <w:t>about</w:t>
      </w:r>
      <w:r w:rsidR="00A8582A" w:rsidRPr="15966BA6">
        <w:rPr>
          <w:rFonts w:eastAsia="SimSun" w:cs="Times New Roman"/>
          <w:spacing w:val="-1"/>
          <w:lang w:val="en-GB" w:eastAsia="en-GB"/>
        </w:rPr>
        <w:t xml:space="preserve"> </w:t>
      </w:r>
      <w:r w:rsidR="2AB329CF" w:rsidRPr="15966BA6">
        <w:rPr>
          <w:rFonts w:eastAsia="SimSun" w:cs="Times New Roman"/>
          <w:spacing w:val="-1"/>
          <w:lang w:val="en-GB" w:eastAsia="en-GB"/>
        </w:rPr>
        <w:t>RTO governance and administration</w:t>
      </w:r>
      <w:r w:rsidR="354F0E51" w:rsidRPr="15966BA6">
        <w:rPr>
          <w:rFonts w:eastAsia="SimSun" w:cs="Times New Roman"/>
          <w:spacing w:val="-1"/>
          <w:lang w:val="en-GB" w:eastAsia="en-GB"/>
        </w:rPr>
        <w:t>,</w:t>
      </w:r>
      <w:r w:rsidR="7855001D" w:rsidRPr="15966BA6">
        <w:rPr>
          <w:rFonts w:eastAsia="SimSun" w:cs="Times New Roman"/>
          <w:spacing w:val="-1"/>
          <w:lang w:val="en-GB" w:eastAsia="en-GB"/>
        </w:rPr>
        <w:t xml:space="preserve"> which have more </w:t>
      </w:r>
      <w:r>
        <w:rPr>
          <w:rFonts w:eastAsia="SimSun" w:cs="Times New Roman"/>
          <w:spacing w:val="-1"/>
          <w:lang w:val="en-GB" w:eastAsia="en-GB"/>
        </w:rPr>
        <w:t>indirect</w:t>
      </w:r>
      <w:r w:rsidR="7855001D" w:rsidRPr="15966BA6">
        <w:rPr>
          <w:rFonts w:eastAsia="SimSun" w:cs="Times New Roman"/>
          <w:spacing w:val="-1"/>
          <w:lang w:val="en-GB" w:eastAsia="en-GB"/>
        </w:rPr>
        <w:t xml:space="preserve"> workforce implications as they shape the workplac</w:t>
      </w:r>
      <w:r>
        <w:rPr>
          <w:rFonts w:eastAsia="SimSun" w:cs="Times New Roman"/>
          <w:spacing w:val="-1"/>
          <w:lang w:val="en-GB" w:eastAsia="en-GB"/>
        </w:rPr>
        <w:t xml:space="preserve">es </w:t>
      </w:r>
      <w:r w:rsidR="00CC6D50">
        <w:rPr>
          <w:rFonts w:eastAsia="SimSun" w:cs="Times New Roman"/>
          <w:spacing w:val="-1"/>
          <w:lang w:val="en-GB" w:eastAsia="en-GB"/>
        </w:rPr>
        <w:t>VET teachers</w:t>
      </w:r>
      <w:r w:rsidR="4996F8F5" w:rsidRPr="15966BA6">
        <w:rPr>
          <w:rFonts w:eastAsia="SimSun" w:cs="Times New Roman"/>
          <w:spacing w:val="-1"/>
          <w:lang w:val="en-GB" w:eastAsia="en-GB"/>
        </w:rPr>
        <w:t xml:space="preserve">, </w:t>
      </w:r>
      <w:r>
        <w:rPr>
          <w:rFonts w:eastAsia="SimSun" w:cs="Times New Roman"/>
          <w:spacing w:val="-1"/>
          <w:lang w:val="en-GB" w:eastAsia="en-GB"/>
        </w:rPr>
        <w:t>t</w:t>
      </w:r>
      <w:r w:rsidR="4996F8F5" w:rsidRPr="15966BA6">
        <w:rPr>
          <w:rFonts w:eastAsia="SimSun" w:cs="Times New Roman"/>
          <w:spacing w:val="-1"/>
          <w:lang w:val="en-GB" w:eastAsia="en-GB"/>
        </w:rPr>
        <w:t xml:space="preserve">rainers and </w:t>
      </w:r>
      <w:r>
        <w:rPr>
          <w:rFonts w:eastAsia="SimSun" w:cs="Times New Roman"/>
          <w:spacing w:val="-1"/>
          <w:lang w:val="en-GB" w:eastAsia="en-GB"/>
        </w:rPr>
        <w:t>a</w:t>
      </w:r>
      <w:r w:rsidR="4996F8F5" w:rsidRPr="15966BA6">
        <w:rPr>
          <w:rFonts w:eastAsia="SimSun" w:cs="Times New Roman"/>
          <w:spacing w:val="-1"/>
          <w:lang w:val="en-GB" w:eastAsia="en-GB"/>
        </w:rPr>
        <w:t>ssessors are employed in.</w:t>
      </w:r>
      <w:r w:rsidR="7855001D" w:rsidRPr="15966BA6">
        <w:rPr>
          <w:rFonts w:eastAsia="SimSun" w:cs="Times New Roman"/>
          <w:spacing w:val="-1"/>
          <w:lang w:val="en-GB" w:eastAsia="en-GB"/>
        </w:rPr>
        <w:t xml:space="preserve"> </w:t>
      </w:r>
    </w:p>
    <w:p w14:paraId="75D5CC73" w14:textId="5B26528A" w:rsidR="00687EEA" w:rsidRPr="00B62B08" w:rsidRDefault="12A5F336" w:rsidP="002D4813">
      <w:pPr>
        <w:pStyle w:val="Heading4"/>
      </w:pPr>
      <w:bookmarkStart w:id="61" w:name="_Toc207622697"/>
      <w:r>
        <w:t xml:space="preserve">Award Coverage </w:t>
      </w:r>
      <w:r w:rsidR="1B43CB15">
        <w:t xml:space="preserve">and a </w:t>
      </w:r>
      <w:r w:rsidR="1B43CB15" w:rsidRPr="006F4154">
        <w:t>default career</w:t>
      </w:r>
      <w:r w:rsidR="1B43CB15">
        <w:t xml:space="preserve"> structure</w:t>
      </w:r>
      <w:bookmarkEnd w:id="61"/>
    </w:p>
    <w:p w14:paraId="6C10C0F7" w14:textId="6FD3C356" w:rsidR="00687EEA" w:rsidRPr="00B62B08" w:rsidRDefault="3C88201A" w:rsidP="00E16D4F">
      <w:pPr>
        <w:pStyle w:val="Bodycopy"/>
        <w:rPr>
          <w:lang w:val="en-GB"/>
        </w:rPr>
      </w:pPr>
      <w:r w:rsidRPr="240623B1">
        <w:rPr>
          <w:lang w:val="en-GB"/>
        </w:rPr>
        <w:t>T</w:t>
      </w:r>
      <w:r w:rsidR="75236EFC" w:rsidRPr="240623B1">
        <w:rPr>
          <w:lang w:val="en-GB"/>
        </w:rPr>
        <w:t xml:space="preserve">he Educational Services (Post-Secondary Education) </w:t>
      </w:r>
      <w:r w:rsidR="004C4377">
        <w:rPr>
          <w:lang w:val="en-GB"/>
        </w:rPr>
        <w:t xml:space="preserve">Modern </w:t>
      </w:r>
      <w:r w:rsidR="75236EFC" w:rsidRPr="240623B1">
        <w:rPr>
          <w:lang w:val="en-GB"/>
        </w:rPr>
        <w:t>Award 2020</w:t>
      </w:r>
      <w:r w:rsidR="2D1AEEFC" w:rsidRPr="240623B1">
        <w:rPr>
          <w:lang w:val="en-GB"/>
        </w:rPr>
        <w:t>,</w:t>
      </w:r>
      <w:r w:rsidR="75236EFC" w:rsidRPr="240623B1">
        <w:rPr>
          <w:lang w:val="en-GB"/>
        </w:rPr>
        <w:t xml:space="preserve"> introduced in 2010 created a common workforce stand</w:t>
      </w:r>
      <w:r w:rsidR="00D27FC3">
        <w:rPr>
          <w:lang w:val="en-GB"/>
        </w:rPr>
        <w:t>ard</w:t>
      </w:r>
      <w:r w:rsidR="75236EFC" w:rsidRPr="240623B1">
        <w:rPr>
          <w:lang w:val="en-GB"/>
        </w:rPr>
        <w:t xml:space="preserve"> for the ‘post-secondary educations services industry’</w:t>
      </w:r>
      <w:r w:rsidR="45C01E61" w:rsidRPr="240623B1">
        <w:rPr>
          <w:lang w:val="en-GB"/>
        </w:rPr>
        <w:t>,</w:t>
      </w:r>
      <w:r w:rsidR="75236EFC" w:rsidRPr="240623B1">
        <w:rPr>
          <w:lang w:val="en-GB"/>
        </w:rPr>
        <w:t xml:space="preserve"> a definition that encompasses: </w:t>
      </w:r>
    </w:p>
    <w:p w14:paraId="670FA928" w14:textId="0C3CA4C7" w:rsidR="00687EEA" w:rsidRPr="00DA63A6" w:rsidRDefault="40FC754D" w:rsidP="00D04786">
      <w:pPr>
        <w:pStyle w:val="ListBullet"/>
      </w:pPr>
      <w:r>
        <w:t>VET teaching leading to qualifications recognised within the Australian Qualifications Framework</w:t>
      </w:r>
      <w:r w:rsidR="047EB9C2">
        <w:t xml:space="preserve"> (AQF)</w:t>
      </w:r>
      <w:r w:rsidR="53CDAF20">
        <w:t>;</w:t>
      </w:r>
    </w:p>
    <w:p w14:paraId="182CB493" w14:textId="5368AB03" w:rsidR="00687EEA" w:rsidRPr="00DA63A6" w:rsidRDefault="40FC754D" w:rsidP="00D04786">
      <w:pPr>
        <w:pStyle w:val="ListBullet"/>
      </w:pPr>
      <w:r>
        <w:t>English language teaching, including to international students and migrants</w:t>
      </w:r>
      <w:r w:rsidR="083062D4">
        <w:t>;</w:t>
      </w:r>
    </w:p>
    <w:p w14:paraId="35F4CC33" w14:textId="7C362766" w:rsidR="00687EEA" w:rsidRPr="00DA63A6" w:rsidRDefault="40FC754D" w:rsidP="00D04786">
      <w:pPr>
        <w:pStyle w:val="ListBullet"/>
      </w:pPr>
      <w:r>
        <w:t>language, literacy and numeracy teaching</w:t>
      </w:r>
      <w:r w:rsidR="083062D4">
        <w:t>;</w:t>
      </w:r>
      <w:r>
        <w:t xml:space="preserve"> </w:t>
      </w:r>
    </w:p>
    <w:p w14:paraId="21EFC220" w14:textId="05725A60" w:rsidR="00687EEA" w:rsidRPr="00DA63A6" w:rsidRDefault="40FC754D" w:rsidP="00D04786">
      <w:pPr>
        <w:pStyle w:val="ListBullet"/>
      </w:pPr>
      <w:r>
        <w:t>community and adult education teaching not leading to AQF qualifications</w:t>
      </w:r>
      <w:r w:rsidR="309EA6ED">
        <w:t>; and</w:t>
      </w:r>
    </w:p>
    <w:p w14:paraId="51AEAF0B" w14:textId="774C6323" w:rsidR="00687EEA" w:rsidRPr="00DA63A6" w:rsidRDefault="40FC754D" w:rsidP="00D04786">
      <w:pPr>
        <w:pStyle w:val="ListBullet"/>
      </w:pPr>
      <w:r>
        <w:t xml:space="preserve">undergraduate and postgraduate teaching leading to higher education degrees, except </w:t>
      </w:r>
      <w:bookmarkStart w:id="62" w:name="_Int_BIsVnagK"/>
      <w:r w:rsidR="5AC5F2EA">
        <w:t>where</w:t>
      </w:r>
      <w:bookmarkEnd w:id="62"/>
      <w:r w:rsidR="5AC5F2EA">
        <w:t xml:space="preserve"> taught</w:t>
      </w:r>
      <w:r>
        <w:t xml:space="preserve"> in a university.</w:t>
      </w:r>
    </w:p>
    <w:p w14:paraId="23AA126D" w14:textId="77777777" w:rsidR="007A502F" w:rsidRDefault="007A502F">
      <w:pPr>
        <w:rPr>
          <w:spacing w:val="2"/>
          <w:lang w:val="en-GB"/>
        </w:rPr>
      </w:pPr>
      <w:r>
        <w:rPr>
          <w:lang w:val="en-GB"/>
        </w:rPr>
        <w:br w:type="page"/>
      </w:r>
    </w:p>
    <w:p w14:paraId="61F7ED68" w14:textId="69F2D389" w:rsidR="002A24C7" w:rsidRDefault="002A24C7" w:rsidP="00C220E2">
      <w:pPr>
        <w:pStyle w:val="Bodycopy"/>
        <w:rPr>
          <w:lang w:val="en-GB"/>
        </w:rPr>
      </w:pPr>
      <w:r w:rsidRPr="002A24C7">
        <w:rPr>
          <w:lang w:val="en-GB"/>
        </w:rPr>
        <w:lastRenderedPageBreak/>
        <w:t>Prior to the commencement of the modern award, employment conditions for the VET workforce employed by TAFE institutes and schools were extensively regulated by their respective awards and enterprise agreements but comparatively less regulation of the VET workforce in other RTO types. The award in effect established a default career structure for VET teachers in the growing private sector, something long called for and elaborated on in this study when introducing our occupational framework.</w:t>
      </w:r>
    </w:p>
    <w:p w14:paraId="6EE61F9B" w14:textId="22F311A0" w:rsidR="00687EEA" w:rsidRPr="00B62B08" w:rsidRDefault="0E6C0F12" w:rsidP="00C220E2">
      <w:pPr>
        <w:pStyle w:val="Bodycopy"/>
        <w:rPr>
          <w:lang w:val="en-GB"/>
        </w:rPr>
      </w:pPr>
      <w:r w:rsidRPr="4D29DDFB">
        <w:rPr>
          <w:lang w:val="en-GB"/>
        </w:rPr>
        <w:t xml:space="preserve">The award features a classification scale for academic teachers, teachers, and tutor/instructors. This represented a big change when enacted in 2010. For the first time, there was a national classifications standard that required </w:t>
      </w:r>
      <w:r w:rsidR="22730BC0" w:rsidRPr="4D29DDFB">
        <w:rPr>
          <w:lang w:val="en-GB"/>
        </w:rPr>
        <w:t>RTOs</w:t>
      </w:r>
      <w:r w:rsidRPr="4D29DDFB">
        <w:rPr>
          <w:lang w:val="en-GB"/>
        </w:rPr>
        <w:t xml:space="preserve"> to consider the qualifications of teaching and training staff when determining their minimum pay. </w:t>
      </w:r>
    </w:p>
    <w:p w14:paraId="3FF6653A" w14:textId="2891AC9C" w:rsidR="00687EEA" w:rsidRPr="00B62B08" w:rsidRDefault="0E6C0F12" w:rsidP="00C220E2">
      <w:pPr>
        <w:pStyle w:val="Bodycopy"/>
        <w:rPr>
          <w:lang w:val="en-GB"/>
        </w:rPr>
      </w:pPr>
      <w:r w:rsidRPr="4D29DDFB">
        <w:rPr>
          <w:lang w:val="en-GB"/>
        </w:rPr>
        <w:t xml:space="preserve">The award contains two classification structures for teaching and training staff and a separate scale for non-teaching (general) staff. </w:t>
      </w:r>
      <w:r w:rsidR="10E6886B" w:rsidRPr="4D29DDFB">
        <w:rPr>
          <w:lang w:val="en-GB"/>
        </w:rPr>
        <w:t xml:space="preserve">Like the RTO </w:t>
      </w:r>
      <w:r w:rsidR="008A18E8">
        <w:rPr>
          <w:lang w:val="en-GB"/>
        </w:rPr>
        <w:t>S</w:t>
      </w:r>
      <w:r w:rsidR="10E6886B" w:rsidRPr="4D29DDFB">
        <w:rPr>
          <w:lang w:val="en-GB"/>
        </w:rPr>
        <w:t xml:space="preserve">tandards, the award also includes provisions for classifying employees working in teaching, training or assessing roles (the language used in the award is “Academic Teachers” and “Teachers and Tutor/instructors”) based on experience, responsibilities and level of qualifications held. </w:t>
      </w:r>
      <w:r w:rsidR="576BD4D2" w:rsidRPr="4D29DDFB">
        <w:rPr>
          <w:lang w:val="en-GB"/>
        </w:rPr>
        <w:t>Pay is determined by these variables</w:t>
      </w:r>
      <w:r w:rsidR="335E8101" w:rsidRPr="4D29DDFB">
        <w:rPr>
          <w:lang w:val="en-GB"/>
        </w:rPr>
        <w:t xml:space="preserve"> and whether they are delivering a course of study that is recognised within the AQF. Teachers are employees: </w:t>
      </w:r>
    </w:p>
    <w:p w14:paraId="70D4218D" w14:textId="6EE98214" w:rsidR="00687EEA" w:rsidRPr="00936768" w:rsidRDefault="335E8101" w:rsidP="00C220E2">
      <w:pPr>
        <w:pStyle w:val="Quote"/>
        <w:spacing w:line="300" w:lineRule="exact"/>
      </w:pPr>
      <w:r w:rsidRPr="00936768">
        <w:t>engaged to teach students where a teaching qualification is mandatory or required by the employer, and where the work required involves teaching a course … within or pursuant to the AQF or accredited by a relevant state or territory authority.</w:t>
      </w:r>
      <w:r w:rsidR="001B0E95" w:rsidRPr="00936768">
        <w:rPr>
          <w:rStyle w:val="EndnoteReference"/>
        </w:rPr>
        <w:endnoteReference w:id="14"/>
      </w:r>
    </w:p>
    <w:p w14:paraId="5FD18A9F" w14:textId="77777777" w:rsidR="00A268F0" w:rsidRDefault="00A268F0" w:rsidP="00C220E2">
      <w:pPr>
        <w:pStyle w:val="Bodycopy"/>
        <w:rPr>
          <w:lang w:val="en-GB"/>
        </w:rPr>
      </w:pPr>
      <w:r w:rsidRPr="00A268F0">
        <w:rPr>
          <w:lang w:val="en-GB"/>
        </w:rPr>
        <w:t>Under the award, a ‘tutor/instructor’ is someone engaged to provide tutoring or instruction in a course that is not accredited under the AQF, or by a relevant state or territory authority. Within their classification, teachers and tutors/instructors covered by the award are eligible to move to the next pay point after 12 months service, subject to a satisfactory performance review.</w:t>
      </w:r>
    </w:p>
    <w:p w14:paraId="675723C6" w14:textId="38102E6B" w:rsidR="00687EEA" w:rsidRPr="00B62B08" w:rsidRDefault="5F876CED" w:rsidP="00C220E2">
      <w:pPr>
        <w:pStyle w:val="Bodycopy"/>
        <w:rPr>
          <w:lang w:val="en-GB"/>
        </w:rPr>
      </w:pPr>
      <w:r w:rsidRPr="69079AD4">
        <w:rPr>
          <w:lang w:val="en-GB"/>
        </w:rPr>
        <w:t>The provisions for General Staff in the Educational Services Award aligns classifications with experience, responsibilities and level of classification but are more indicative, such as providing examples for technical assistant, administrative, and professional roles.</w:t>
      </w:r>
      <w:r w:rsidR="29FF53BD" w:rsidRPr="69079AD4">
        <w:rPr>
          <w:lang w:val="en-GB"/>
        </w:rPr>
        <w:t xml:space="preserve"> This contrasts with higher education where there are two different awards for academic and general staff. </w:t>
      </w:r>
    </w:p>
    <w:p w14:paraId="3D416DC9" w14:textId="2995E1EA" w:rsidR="00961D3A" w:rsidRDefault="5F876CED" w:rsidP="00961D3A">
      <w:pPr>
        <w:pStyle w:val="Bodycopy"/>
      </w:pPr>
      <w:r w:rsidRPr="69079AD4">
        <w:t>Through the award, teachers, tutors and instructors moving between RTO</w:t>
      </w:r>
      <w:r w:rsidR="00FE57F0">
        <w:t>s</w:t>
      </w:r>
      <w:r w:rsidRPr="69079AD4">
        <w:t xml:space="preserve"> have a common basis upon which to have their experience recognised. When implemented, it was expected that in time, the award structure may help to build the occupational identity of the VET workforce and be a prompt for further skills development</w:t>
      </w:r>
      <w:r w:rsidR="00582328">
        <w:t>.</w:t>
      </w:r>
      <w:r w:rsidR="00630B3A">
        <w:rPr>
          <w:rStyle w:val="EndnoteReference"/>
        </w:rPr>
        <w:endnoteReference w:id="15"/>
      </w:r>
      <w:r w:rsidR="00582328">
        <w:t xml:space="preserve"> </w:t>
      </w:r>
      <w:r w:rsidR="1E5A7FAE" w:rsidRPr="69079AD4">
        <w:t xml:space="preserve">Moreover, whilst most of the VET workforce is covered by enterprise agreements, especially in public TAFE providers, award dependence is likely higher in private RTO providers. </w:t>
      </w:r>
    </w:p>
    <w:p w14:paraId="12D640F0" w14:textId="5BCF2311" w:rsidR="00C220E2" w:rsidRDefault="1E5A7FAE" w:rsidP="00961D3A">
      <w:pPr>
        <w:pStyle w:val="Bodycopy"/>
      </w:pPr>
      <w:r w:rsidRPr="69079AD4">
        <w:t>The operation of the Better Off Overall Test in enterprise bargaining also means that the classification structure and employment conditions in the award ensure relevance to overall VET workforce pay and conditions</w:t>
      </w:r>
      <w:r w:rsidR="00714FE2">
        <w:t>, even in RTOs that pay wages above the minimum rates set by the award</w:t>
      </w:r>
      <w:r w:rsidRPr="69079AD4">
        <w:t>.</w:t>
      </w:r>
    </w:p>
    <w:p w14:paraId="34812050" w14:textId="77777777" w:rsidR="00C220E2" w:rsidRDefault="00C220E2">
      <w:pPr>
        <w:rPr>
          <w:spacing w:val="2"/>
        </w:rPr>
      </w:pPr>
      <w:r>
        <w:br w:type="page"/>
      </w:r>
    </w:p>
    <w:p w14:paraId="1BD3ED3A" w14:textId="2B0CAD6E" w:rsidR="008F75E2" w:rsidRDefault="32258A55" w:rsidP="008F75E2">
      <w:pPr>
        <w:pStyle w:val="Heading2"/>
      </w:pPr>
      <w:bookmarkStart w:id="63" w:name="_Toc1540278382"/>
      <w:bookmarkStart w:id="64" w:name="_Toc1149462495"/>
      <w:bookmarkStart w:id="65" w:name="_Toc1984818118"/>
      <w:bookmarkStart w:id="66" w:name="_Toc772667135"/>
      <w:bookmarkStart w:id="67" w:name="_Toc1593277851"/>
      <w:bookmarkStart w:id="68" w:name="_Toc176770977"/>
      <w:r>
        <w:lastRenderedPageBreak/>
        <w:t xml:space="preserve">Report </w:t>
      </w:r>
      <w:r w:rsidR="4E85F92D">
        <w:t>s</w:t>
      </w:r>
      <w:r>
        <w:t>tructure</w:t>
      </w:r>
      <w:bookmarkEnd w:id="63"/>
      <w:bookmarkEnd w:id="64"/>
      <w:bookmarkEnd w:id="65"/>
      <w:bookmarkEnd w:id="66"/>
      <w:bookmarkEnd w:id="67"/>
      <w:bookmarkEnd w:id="68"/>
    </w:p>
    <w:p w14:paraId="03C6CB6D" w14:textId="2C592282" w:rsidR="002F4F9D" w:rsidRPr="00E5087D" w:rsidRDefault="002F4F9D" w:rsidP="001A3648">
      <w:pPr>
        <w:pStyle w:val="Bodycopy"/>
        <w:spacing w:after="240"/>
      </w:pPr>
      <w:r>
        <w:t xml:space="preserve">This report is organised into </w:t>
      </w:r>
      <w:r w:rsidR="1B812D55">
        <w:t>5</w:t>
      </w:r>
      <w:r>
        <w:t xml:space="preserve"> chapters that explore different elements of the study.</w:t>
      </w:r>
    </w:p>
    <w:p w14:paraId="7C76C7C5" w14:textId="122FE832" w:rsidR="002F4F9D" w:rsidRDefault="002F4F9D" w:rsidP="001A3648">
      <w:pPr>
        <w:pStyle w:val="Bodycopy"/>
        <w:spacing w:before="120" w:after="240"/>
        <w:rPr>
          <w:rFonts w:eastAsiaTheme="majorEastAsia" w:cstheme="majorBidi"/>
        </w:rPr>
      </w:pPr>
      <w:bookmarkStart w:id="69" w:name="_Hlk161328742"/>
      <w:r w:rsidRPr="00E5087D">
        <w:rPr>
          <w:b/>
          <w:bCs/>
        </w:rPr>
        <w:t xml:space="preserve">Chapter 1: </w:t>
      </w:r>
      <w:r w:rsidR="25F92908" w:rsidRPr="00E5087D">
        <w:rPr>
          <w:b/>
          <w:bCs/>
        </w:rPr>
        <w:t xml:space="preserve">The </w:t>
      </w:r>
      <w:r w:rsidR="00277B5A">
        <w:rPr>
          <w:b/>
          <w:bCs/>
        </w:rPr>
        <w:t>S</w:t>
      </w:r>
      <w:r w:rsidRPr="00E5087D">
        <w:rPr>
          <w:b/>
          <w:bCs/>
        </w:rPr>
        <w:t>tudy</w:t>
      </w:r>
      <w:r w:rsidR="0BB23205" w:rsidRPr="00E5087D">
        <w:rPr>
          <w:b/>
          <w:bCs/>
        </w:rPr>
        <w:t xml:space="preserve"> </w:t>
      </w:r>
      <w:r w:rsidR="000156A7">
        <w:t>p</w:t>
      </w:r>
      <w:r w:rsidRPr="00E5087D">
        <w:t xml:space="preserve">rovides the study’s purpose, </w:t>
      </w:r>
      <w:r w:rsidR="00E67648">
        <w:t xml:space="preserve">scope and </w:t>
      </w:r>
      <w:r w:rsidRPr="00E5087D">
        <w:t>approach</w:t>
      </w:r>
      <w:r w:rsidR="00E67648">
        <w:t xml:space="preserve"> </w:t>
      </w:r>
      <w:r w:rsidR="002206A9">
        <w:t xml:space="preserve">including </w:t>
      </w:r>
      <w:r w:rsidR="009B710C">
        <w:t xml:space="preserve">limitations with </w:t>
      </w:r>
      <w:r w:rsidR="00E67648">
        <w:t>existing workforc</w:t>
      </w:r>
      <w:r w:rsidR="002206A9">
        <w:t>e d</w:t>
      </w:r>
      <w:r w:rsidR="009B710C">
        <w:t xml:space="preserve">ata. It </w:t>
      </w:r>
      <w:r w:rsidR="5AA40EBF">
        <w:t>introduces</w:t>
      </w:r>
      <w:r w:rsidR="52054E8E">
        <w:t xml:space="preserve"> the VET workforce taxonomy </w:t>
      </w:r>
      <w:r w:rsidR="009B710C">
        <w:t>and contextualises the market and regulatory context of the sector, highlighting the key workforce implications of both.</w:t>
      </w:r>
    </w:p>
    <w:p w14:paraId="70009FBF" w14:textId="0387A68C" w:rsidR="4E91D4E9" w:rsidRDefault="4E91D4E9" w:rsidP="001A3648">
      <w:pPr>
        <w:pStyle w:val="Bodycopy"/>
        <w:spacing w:after="240"/>
      </w:pPr>
      <w:r w:rsidRPr="70E2BD6D">
        <w:rPr>
          <w:b/>
          <w:bCs/>
        </w:rPr>
        <w:t>Chapter 2: Understanding the workforce</w:t>
      </w:r>
      <w:r w:rsidR="000156A7">
        <w:t xml:space="preserve"> p</w:t>
      </w:r>
      <w:r>
        <w:t xml:space="preserve">rofiles </w:t>
      </w:r>
      <w:r w:rsidRPr="70E2BD6D">
        <w:t xml:space="preserve">the demographic, employment and geographic characteristics of the workforce using the taxonomy </w:t>
      </w:r>
      <w:r w:rsidR="00082AA6" w:rsidRPr="70E2BD6D">
        <w:t>as an analytical framework</w:t>
      </w:r>
      <w:r w:rsidRPr="70E2BD6D">
        <w:t xml:space="preserve"> to offer a new understanding of existing</w:t>
      </w:r>
      <w:r w:rsidR="00082AA6" w:rsidRPr="70E2BD6D">
        <w:t xml:space="preserve"> VET workforce data. </w:t>
      </w:r>
      <w:r w:rsidR="00DC25F6" w:rsidRPr="70E2BD6D">
        <w:t xml:space="preserve">It also includes a national TAFE workforce profile and a case study on dual sector </w:t>
      </w:r>
      <w:r w:rsidR="432B1BB9" w:rsidRPr="70E2BD6D">
        <w:t>inst</w:t>
      </w:r>
      <w:r w:rsidR="00480CF3" w:rsidRPr="70E2BD6D">
        <w:t>it</w:t>
      </w:r>
      <w:r w:rsidR="432B1BB9" w:rsidRPr="70E2BD6D">
        <w:t>utions</w:t>
      </w:r>
      <w:r w:rsidR="00DC25F6" w:rsidRPr="70E2BD6D">
        <w:t xml:space="preserve">. Through the analysis, we identify the key data gaps in existing workforce data </w:t>
      </w:r>
      <w:r w:rsidR="16006B45" w:rsidRPr="70E2BD6D">
        <w:t>and provide a suite of</w:t>
      </w:r>
      <w:r w:rsidR="00DC25F6" w:rsidRPr="70E2BD6D">
        <w:t xml:space="preserve"> </w:t>
      </w:r>
      <w:r w:rsidR="79656F55" w:rsidRPr="70E2BD6D">
        <w:t xml:space="preserve">future workforce data </w:t>
      </w:r>
      <w:r w:rsidR="00DC25F6" w:rsidRPr="70E2BD6D">
        <w:t xml:space="preserve">recommendations </w:t>
      </w:r>
      <w:r w:rsidR="748F0E2F" w:rsidRPr="70E2BD6D">
        <w:t>at the end of the chapter</w:t>
      </w:r>
      <w:r w:rsidR="00DC25F6" w:rsidRPr="70E2BD6D">
        <w:t>.</w:t>
      </w:r>
    </w:p>
    <w:p w14:paraId="571643D9" w14:textId="44CADA76" w:rsidR="002F4F9D" w:rsidRPr="00E5087D" w:rsidRDefault="4E91D4E9" w:rsidP="001A3648">
      <w:pPr>
        <w:pStyle w:val="Bodycopy"/>
        <w:spacing w:after="240"/>
      </w:pPr>
      <w:r w:rsidRPr="5A5D1FB2">
        <w:rPr>
          <w:b/>
          <w:bCs/>
        </w:rPr>
        <w:t xml:space="preserve">Chapter </w:t>
      </w:r>
      <w:r w:rsidR="5DB85D8C" w:rsidRPr="5A5D1FB2">
        <w:rPr>
          <w:b/>
          <w:bCs/>
        </w:rPr>
        <w:t>3</w:t>
      </w:r>
      <w:r w:rsidRPr="5A5D1FB2">
        <w:rPr>
          <w:b/>
          <w:bCs/>
        </w:rPr>
        <w:t>: Job Profiles and Pathways</w:t>
      </w:r>
      <w:r w:rsidR="000156A7">
        <w:t xml:space="preserve"> i</w:t>
      </w:r>
      <w:r w:rsidR="00082AA6">
        <w:t xml:space="preserve">ntroduces the occupational framework and outlines the key training pathways into VET before profiling key and emerging roles in the sector. These job profiles include an analysis of pathways and career progressions between job roles as well as taxonomy segments. </w:t>
      </w:r>
    </w:p>
    <w:p w14:paraId="014C05EA" w14:textId="66C0E4CA" w:rsidR="002F4F9D" w:rsidRPr="00E5087D" w:rsidRDefault="7463FCB7" w:rsidP="001A3648">
      <w:pPr>
        <w:pStyle w:val="Bodycopy"/>
        <w:spacing w:after="240"/>
        <w:rPr>
          <w:rFonts w:eastAsia="Arial" w:cs="Arial"/>
        </w:rPr>
      </w:pPr>
      <w:r w:rsidRPr="71BE244F">
        <w:rPr>
          <w:b/>
          <w:bCs/>
        </w:rPr>
        <w:t>Chapter 4</w:t>
      </w:r>
      <w:r w:rsidR="00095D91" w:rsidRPr="71BE244F">
        <w:rPr>
          <w:b/>
          <w:bCs/>
        </w:rPr>
        <w:t>:</w:t>
      </w:r>
      <w:r w:rsidRPr="71BE244F">
        <w:rPr>
          <w:b/>
          <w:bCs/>
        </w:rPr>
        <w:t xml:space="preserve"> Demand</w:t>
      </w:r>
      <w:r w:rsidR="00DC25F6" w:rsidRPr="71BE244F">
        <w:rPr>
          <w:b/>
          <w:bCs/>
        </w:rPr>
        <w:t xml:space="preserve"> and Supply </w:t>
      </w:r>
      <w:r w:rsidR="00095D91" w:rsidRPr="71BE244F">
        <w:rPr>
          <w:b/>
          <w:bCs/>
        </w:rPr>
        <w:t xml:space="preserve">Pipelines </w:t>
      </w:r>
      <w:r w:rsidR="000156A7">
        <w:t>a</w:t>
      </w:r>
      <w:r w:rsidRPr="71BE244F">
        <w:t>nalyses demand, supply and transitions</w:t>
      </w:r>
      <w:r w:rsidR="00996769" w:rsidRPr="71BE244F">
        <w:t xml:space="preserve"> </w:t>
      </w:r>
      <w:r w:rsidRPr="71BE244F">
        <w:t xml:space="preserve">in and out of the VET workforce. This chapter also </w:t>
      </w:r>
      <w:r w:rsidR="00082AA6" w:rsidRPr="71BE244F">
        <w:t xml:space="preserve">explores the </w:t>
      </w:r>
      <w:r w:rsidRPr="71BE244F">
        <w:t>training supply pipeline</w:t>
      </w:r>
      <w:r w:rsidR="00082AA6" w:rsidRPr="71BE244F">
        <w:t xml:space="preserve"> including graduate occupational outcomes and what the future VET workforce might look like</w:t>
      </w:r>
      <w:r w:rsidR="4311B261" w:rsidRPr="71BE244F">
        <w:t xml:space="preserve">. </w:t>
      </w:r>
      <w:r w:rsidR="5C3122ED" w:rsidRPr="71BE244F">
        <w:t xml:space="preserve">In the workforce transitions section, we look at the job mobility of </w:t>
      </w:r>
      <w:r w:rsidR="00CC6D50">
        <w:t>VET teachers</w:t>
      </w:r>
      <w:r w:rsidR="5C3122ED" w:rsidRPr="71BE244F">
        <w:t xml:space="preserve"> and </w:t>
      </w:r>
      <w:r w:rsidR="5C3122ED" w:rsidRPr="71BE244F">
        <w:rPr>
          <w:rFonts w:eastAsia="Arial" w:cs="Arial"/>
        </w:rPr>
        <w:t>add a new layer of analysis to the VET teacher skills shortages by identifying which oc</w:t>
      </w:r>
      <w:r w:rsidR="7DD1AB20" w:rsidRPr="71BE244F">
        <w:rPr>
          <w:rFonts w:eastAsia="Arial" w:cs="Arial"/>
        </w:rPr>
        <w:t xml:space="preserve">cupations </w:t>
      </w:r>
      <w:r w:rsidR="00CC6D50">
        <w:rPr>
          <w:rFonts w:eastAsia="Arial" w:cs="Arial"/>
        </w:rPr>
        <w:t>VET teachers</w:t>
      </w:r>
      <w:r w:rsidR="7DD1AB20" w:rsidRPr="71BE244F">
        <w:rPr>
          <w:rFonts w:eastAsia="Arial" w:cs="Arial"/>
        </w:rPr>
        <w:t xml:space="preserve"> come from and move on to. This includes insights on pay increases or decreases that align with these transitions and broader</w:t>
      </w:r>
      <w:r w:rsidR="5C3122ED" w:rsidRPr="71BE244F">
        <w:rPr>
          <w:rFonts w:eastAsia="Arial" w:cs="Arial"/>
        </w:rPr>
        <w:t xml:space="preserve"> </w:t>
      </w:r>
      <w:r w:rsidR="5C3122ED" w:rsidRPr="71BE244F">
        <w:rPr>
          <w:rFonts w:eastAsia="Arial" w:cs="Arial"/>
          <w:color w:val="auto"/>
        </w:rPr>
        <w:t>retention</w:t>
      </w:r>
      <w:r w:rsidR="007622EC" w:rsidRPr="71BE244F">
        <w:rPr>
          <w:rFonts w:eastAsia="Arial" w:cs="Arial"/>
          <w:color w:val="auto"/>
        </w:rPr>
        <w:t xml:space="preserve"> and</w:t>
      </w:r>
      <w:r w:rsidR="00EF3363" w:rsidRPr="71BE244F">
        <w:rPr>
          <w:rFonts w:eastAsia="Arial" w:cs="Arial"/>
          <w:color w:val="auto"/>
        </w:rPr>
        <w:t xml:space="preserve"> a</w:t>
      </w:r>
      <w:r w:rsidR="5C3122ED" w:rsidRPr="71BE244F">
        <w:rPr>
          <w:rFonts w:eastAsia="Arial" w:cs="Arial"/>
          <w:color w:val="auto"/>
        </w:rPr>
        <w:t>ttraction</w:t>
      </w:r>
      <w:r w:rsidR="007622EC" w:rsidRPr="71BE244F">
        <w:rPr>
          <w:rFonts w:eastAsia="Arial" w:cs="Arial"/>
          <w:color w:val="auto"/>
        </w:rPr>
        <w:t xml:space="preserve"> issues</w:t>
      </w:r>
      <w:r w:rsidR="5C3122ED" w:rsidRPr="71BE244F">
        <w:rPr>
          <w:rFonts w:eastAsia="Arial" w:cs="Arial"/>
          <w:color w:val="auto"/>
        </w:rPr>
        <w:t xml:space="preserve"> </w:t>
      </w:r>
      <w:r w:rsidR="5C3122ED" w:rsidRPr="71BE244F">
        <w:rPr>
          <w:rFonts w:eastAsia="Arial" w:cs="Arial"/>
        </w:rPr>
        <w:t>at play</w:t>
      </w:r>
      <w:r w:rsidR="360FF9EE" w:rsidRPr="71BE244F">
        <w:rPr>
          <w:rFonts w:eastAsia="Arial" w:cs="Arial"/>
        </w:rPr>
        <w:t xml:space="preserve">. </w:t>
      </w:r>
    </w:p>
    <w:p w14:paraId="3EB2C05B" w14:textId="2CD853C2" w:rsidR="00A268F0" w:rsidRDefault="7463FCB7" w:rsidP="00E16D4F">
      <w:pPr>
        <w:pStyle w:val="Bodycopy"/>
        <w:rPr>
          <w:rFonts w:eastAsiaTheme="majorEastAsia" w:cstheme="majorBidi"/>
        </w:rPr>
      </w:pPr>
      <w:r w:rsidRPr="00BD6488">
        <w:rPr>
          <w:b/>
          <w:bCs/>
        </w:rPr>
        <w:t xml:space="preserve">Chapter </w:t>
      </w:r>
      <w:r w:rsidR="00082AA6" w:rsidRPr="00BD6488">
        <w:rPr>
          <w:b/>
          <w:bCs/>
        </w:rPr>
        <w:t>5</w:t>
      </w:r>
      <w:r w:rsidRPr="00BD6488">
        <w:rPr>
          <w:b/>
          <w:bCs/>
        </w:rPr>
        <w:t>: Key Findings and Next Steps</w:t>
      </w:r>
      <w:r w:rsidRPr="4A808B01">
        <w:t xml:space="preserve"> </w:t>
      </w:r>
      <w:r w:rsidR="000156A7">
        <w:rPr>
          <w:rFonts w:eastAsiaTheme="majorEastAsia" w:cstheme="majorBidi"/>
        </w:rPr>
        <w:t>s</w:t>
      </w:r>
      <w:r w:rsidRPr="4A808B01">
        <w:rPr>
          <w:rFonts w:eastAsiaTheme="majorEastAsia" w:cstheme="majorBidi"/>
        </w:rPr>
        <w:t>ummarises our key finding</w:t>
      </w:r>
      <w:r w:rsidR="609C72AB" w:rsidRPr="4A808B01">
        <w:rPr>
          <w:rFonts w:eastAsiaTheme="majorEastAsia" w:cstheme="majorBidi"/>
        </w:rPr>
        <w:t>s</w:t>
      </w:r>
      <w:r w:rsidR="15C3783E" w:rsidRPr="4A808B01">
        <w:rPr>
          <w:rFonts w:eastAsiaTheme="majorEastAsia" w:cstheme="majorBidi"/>
        </w:rPr>
        <w:t>.</w:t>
      </w:r>
    </w:p>
    <w:p w14:paraId="021211F9" w14:textId="77777777" w:rsidR="00A268F0" w:rsidRDefault="00A268F0">
      <w:pPr>
        <w:rPr>
          <w:rFonts w:eastAsiaTheme="majorEastAsia" w:cstheme="majorBidi"/>
          <w:spacing w:val="2"/>
        </w:rPr>
      </w:pPr>
      <w:r>
        <w:rPr>
          <w:rFonts w:eastAsiaTheme="majorEastAsia" w:cstheme="majorBidi"/>
        </w:rPr>
        <w:br w:type="page"/>
      </w:r>
    </w:p>
    <w:p w14:paraId="0015C64C" w14:textId="5CF51C6B" w:rsidR="7C9C6C7B" w:rsidRDefault="7C9C6C7B" w:rsidP="4A808B01">
      <w:pPr>
        <w:pStyle w:val="Heading2"/>
      </w:pPr>
      <w:bookmarkStart w:id="70" w:name="_Toc1662205606"/>
      <w:bookmarkStart w:id="71" w:name="_Toc176770978"/>
      <w:r>
        <w:lastRenderedPageBreak/>
        <w:t xml:space="preserve">Summary of </w:t>
      </w:r>
      <w:r w:rsidR="28183711">
        <w:t>k</w:t>
      </w:r>
      <w:r>
        <w:t xml:space="preserve">ey </w:t>
      </w:r>
      <w:r w:rsidR="1E2262CE">
        <w:t>f</w:t>
      </w:r>
      <w:r>
        <w:t>indings</w:t>
      </w:r>
      <w:bookmarkEnd w:id="70"/>
      <w:bookmarkEnd w:id="71"/>
    </w:p>
    <w:p w14:paraId="23D7FF2F" w14:textId="6461E028" w:rsidR="3B52719E" w:rsidRDefault="3B52719E" w:rsidP="4A808B01">
      <w:pPr>
        <w:pStyle w:val="Heading3"/>
      </w:pPr>
      <w:r>
        <w:t>The diversity of the VET workforce means different policy levers and workforce strategies are needed.</w:t>
      </w:r>
    </w:p>
    <w:p w14:paraId="4A9D4BFC" w14:textId="34D10CD1" w:rsidR="6EA29CB8" w:rsidRPr="00BF0452" w:rsidRDefault="6EA29CB8" w:rsidP="007A502F">
      <w:pPr>
        <w:pStyle w:val="ListBullet"/>
      </w:pPr>
      <w:r w:rsidRPr="00BF0452">
        <w:t>Existing VET workforce data is limited and obscures future risk and</w:t>
      </w:r>
      <w:r w:rsidR="26C49F68" w:rsidRPr="00BF0452">
        <w:t xml:space="preserve"> opportunities for </w:t>
      </w:r>
      <w:r w:rsidR="73F826FF" w:rsidRPr="00BF0452">
        <w:t xml:space="preserve">an effective VET system to develop the workforce </w:t>
      </w:r>
      <w:r w:rsidR="00CB6DDD" w:rsidRPr="00BF0452">
        <w:t xml:space="preserve">of </w:t>
      </w:r>
      <w:r w:rsidR="73F826FF" w:rsidRPr="00BF0452">
        <w:t xml:space="preserve">the Australian economy. </w:t>
      </w:r>
    </w:p>
    <w:p w14:paraId="439808F0" w14:textId="21F8AFDD" w:rsidR="4445FE2A" w:rsidRPr="00BF0452" w:rsidRDefault="4445FE2A" w:rsidP="007A502F">
      <w:pPr>
        <w:pStyle w:val="ListBullet"/>
      </w:pPr>
      <w:r w:rsidRPr="00BF0452">
        <w:t xml:space="preserve">The </w:t>
      </w:r>
      <w:r w:rsidR="6EA29CB8" w:rsidRPr="00BF0452">
        <w:t>VET workforce taxonomy</w:t>
      </w:r>
      <w:r w:rsidR="22211C33" w:rsidRPr="00BF0452">
        <w:t xml:space="preserve">, job profiles and the </w:t>
      </w:r>
      <w:r w:rsidR="7CD0076F" w:rsidRPr="00BF0452">
        <w:t>initial</w:t>
      </w:r>
      <w:r w:rsidR="492B9C6E" w:rsidRPr="00BF0452">
        <w:t xml:space="preserve"> occupational framework</w:t>
      </w:r>
      <w:r w:rsidR="4F696637" w:rsidRPr="00BF0452">
        <w:t xml:space="preserve"> </w:t>
      </w:r>
      <w:r w:rsidR="308E4F77" w:rsidRPr="00BF0452">
        <w:t>sitting underneath the taxonomy will aid</w:t>
      </w:r>
      <w:r w:rsidR="2C3C03FE" w:rsidRPr="00BF0452">
        <w:t xml:space="preserve"> future workforce planning </w:t>
      </w:r>
      <w:r w:rsidR="69E2CD65" w:rsidRPr="00BF0452">
        <w:t>and are aimed at</w:t>
      </w:r>
      <w:r w:rsidR="2C3C03FE" w:rsidRPr="00BF0452">
        <w:t xml:space="preserve"> rais</w:t>
      </w:r>
      <w:r w:rsidR="755F813E" w:rsidRPr="00BF0452">
        <w:t>ing</w:t>
      </w:r>
      <w:r w:rsidR="2C3C03FE" w:rsidRPr="00BF0452">
        <w:t xml:space="preserve"> the status </w:t>
      </w:r>
      <w:r w:rsidR="1F9EC42A" w:rsidRPr="00BF0452">
        <w:t>of</w:t>
      </w:r>
      <w:r w:rsidR="2C3C03FE" w:rsidRPr="00BF0452">
        <w:t xml:space="preserve"> VET jobs</w:t>
      </w:r>
      <w:r w:rsidR="4C099B57" w:rsidRPr="00BF0452">
        <w:t xml:space="preserve"> and their diversity</w:t>
      </w:r>
      <w:r w:rsidR="6EA29CB8" w:rsidRPr="00BF0452">
        <w:t>.</w:t>
      </w:r>
    </w:p>
    <w:p w14:paraId="5A110AC9" w14:textId="02F08774" w:rsidR="6AD5EFD3" w:rsidRPr="00BF0452" w:rsidRDefault="6AD5EFD3" w:rsidP="007A502F">
      <w:pPr>
        <w:pStyle w:val="ListBullet"/>
      </w:pPr>
      <w:r w:rsidRPr="00BF0452">
        <w:t>The diversity of VET providers, student cohorts, funding and training offerings has direct implications for the VET workforce</w:t>
      </w:r>
      <w:r w:rsidR="4026AD17" w:rsidRPr="00BF0452">
        <w:t>. T</w:t>
      </w:r>
      <w:r w:rsidR="6EA29CB8" w:rsidRPr="00BF0452">
        <w:t xml:space="preserve">eaching roles differ across RTOs and need different supports and policy levers. Most teaching effort (by hours) are in training package qualifications and there is strong alignment between these, and occupations rated in skills shortages which has led to high and growing demand for </w:t>
      </w:r>
      <w:r w:rsidR="00CC6D50">
        <w:t>VET teachers</w:t>
      </w:r>
      <w:r w:rsidR="64E6E132" w:rsidRPr="00BF0452">
        <w:t xml:space="preserve">. </w:t>
      </w:r>
    </w:p>
    <w:p w14:paraId="10730C7D" w14:textId="66956647" w:rsidR="229CFAD1" w:rsidRDefault="229CFAD1" w:rsidP="4A808B01">
      <w:pPr>
        <w:pStyle w:val="Heading3"/>
        <w:rPr>
          <w:lang w:val="en-GB"/>
        </w:rPr>
      </w:pPr>
      <w:r w:rsidRPr="4A808B01">
        <w:t>High demand, low supply and training pipeline issues</w:t>
      </w:r>
    </w:p>
    <w:p w14:paraId="41E90063" w14:textId="07C37E6E" w:rsidR="6EA29CB8" w:rsidRPr="00BF0452" w:rsidRDefault="6EA29CB8" w:rsidP="007A502F">
      <w:pPr>
        <w:pStyle w:val="ListBullet"/>
      </w:pPr>
      <w:r w:rsidRPr="4A808B01">
        <w:t>VET teacher numbers have shrunk by between 11-18% over the last decade</w:t>
      </w:r>
      <w:r w:rsidR="1FE80FFC" w:rsidRPr="4A808B01">
        <w:t xml:space="preserve"> and training providers are struggling to attract suitable applicants to fill teacher vacancies, </w:t>
      </w:r>
      <w:r w:rsidR="1FE80FFC" w:rsidRPr="00BF0452">
        <w:t xml:space="preserve">with a lower vacancy fill rate than in universities, secondary and primary schools. </w:t>
      </w:r>
      <w:r w:rsidR="1FE80FFC" w:rsidRPr="00B7001D">
        <w:rPr>
          <w:rStyle w:val="BodycopyChar"/>
        </w:rPr>
        <w:t xml:space="preserve">Projections show </w:t>
      </w:r>
      <w:r w:rsidR="006218A3" w:rsidRPr="00B7001D">
        <w:rPr>
          <w:rStyle w:val="BodycopyChar"/>
        </w:rPr>
        <w:t>Australia</w:t>
      </w:r>
      <w:r w:rsidR="1FE80FFC" w:rsidRPr="00B7001D">
        <w:rPr>
          <w:rStyle w:val="BodycopyChar"/>
        </w:rPr>
        <w:t xml:space="preserve"> will need 3,800 more </w:t>
      </w:r>
      <w:r w:rsidR="00CC6D50">
        <w:rPr>
          <w:rStyle w:val="BodycopyChar"/>
        </w:rPr>
        <w:t>VET teachers</w:t>
      </w:r>
      <w:r w:rsidR="1FE80FFC" w:rsidRPr="00B7001D">
        <w:rPr>
          <w:rStyle w:val="BodycopyChar"/>
        </w:rPr>
        <w:t xml:space="preserve"> in the next five years.</w:t>
      </w:r>
      <w:r w:rsidR="1FE80FFC" w:rsidRPr="00BF0452">
        <w:t xml:space="preserve">  </w:t>
      </w:r>
    </w:p>
    <w:p w14:paraId="5AAB8080" w14:textId="62365DA3" w:rsidR="6EA29CB8" w:rsidRPr="00BF0452" w:rsidRDefault="6EA29CB8" w:rsidP="007A502F">
      <w:pPr>
        <w:pStyle w:val="ListBullet"/>
      </w:pPr>
      <w:r w:rsidRPr="00BF0452">
        <w:t>The training pipeline is shrinking but is not necessarily impacting supply as drastically as expected. Completions in the key VET teaching qualification (Certificate IV TAE) has fallen by almost 25% since 2016 but almost 70% of graduates are doing the qualification for their existing job.</w:t>
      </w:r>
    </w:p>
    <w:p w14:paraId="3D0C642A" w14:textId="7B7AC589" w:rsidR="6EA29CB8" w:rsidRPr="00BF0452" w:rsidRDefault="6EA29CB8" w:rsidP="007A502F">
      <w:pPr>
        <w:pStyle w:val="ListBullet"/>
      </w:pPr>
      <w:r w:rsidRPr="00BF0452">
        <w:t xml:space="preserve">Student outcomes survey data shows that only a small proportion of graduates are using the Certificate IV TAE to </w:t>
      </w:r>
      <w:r w:rsidR="000C4299" w:rsidRPr="00BF0452">
        <w:t xml:space="preserve">move </w:t>
      </w:r>
      <w:r w:rsidRPr="00BF0452">
        <w:t>into VET teaching roles.</w:t>
      </w:r>
    </w:p>
    <w:p w14:paraId="478AEEFD" w14:textId="4611124F" w:rsidR="6EA29CB8" w:rsidRPr="00BF0452" w:rsidRDefault="6EA29CB8" w:rsidP="007A502F">
      <w:pPr>
        <w:pStyle w:val="ListBullet"/>
        <w:ind w:right="-448"/>
      </w:pPr>
      <w:r>
        <w:t xml:space="preserve">Migration pathways are </w:t>
      </w:r>
      <w:r w:rsidR="00CB7DF5">
        <w:t xml:space="preserve">infrequently </w:t>
      </w:r>
      <w:r>
        <w:t xml:space="preserve">used for </w:t>
      </w:r>
      <w:r w:rsidR="00CC6D50">
        <w:t>VET teachers</w:t>
      </w:r>
      <w:r>
        <w:t xml:space="preserve"> due to constraints of dual qualifications but there are some </w:t>
      </w:r>
      <w:r w:rsidR="000A4E46">
        <w:t xml:space="preserve">visa </w:t>
      </w:r>
      <w:r>
        <w:t xml:space="preserve">options available, </w:t>
      </w:r>
      <w:r w:rsidR="5F09F6F1">
        <w:t>that</w:t>
      </w:r>
      <w:r>
        <w:t xml:space="preserve"> could offer a source of supply.</w:t>
      </w:r>
    </w:p>
    <w:p w14:paraId="3D87F561" w14:textId="50B706BB" w:rsidR="16FBB3CE" w:rsidRDefault="16FBB3CE" w:rsidP="00864BFF">
      <w:pPr>
        <w:pStyle w:val="Heading3"/>
        <w:ind w:right="-166"/>
      </w:pPr>
      <w:r>
        <w:t>An older and ag</w:t>
      </w:r>
      <w:r w:rsidR="00864BFF">
        <w:t>e</w:t>
      </w:r>
      <w:r>
        <w:t>ing workforce that is lacking diversity,</w:t>
      </w:r>
      <w:r w:rsidR="436E09B9">
        <w:t xml:space="preserve"> </w:t>
      </w:r>
      <w:r>
        <w:t>highly casualised and lower paid than their teaching counterparts in other sectors.</w:t>
      </w:r>
    </w:p>
    <w:p w14:paraId="38AD56ED" w14:textId="1B931154" w:rsidR="6EA29CB8" w:rsidRPr="00BF0452" w:rsidRDefault="6EA29CB8" w:rsidP="007A502F">
      <w:pPr>
        <w:pStyle w:val="ListBullet"/>
      </w:pPr>
      <w:r w:rsidRPr="00BF0452">
        <w:t>The most distinctive demographic aspect of the workforce is that it is older and ag</w:t>
      </w:r>
      <w:r w:rsidR="00864BFF">
        <w:t>e</w:t>
      </w:r>
      <w:r w:rsidRPr="00BF0452">
        <w:t xml:space="preserve">ing. This is even more pronounced for the </w:t>
      </w:r>
      <w:r w:rsidR="00CB29F6">
        <w:t>Teach, Train, and Assess</w:t>
      </w:r>
      <w:r w:rsidRPr="00BF0452">
        <w:t xml:space="preserve"> workforce.</w:t>
      </w:r>
      <w:r w:rsidR="7FB78458" w:rsidRPr="00BF0452">
        <w:t xml:space="preserve"> Almost half of the VET workforce is over 50 years, and the average age is six years older than the Australian workforce average (47 compared to 41).  Outside of this, the VET workforce </w:t>
      </w:r>
      <w:r w:rsidR="3221A7FE" w:rsidRPr="00BF0452">
        <w:t xml:space="preserve">generally </w:t>
      </w:r>
      <w:r w:rsidR="7FB78458" w:rsidRPr="00BF0452">
        <w:t>reflects the demographic make-up of the wider Australian workforce</w:t>
      </w:r>
      <w:r w:rsidR="0DC3B9D0" w:rsidRPr="00BF0452">
        <w:t xml:space="preserve"> except on two counts: qualifications and diversity</w:t>
      </w:r>
      <w:r w:rsidR="237C9716" w:rsidRPr="00BF0452">
        <w:t>. Future data collection on both is key.</w:t>
      </w:r>
      <w:r w:rsidR="7FB78458" w:rsidRPr="00BF0452">
        <w:t xml:space="preserve"> </w:t>
      </w:r>
    </w:p>
    <w:p w14:paraId="1BC236CD" w14:textId="3C4C9184" w:rsidR="7FB78458" w:rsidRPr="00BF0452" w:rsidRDefault="7FB78458" w:rsidP="007A502F">
      <w:pPr>
        <w:pStyle w:val="ListBullet"/>
      </w:pPr>
      <w:r>
        <w:t xml:space="preserve">The VET workforce is more qualified than the Australian workforce but there are key data gaps due to the dual professional status of </w:t>
      </w:r>
      <w:r w:rsidR="00CC6D50">
        <w:t>VET teachers</w:t>
      </w:r>
      <w:r>
        <w:t>, trainers</w:t>
      </w:r>
      <w:r w:rsidR="00630B3A">
        <w:t>,</w:t>
      </w:r>
      <w:r>
        <w:t xml:space="preserve"> and assessors. </w:t>
      </w:r>
    </w:p>
    <w:p w14:paraId="4E05F09B" w14:textId="69B3B12B" w:rsidR="6EA29CB8" w:rsidRPr="00BF0452" w:rsidRDefault="6EA29CB8" w:rsidP="007A502F">
      <w:pPr>
        <w:pStyle w:val="ListBullet"/>
      </w:pPr>
      <w:r>
        <w:t>There is a diversity issue in the VET workforce</w:t>
      </w:r>
      <w:r w:rsidR="5BBAE5E3">
        <w:t xml:space="preserve">. </w:t>
      </w:r>
      <w:r w:rsidR="28FDAB9F">
        <w:t xml:space="preserve">First Nations peoples and cohorts who speak a Language other than English at home, especially amongst the </w:t>
      </w:r>
      <w:r w:rsidR="00CB29F6">
        <w:t>Teach, Train, and Assess</w:t>
      </w:r>
      <w:r w:rsidR="28FDAB9F">
        <w:t xml:space="preserve"> segment is lower than the wider Australian Workforce. This is concerning considering the diversity of the VET student cohort</w:t>
      </w:r>
      <w:r w:rsidR="42D5D9F8">
        <w:t xml:space="preserve"> and potential impact on student </w:t>
      </w:r>
      <w:r w:rsidR="42D5D9F8">
        <w:lastRenderedPageBreak/>
        <w:t>outcomes</w:t>
      </w:r>
      <w:r w:rsidR="28FDAB9F">
        <w:t>.</w:t>
      </w:r>
      <w:r w:rsidR="7F0C6040">
        <w:t xml:space="preserve"> The future VET workforce is also looking less diverse from a training pipeline perspectiv</w:t>
      </w:r>
      <w:r w:rsidR="5EB22481">
        <w:t>e</w:t>
      </w:r>
      <w:r w:rsidR="64D7B1E4">
        <w:t xml:space="preserve">. </w:t>
      </w:r>
    </w:p>
    <w:p w14:paraId="65DF339B" w14:textId="6E3E9C71" w:rsidR="610EADC9" w:rsidRPr="00BF0452" w:rsidRDefault="610EADC9" w:rsidP="007A502F">
      <w:pPr>
        <w:pStyle w:val="ListBullet"/>
        <w:spacing w:after="100"/>
      </w:pPr>
      <w:r w:rsidRPr="00BF0452">
        <w:t xml:space="preserve">The VET workforce is more casualised, slightly higher paid and less award dependent than the Australian workforce, but not when compared to their teaching counterparts in other education sectors or industry vocations prominent in VET. </w:t>
      </w:r>
    </w:p>
    <w:p w14:paraId="31D710E7" w14:textId="37C7A64F" w:rsidR="766BB407" w:rsidRPr="00BF0452" w:rsidRDefault="766BB407" w:rsidP="007A502F">
      <w:pPr>
        <w:pStyle w:val="ListBullet"/>
        <w:spacing w:after="100"/>
      </w:pPr>
      <w:r w:rsidRPr="00BF0452">
        <w:t>There is</w:t>
      </w:r>
      <w:r w:rsidR="418F4138" w:rsidRPr="00BF0452">
        <w:t xml:space="preserve"> a 16% gender pay gap in VET. </w:t>
      </w:r>
    </w:p>
    <w:p w14:paraId="1DE20733" w14:textId="6CCB4B0E" w:rsidR="6EA29CB8" w:rsidRPr="00BF0452" w:rsidRDefault="31A4C441" w:rsidP="007A502F">
      <w:pPr>
        <w:pStyle w:val="ListBullet"/>
        <w:spacing w:after="100"/>
      </w:pPr>
      <w:r w:rsidRPr="00BF0452">
        <w:t xml:space="preserve">The VET teaching profession lost more people to other occupations in the eight years leading up to 2018/19 and those that leave </w:t>
      </w:r>
      <w:r w:rsidR="0B1DCA1B" w:rsidRPr="00BF0452">
        <w:t xml:space="preserve">to </w:t>
      </w:r>
      <w:r w:rsidRPr="00BF0452">
        <w:t>get a pay rise.</w:t>
      </w:r>
      <w:r w:rsidR="38E95420" w:rsidRPr="00BF0452">
        <w:t xml:space="preserve"> </w:t>
      </w:r>
      <w:r w:rsidR="303964A7" w:rsidRPr="00BF0452">
        <w:t xml:space="preserve">This presents a challenge for attracting and retaining the VET workforce as prospective teachers must weigh up a teaching role relative to their industry pay and conditions. </w:t>
      </w:r>
      <w:r w:rsidRPr="00BF0452">
        <w:t xml:space="preserve">There is not much career </w:t>
      </w:r>
      <w:r w:rsidR="0E4122C2" w:rsidRPr="00BF0452">
        <w:t xml:space="preserve">movement </w:t>
      </w:r>
      <w:r w:rsidRPr="00BF0452">
        <w:t>in and out of VET teaching, but where there is</w:t>
      </w:r>
      <w:r w:rsidR="678B4F15" w:rsidRPr="00BF0452">
        <w:t>,</w:t>
      </w:r>
      <w:r w:rsidRPr="00BF0452">
        <w:t xml:space="preserve"> it is generally to and from other kinds of teaching, especially Secondary School Teaching.</w:t>
      </w:r>
      <w:r w:rsidR="73BFFEE9" w:rsidRPr="00BF0452">
        <w:t xml:space="preserve"> However, there is some evidence of </w:t>
      </w:r>
      <w:r w:rsidR="2533910A" w:rsidRPr="00BF0452">
        <w:t>movement</w:t>
      </w:r>
      <w:r w:rsidR="73BFFEE9" w:rsidRPr="00BF0452">
        <w:t xml:space="preserve"> within the sector from VET teaching into leadership positions.  </w:t>
      </w:r>
    </w:p>
    <w:p w14:paraId="4A6A28B5" w14:textId="3C0CBCA7" w:rsidR="39C016B3" w:rsidRDefault="39C016B3" w:rsidP="4A808B01">
      <w:pPr>
        <w:pStyle w:val="Heading3"/>
      </w:pPr>
      <w:r w:rsidRPr="4A808B01">
        <w:t xml:space="preserve">The TAFE Workforce has better employment conditions, more diversity and is higher paid. </w:t>
      </w:r>
    </w:p>
    <w:p w14:paraId="1052EDE1" w14:textId="7378BE64" w:rsidR="00575792" w:rsidRPr="009F7F8E" w:rsidRDefault="4CD463EE" w:rsidP="007A502F">
      <w:pPr>
        <w:pStyle w:val="ListBullet"/>
        <w:spacing w:after="100"/>
      </w:pPr>
      <w:r>
        <w:t xml:space="preserve">It sits at around 40,000 workers, is slightly more feminised, higher paid, more likely to work full-time and older than the broader VET workforce. </w:t>
      </w:r>
      <w:r w:rsidR="0E15F901" w:rsidRPr="3EA8C90E">
        <w:rPr>
          <w:lang w:val="en-AU"/>
        </w:rPr>
        <w:t>Over half of the TAFE workforce are teachers and is more diverse in some cases – for example</w:t>
      </w:r>
      <w:r w:rsidR="365AEE16" w:rsidRPr="3EA8C90E">
        <w:rPr>
          <w:lang w:val="en-AU"/>
        </w:rPr>
        <w:t>,</w:t>
      </w:r>
      <w:r w:rsidR="0E15F901" w:rsidRPr="3EA8C90E">
        <w:rPr>
          <w:lang w:val="en-AU"/>
        </w:rPr>
        <w:t xml:space="preserve"> some TAFEs have a higher proportion of First Nations employees compared to the VET workforce overall. </w:t>
      </w:r>
      <w:r w:rsidR="00033DA6">
        <w:rPr>
          <w:lang w:val="en-AU"/>
        </w:rPr>
        <w:t>I</w:t>
      </w:r>
      <w:r w:rsidR="00033DA6" w:rsidRPr="3EA8C90E">
        <w:rPr>
          <w:lang w:val="en-AU"/>
        </w:rPr>
        <w:t>n almost every state and territory</w:t>
      </w:r>
      <w:r w:rsidR="00033DA6">
        <w:rPr>
          <w:lang w:val="en-AU"/>
        </w:rPr>
        <w:t>,</w:t>
      </w:r>
      <w:r w:rsidR="00033DA6" w:rsidRPr="3EA8C90E">
        <w:rPr>
          <w:lang w:val="en-AU"/>
        </w:rPr>
        <w:t xml:space="preserve"> more than half of the </w:t>
      </w:r>
      <w:r w:rsidR="00033DA6">
        <w:rPr>
          <w:lang w:val="en-AU"/>
        </w:rPr>
        <w:t xml:space="preserve">VET </w:t>
      </w:r>
      <w:r w:rsidR="00033DA6" w:rsidRPr="3EA8C90E">
        <w:rPr>
          <w:lang w:val="en-AU"/>
        </w:rPr>
        <w:t xml:space="preserve">workforce is </w:t>
      </w:r>
      <w:r w:rsidR="00033DA6">
        <w:rPr>
          <w:lang w:val="en-AU"/>
        </w:rPr>
        <w:t xml:space="preserve">aged </w:t>
      </w:r>
      <w:r w:rsidR="00033DA6" w:rsidRPr="3EA8C90E">
        <w:rPr>
          <w:lang w:val="en-AU"/>
        </w:rPr>
        <w:t>over 50 years</w:t>
      </w:r>
      <w:r w:rsidR="00033DA6">
        <w:rPr>
          <w:lang w:val="en-AU"/>
        </w:rPr>
        <w:t>, whereas o</w:t>
      </w:r>
      <w:r w:rsidR="00033DA6" w:rsidRPr="3EA8C90E">
        <w:rPr>
          <w:lang w:val="en-AU"/>
        </w:rPr>
        <w:t>nly 30% of the Australian Workforce is in this age bracket.</w:t>
      </w:r>
    </w:p>
    <w:p w14:paraId="30AB65A8" w14:textId="2976986A" w:rsidR="00033DA6" w:rsidRPr="009F7F8E" w:rsidRDefault="0E15F901" w:rsidP="007A502F">
      <w:pPr>
        <w:pStyle w:val="ListBullet"/>
        <w:spacing w:after="100"/>
      </w:pPr>
      <w:r w:rsidRPr="3EA8C90E">
        <w:rPr>
          <w:lang w:val="en-AU"/>
        </w:rPr>
        <w:t xml:space="preserve">Generally, over 60% of TAFE employees are employed full-time but in NSW there </w:t>
      </w:r>
      <w:r w:rsidR="33ACF2FE" w:rsidRPr="3EA8C90E">
        <w:rPr>
          <w:lang w:val="en-AU"/>
        </w:rPr>
        <w:t>is a higher proportion of casual staff</w:t>
      </w:r>
      <w:r w:rsidRPr="3EA8C90E">
        <w:rPr>
          <w:lang w:val="en-AU"/>
        </w:rPr>
        <w:t>.</w:t>
      </w:r>
      <w:r w:rsidR="0050614D">
        <w:rPr>
          <w:lang w:val="en-AU"/>
        </w:rPr>
        <w:t xml:space="preserve"> The 2024 NSW Budget </w:t>
      </w:r>
      <w:r w:rsidR="00452400">
        <w:rPr>
          <w:lang w:val="en-AU"/>
        </w:rPr>
        <w:t xml:space="preserve">allocated funding to TAFE NSW to </w:t>
      </w:r>
      <w:r w:rsidR="006B4FEB">
        <w:rPr>
          <w:lang w:val="en-AU"/>
        </w:rPr>
        <w:t>support the conversion of 500 casual teachers</w:t>
      </w:r>
      <w:r w:rsidR="00031208">
        <w:rPr>
          <w:lang w:val="en-AU"/>
        </w:rPr>
        <w:t xml:space="preserve"> </w:t>
      </w:r>
      <w:r w:rsidR="006B4FEB">
        <w:rPr>
          <w:lang w:val="en-AU"/>
        </w:rPr>
        <w:t>to permanent employment.</w:t>
      </w:r>
      <w:r w:rsidR="006B4FEB">
        <w:rPr>
          <w:rStyle w:val="EndnoteReference"/>
          <w:lang w:val="en-AU"/>
        </w:rPr>
        <w:endnoteReference w:id="16"/>
      </w:r>
      <w:r w:rsidRPr="3EA8C90E">
        <w:rPr>
          <w:lang w:val="en-AU"/>
        </w:rPr>
        <w:t xml:space="preserve"> </w:t>
      </w:r>
    </w:p>
    <w:p w14:paraId="451A913A" w14:textId="4BD11F52" w:rsidR="39C016B3" w:rsidRDefault="0A71C2B2" w:rsidP="007A502F">
      <w:pPr>
        <w:pStyle w:val="ListBullet"/>
        <w:spacing w:after="100"/>
      </w:pPr>
      <w:r w:rsidRPr="3EA8C90E">
        <w:rPr>
          <w:lang w:val="en-AU"/>
        </w:rPr>
        <w:t xml:space="preserve">The dual sector VET workforce is estimated at around 2000 workers nationally and reflects the TAFE workforce profile in demographics and employment conditions. </w:t>
      </w:r>
      <w:r>
        <w:t xml:space="preserve"> </w:t>
      </w:r>
    </w:p>
    <w:p w14:paraId="6D013F65" w14:textId="6D436244" w:rsidR="0305E9B7" w:rsidRDefault="0305E9B7" w:rsidP="4A808B01">
      <w:pPr>
        <w:pStyle w:val="Heading3"/>
      </w:pPr>
      <w:r w:rsidRPr="4A808B01">
        <w:t xml:space="preserve">The biggest data gaps and recommendations for future data collection  </w:t>
      </w:r>
    </w:p>
    <w:p w14:paraId="44B0FEF0" w14:textId="053F9CD7" w:rsidR="24DE822E" w:rsidRDefault="24DE822E" w:rsidP="007A502F">
      <w:pPr>
        <w:pStyle w:val="ListBullet"/>
        <w:spacing w:after="100"/>
      </w:pPr>
      <w:r w:rsidRPr="4A808B01">
        <w:t xml:space="preserve">Building a complete workforce profile will require filling </w:t>
      </w:r>
      <w:r w:rsidR="092E9757" w:rsidRPr="4A808B01">
        <w:t xml:space="preserve">key data gaps in industry and teaching qualifications; overall workforce size and demographics; and developing a more nuanced understanding of the diversity of the workforce. </w:t>
      </w:r>
    </w:p>
    <w:p w14:paraId="1806A410" w14:textId="74B848DE" w:rsidR="532954C0" w:rsidRDefault="532954C0" w:rsidP="007A502F">
      <w:pPr>
        <w:pStyle w:val="ListBullet"/>
        <w:spacing w:after="100"/>
      </w:pPr>
      <w:r w:rsidRPr="4A808B01">
        <w:t>T</w:t>
      </w:r>
      <w:r w:rsidR="0F10FB99" w:rsidRPr="4A808B01">
        <w:t>here are</w:t>
      </w:r>
      <w:r w:rsidR="24DE822E" w:rsidRPr="4A808B01">
        <w:t xml:space="preserve"> three </w:t>
      </w:r>
      <w:r w:rsidR="4EFBF235" w:rsidRPr="4A808B01">
        <w:t>o</w:t>
      </w:r>
      <w:r w:rsidR="24DE822E" w:rsidRPr="4A808B01">
        <w:t>ptions</w:t>
      </w:r>
      <w:r w:rsidR="0478A8D8" w:rsidRPr="4A808B01">
        <w:t xml:space="preserve"> recommended </w:t>
      </w:r>
      <w:r w:rsidR="413500BC" w:rsidRPr="4A808B01">
        <w:t>and</w:t>
      </w:r>
      <w:r w:rsidR="077F5A25" w:rsidRPr="4A808B01">
        <w:t xml:space="preserve"> these are not mutually exclusive:</w:t>
      </w:r>
      <w:r w:rsidR="6461B8DC" w:rsidRPr="4A808B01">
        <w:t xml:space="preserve"> </w:t>
      </w:r>
    </w:p>
    <w:p w14:paraId="62AE1A55" w14:textId="7EF59DAD" w:rsidR="6D707365" w:rsidRDefault="6D707365" w:rsidP="007A502F">
      <w:pPr>
        <w:pStyle w:val="ListBullet2"/>
        <w:numPr>
          <w:ilvl w:val="0"/>
          <w:numId w:val="2"/>
        </w:numPr>
        <w:spacing w:after="100"/>
        <w:ind w:left="765" w:hanging="425"/>
      </w:pPr>
      <w:r w:rsidRPr="4A808B01">
        <w:t xml:space="preserve">A </w:t>
      </w:r>
      <w:r w:rsidR="6E982494" w:rsidRPr="4A808B01">
        <w:t xml:space="preserve">regular but minimum collection </w:t>
      </w:r>
      <w:r w:rsidR="00E8278A">
        <w:t xml:space="preserve">of data </w:t>
      </w:r>
      <w:r w:rsidR="6E982494" w:rsidRPr="4A808B01">
        <w:t xml:space="preserve">via </w:t>
      </w:r>
      <w:r w:rsidR="24DE822E" w:rsidRPr="4A808B01">
        <w:t>regulatory bodies</w:t>
      </w:r>
      <w:r w:rsidR="1FDF675F" w:rsidRPr="4A808B01">
        <w:t xml:space="preserve"> such as </w:t>
      </w:r>
      <w:r w:rsidR="24DE822E" w:rsidRPr="4A808B01">
        <w:t>ASQA</w:t>
      </w:r>
      <w:r w:rsidR="39944114" w:rsidRPr="4A808B01">
        <w:t>;</w:t>
      </w:r>
      <w:r w:rsidR="5C15D29D" w:rsidRPr="4A808B01">
        <w:t xml:space="preserve"> </w:t>
      </w:r>
    </w:p>
    <w:p w14:paraId="7FFB5CB7" w14:textId="48B1A66B" w:rsidR="47CC4C2A" w:rsidRDefault="47CC4C2A" w:rsidP="007A502F">
      <w:pPr>
        <w:pStyle w:val="ListBullet2"/>
        <w:numPr>
          <w:ilvl w:val="0"/>
          <w:numId w:val="2"/>
        </w:numPr>
        <w:spacing w:after="100"/>
        <w:ind w:left="765" w:hanging="425"/>
      </w:pPr>
      <w:r w:rsidRPr="4A808B01">
        <w:t xml:space="preserve">The </w:t>
      </w:r>
      <w:r w:rsidR="5C15D29D" w:rsidRPr="4A808B01">
        <w:t xml:space="preserve">universal implementation of a </w:t>
      </w:r>
      <w:r w:rsidR="24DE822E" w:rsidRPr="4A808B01">
        <w:t>VET Workforce Standard where RTOs submit workforce data as part of their annual Total VET Activity returns</w:t>
      </w:r>
      <w:r w:rsidR="2C44960E" w:rsidRPr="4A808B01">
        <w:t xml:space="preserve">; and/or </w:t>
      </w:r>
    </w:p>
    <w:p w14:paraId="72C6714D" w14:textId="7D313942" w:rsidR="24DE822E" w:rsidRDefault="006A17F8" w:rsidP="007A502F">
      <w:pPr>
        <w:pStyle w:val="ListBullet2"/>
        <w:numPr>
          <w:ilvl w:val="0"/>
          <w:numId w:val="2"/>
        </w:numPr>
        <w:spacing w:after="100"/>
        <w:ind w:left="765" w:hanging="425"/>
      </w:pPr>
      <w:r>
        <w:t>A</w:t>
      </w:r>
      <w:r w:rsidR="24DE822E" w:rsidRPr="40F238EB">
        <w:t xml:space="preserve"> regular census style survey of RTOs and employees</w:t>
      </w:r>
      <w:r w:rsidR="3B471706" w:rsidRPr="40F238EB">
        <w:t xml:space="preserve"> which is piloted systematically, can be extrapolated across the diversity</w:t>
      </w:r>
      <w:r w:rsidR="5988E268" w:rsidRPr="40F238EB">
        <w:t xml:space="preserve"> of provider types and includes</w:t>
      </w:r>
      <w:r w:rsidR="3B471706" w:rsidRPr="40F238EB">
        <w:t xml:space="preserve"> attitudinal data on why </w:t>
      </w:r>
      <w:r w:rsidR="00CC6D50">
        <w:t>VET teachers</w:t>
      </w:r>
      <w:r w:rsidR="3B471706" w:rsidRPr="40F238EB">
        <w:t xml:space="preserve"> leave and what will make them stay.</w:t>
      </w:r>
      <w:r w:rsidR="5FE90109" w:rsidRPr="40F238EB">
        <w:t xml:space="preserve"> </w:t>
      </w:r>
      <w:r w:rsidR="6FA97F9C" w:rsidRPr="40F238EB">
        <w:t xml:space="preserve"> </w:t>
      </w:r>
    </w:p>
    <w:p w14:paraId="4DCF12B6" w14:textId="39D8C4D2" w:rsidR="4A808B01" w:rsidRDefault="5FE90109" w:rsidP="00E16D4F">
      <w:pPr>
        <w:pStyle w:val="Bodycopy"/>
      </w:pPr>
      <w:r w:rsidRPr="4A808B01">
        <w:t>This study recommends Government consider</w:t>
      </w:r>
      <w:r w:rsidR="00361B5B">
        <w:t>s</w:t>
      </w:r>
      <w:r w:rsidRPr="4A808B01">
        <w:t xml:space="preserve"> these </w:t>
      </w:r>
      <w:r w:rsidR="3E398721" w:rsidRPr="4A808B01">
        <w:t>options</w:t>
      </w:r>
      <w:r w:rsidRPr="4A808B01">
        <w:t xml:space="preserve"> </w:t>
      </w:r>
      <w:r w:rsidR="4CA37A73" w:rsidRPr="4A808B01">
        <w:t xml:space="preserve">as the basis for more immediate consultation with the sector that </w:t>
      </w:r>
      <w:r w:rsidRPr="4A808B01">
        <w:t>balanc</w:t>
      </w:r>
      <w:r w:rsidR="2D0F5C1F" w:rsidRPr="4A808B01">
        <w:t>es</w:t>
      </w:r>
      <w:r w:rsidRPr="4A808B01">
        <w:t xml:space="preserve"> the imperative for better workforce data</w:t>
      </w:r>
      <w:r w:rsidR="5B12918B" w:rsidRPr="4A808B01">
        <w:t>, the collection requirements already</w:t>
      </w:r>
      <w:r w:rsidRPr="4A808B01">
        <w:t xml:space="preserve"> placed upon RTOs and the funding</w:t>
      </w:r>
      <w:r w:rsidR="26A8C5BB" w:rsidRPr="4A808B01">
        <w:t xml:space="preserve"> required to action</w:t>
      </w:r>
      <w:r w:rsidR="008D6243">
        <w:t>.</w:t>
      </w:r>
    </w:p>
    <w:p w14:paraId="2B92F82F" w14:textId="1A606D44" w:rsidR="00A6421D" w:rsidRDefault="00A6421D" w:rsidP="00386955">
      <w:pPr>
        <w:pStyle w:val="Heading1"/>
        <w:numPr>
          <w:ilvl w:val="0"/>
          <w:numId w:val="6"/>
        </w:numPr>
        <w:spacing w:after="240"/>
      </w:pPr>
      <w:bookmarkStart w:id="72" w:name="_Toc150340163"/>
      <w:bookmarkStart w:id="73" w:name="_Toc150340166"/>
      <w:bookmarkStart w:id="74" w:name="_Toc150340158"/>
      <w:bookmarkStart w:id="75" w:name="_Toc150340157"/>
      <w:bookmarkStart w:id="76" w:name="_Toc1203753659"/>
      <w:bookmarkStart w:id="77" w:name="_Toc2123046685"/>
      <w:bookmarkStart w:id="78" w:name="_Toc685576034"/>
      <w:bookmarkStart w:id="79" w:name="_Toc176770979"/>
      <w:bookmarkStart w:id="80" w:name="_Toc150340167"/>
      <w:bookmarkEnd w:id="1"/>
      <w:bookmarkEnd w:id="2"/>
      <w:bookmarkEnd w:id="69"/>
      <w:bookmarkEnd w:id="72"/>
      <w:bookmarkEnd w:id="73"/>
      <w:bookmarkEnd w:id="74"/>
      <w:r>
        <w:lastRenderedPageBreak/>
        <w:t>Understanding the workforce</w:t>
      </w:r>
      <w:bookmarkEnd w:id="75"/>
      <w:bookmarkEnd w:id="76"/>
      <w:bookmarkEnd w:id="77"/>
      <w:bookmarkEnd w:id="78"/>
      <w:bookmarkEnd w:id="79"/>
    </w:p>
    <w:p w14:paraId="4047E576" w14:textId="77777777" w:rsidR="00A6421D" w:rsidRDefault="00A6421D" w:rsidP="00932AFA">
      <w:pPr>
        <w:pStyle w:val="Bodycopy"/>
      </w:pPr>
      <w:r>
        <w:t>In this chapter we look at the following characteristics of the VET workforce using the study’s taxonomy:</w:t>
      </w:r>
    </w:p>
    <w:p w14:paraId="213AB729" w14:textId="77777777" w:rsidR="00A6421D" w:rsidRPr="00BF0452" w:rsidRDefault="00A6421D" w:rsidP="00D04786">
      <w:pPr>
        <w:pStyle w:val="ListBullet"/>
      </w:pPr>
      <w:r w:rsidRPr="00BF0452">
        <w:t xml:space="preserve">Demographic characteristics, including sex, age, highest level of education, First Nations status, language other than English spoken at home (LOTE), born overseas and disability status. </w:t>
      </w:r>
    </w:p>
    <w:p w14:paraId="64916AD2" w14:textId="5B29A7BC" w:rsidR="00A6421D" w:rsidRPr="00BF0452" w:rsidRDefault="00A6421D" w:rsidP="00D04786">
      <w:pPr>
        <w:pStyle w:val="ListBullet"/>
      </w:pPr>
      <w:r w:rsidRPr="00BF0452">
        <w:t>Employment characteristics, including working hours, forms of employment</w:t>
      </w:r>
      <w:r w:rsidR="0079701A" w:rsidRPr="00BF0452">
        <w:t>,</w:t>
      </w:r>
      <w:r w:rsidRPr="00BF0452">
        <w:t xml:space="preserve"> pay and union membership.</w:t>
      </w:r>
    </w:p>
    <w:p w14:paraId="39BBECB5" w14:textId="77777777" w:rsidR="00A6421D" w:rsidRPr="00BF0452" w:rsidRDefault="00A6421D" w:rsidP="00D04786">
      <w:pPr>
        <w:pStyle w:val="ListBullet"/>
      </w:pPr>
      <w:r w:rsidRPr="00BF0452">
        <w:t>Geographic characteristics with a focus on state and territory split as well as degree of remoteness.</w:t>
      </w:r>
    </w:p>
    <w:p w14:paraId="6CE055D3" w14:textId="77777777" w:rsidR="00C354F0" w:rsidRPr="00C354F0" w:rsidRDefault="00C354F0" w:rsidP="00C354F0">
      <w:pPr>
        <w:pStyle w:val="Bodycopy"/>
      </w:pPr>
      <w:r w:rsidRPr="00C354F0">
        <w:t xml:space="preserve">Like all existing VET workforce data, some of the analysis is illustrative only because of the data limitations outlined in Chapter 1. The demographic and geographical profile of the VET workforce is limited to those workers who identified clearly in the Census that their main job was either a Vocational Education Teacher (ANZSCO) or they worked in the Technical and Vocational Education and Training industry (ANZSIC). While this approach best reflects the characteristics of the VET workforce, it underestimates its size. </w:t>
      </w:r>
    </w:p>
    <w:p w14:paraId="09C123ED" w14:textId="57F1A8AA" w:rsidR="00A6421D" w:rsidRDefault="00A6421D" w:rsidP="005C6AF9">
      <w:pPr>
        <w:pStyle w:val="Bodycopy"/>
        <w:rPr>
          <w:rFonts w:eastAsia="Arial" w:cs="Arial"/>
        </w:rPr>
      </w:pPr>
      <w:r>
        <w:t xml:space="preserve">Throughout the chapter we also use PLIDA data to provide a contrast and/or reinforcement of workforce counts and demographic trends in Census data. For example, we use data on individuals’ Income Tax Returns from the Australian Taxation Office over the decade from 2011/12 to offer a workforce count. </w:t>
      </w:r>
      <w:r w:rsidR="00422759">
        <w:t>We also use</w:t>
      </w:r>
      <w:r>
        <w:t xml:space="preserve"> TAFE and dual sector data provided by institutions directly for the study, as further comparisons.</w:t>
      </w:r>
      <w:r w:rsidR="00422759">
        <w:t xml:space="preserve"> The TAFE workforce profile</w:t>
      </w:r>
      <w:r>
        <w:t xml:space="preserve"> </w:t>
      </w:r>
      <w:r w:rsidR="00422759">
        <w:t>and dual sector institution case study is attached in Appendix B.</w:t>
      </w:r>
    </w:p>
    <w:p w14:paraId="46D25A48" w14:textId="77777777" w:rsidR="004333D3" w:rsidRDefault="00A6421D" w:rsidP="005C6AF9">
      <w:pPr>
        <w:pStyle w:val="Bodycopy"/>
      </w:pPr>
      <w:r>
        <w:t xml:space="preserve">We also draw on the 2020 NCVER Research Report: </w:t>
      </w:r>
      <w:r w:rsidRPr="7AD33374">
        <w:rPr>
          <w:i/>
          <w:iCs/>
        </w:rPr>
        <w:t>Understanding the Australian Vocational Education and Training Workforce</w:t>
      </w:r>
      <w:r>
        <w:t xml:space="preserve"> (the NCVER VET Workforce Survey) which is the most considered recent analysis of the workforce.</w:t>
      </w:r>
      <w:r w:rsidRPr="00BD77F8">
        <w:rPr>
          <w:vertAlign w:val="superscript"/>
        </w:rPr>
        <w:endnoteReference w:id="17"/>
      </w:r>
      <w:r>
        <w:t xml:space="preserve"> This report demonstrated the challenges in profiling VET: the estimates were based on VET employees at a specific time (February 2019) and collected data directly from RTOs, not individual workers.</w:t>
      </w:r>
      <w:r>
        <w:rPr>
          <w:rStyle w:val="FootnoteReference"/>
        </w:rPr>
        <w:footnoteReference w:id="3"/>
      </w:r>
      <w:r>
        <w:t xml:space="preserve"> </w:t>
      </w:r>
    </w:p>
    <w:p w14:paraId="7FBC9589" w14:textId="1AF4259D" w:rsidR="00A6421D" w:rsidRDefault="00A6421D" w:rsidP="005C6AF9">
      <w:pPr>
        <w:pStyle w:val="Bodycopy"/>
      </w:pPr>
      <w:r>
        <w:t xml:space="preserve">In the final section we </w:t>
      </w:r>
      <w:r w:rsidR="00A66B4E">
        <w:t>consider</w:t>
      </w:r>
      <w:r>
        <w:t xml:space="preserve"> a targeted approach to new data collection</w:t>
      </w:r>
      <w:r w:rsidR="00392AF0">
        <w:t>, which</w:t>
      </w:r>
      <w:r>
        <w:t xml:space="preserve"> could begin to address the most critical</w:t>
      </w:r>
      <w:r w:rsidR="00E123F9">
        <w:t xml:space="preserve"> dat</w:t>
      </w:r>
      <w:r w:rsidR="0053056C">
        <w:t>a</w:t>
      </w:r>
      <w:r>
        <w:t xml:space="preserve"> gaps</w:t>
      </w:r>
      <w:r w:rsidR="00B266E8">
        <w:t xml:space="preserve">, better </w:t>
      </w:r>
      <w:r w:rsidR="001A5FF9">
        <w:t>enabl</w:t>
      </w:r>
      <w:r w:rsidR="00B266E8">
        <w:t>ing</w:t>
      </w:r>
      <w:r w:rsidR="001A5FF9">
        <w:t xml:space="preserve"> Australia to plan for a robust VET workforce</w:t>
      </w:r>
      <w:r>
        <w:t xml:space="preserve">. </w:t>
      </w:r>
    </w:p>
    <w:p w14:paraId="37B79C72" w14:textId="77777777" w:rsidR="009E4064" w:rsidRDefault="009E4064">
      <w:pPr>
        <w:rPr>
          <w:rFonts w:eastAsiaTheme="majorEastAsia" w:cstheme="majorBidi"/>
          <w:b/>
          <w:sz w:val="32"/>
          <w:szCs w:val="26"/>
        </w:rPr>
      </w:pPr>
      <w:bookmarkStart w:id="81" w:name="_Toc954827622"/>
      <w:bookmarkStart w:id="82" w:name="_Toc514716101"/>
      <w:bookmarkStart w:id="83" w:name="_Toc906451688"/>
      <w:bookmarkStart w:id="84" w:name="_Toc176770980"/>
      <w:r>
        <w:br w:type="page"/>
      </w:r>
    </w:p>
    <w:p w14:paraId="00C1B6C3" w14:textId="0050D2E7" w:rsidR="00A6421D" w:rsidRDefault="00A6421D" w:rsidP="00A6421D">
      <w:pPr>
        <w:pStyle w:val="Heading2"/>
        <w:rPr>
          <w:rStyle w:val="superscript"/>
          <w:rFonts w:cs="Arial"/>
          <w:sz w:val="17"/>
          <w:szCs w:val="17"/>
          <w:vertAlign w:val="superscript"/>
        </w:rPr>
      </w:pPr>
      <w:r>
        <w:lastRenderedPageBreak/>
        <w:t>Workforce size, growth, and predominant roles</w:t>
      </w:r>
      <w:bookmarkEnd w:id="81"/>
      <w:bookmarkEnd w:id="82"/>
      <w:bookmarkEnd w:id="83"/>
      <w:bookmarkEnd w:id="84"/>
    </w:p>
    <w:p w14:paraId="228D1269" w14:textId="7BC7C40F" w:rsidR="00A6421D" w:rsidRPr="00932AFA" w:rsidRDefault="00A6421D" w:rsidP="00932AFA">
      <w:pPr>
        <w:pStyle w:val="Bodycopy"/>
      </w:pPr>
      <w:r w:rsidRPr="00932AFA">
        <w:t xml:space="preserve">As Chapter 1 indicated, there are significant issues around measuring the size of the VET workforce. The 2021 Census indicates a workforce size of over 70,000 and PLIDA data indicates a steady workforce size of around 111,000 for the years 2017 to 2021. Whilst both are underestimates and limited in different ways, </w:t>
      </w:r>
      <w:r w:rsidR="00945B9B" w:rsidRPr="00932AFA">
        <w:t xml:space="preserve">PLIDA data </w:t>
      </w:r>
      <w:r w:rsidRPr="00932AFA">
        <w:t>shows that</w:t>
      </w:r>
      <w:r w:rsidR="00945B9B" w:rsidRPr="00932AFA">
        <w:t xml:space="preserve"> during</w:t>
      </w:r>
      <w:r w:rsidR="00B46D4F" w:rsidRPr="00932AFA">
        <w:t xml:space="preserve"> a period of rising </w:t>
      </w:r>
      <w:r w:rsidRPr="00932AFA">
        <w:t xml:space="preserve">student demand, over the decade from FY2011/12 to FY2020/2021, the number of </w:t>
      </w:r>
      <w:r w:rsidR="00CC6D50">
        <w:t>VET teachers</w:t>
      </w:r>
      <w:r w:rsidRPr="00932AFA">
        <w:t xml:space="preserve"> </w:t>
      </w:r>
      <w:r w:rsidR="004C0395">
        <w:t>decreased by</w:t>
      </w:r>
      <w:r w:rsidR="004C0395" w:rsidRPr="00932AFA">
        <w:t xml:space="preserve"> </w:t>
      </w:r>
      <w:r w:rsidRPr="00932AFA">
        <w:t xml:space="preserve">5,214 (18.1%), </w:t>
      </w:r>
      <w:r w:rsidR="00D727B3">
        <w:t xml:space="preserve">alongside </w:t>
      </w:r>
      <w:r w:rsidR="00801498">
        <w:t>negligible</w:t>
      </w:r>
      <w:r w:rsidRPr="00932AFA">
        <w:t xml:space="preserve"> VET workforce </w:t>
      </w:r>
      <w:r w:rsidR="00364C11" w:rsidRPr="00932AFA">
        <w:t>growth of</w:t>
      </w:r>
      <w:r w:rsidRPr="00932AFA">
        <w:t xml:space="preserve"> 802 or 0.7%</w:t>
      </w:r>
      <w:r w:rsidR="00364C11" w:rsidRPr="00932AFA">
        <w:t>.</w:t>
      </w:r>
      <w:r w:rsidR="004C0769" w:rsidRPr="00932AFA">
        <w:t xml:space="preserve"> By contrast, the overall Australian workforce grew by </w:t>
      </w:r>
      <w:r w:rsidRPr="00932AFA">
        <w:t>15.8%</w:t>
      </w:r>
      <w:r w:rsidR="00F9124E" w:rsidRPr="00932AFA">
        <w:t xml:space="preserve"> (</w:t>
      </w:r>
      <w:r w:rsidR="002D1B2F">
        <w:t xml:space="preserve">noting </w:t>
      </w:r>
      <w:r w:rsidRPr="00932AFA">
        <w:t>large month-to-month swings during the COVID-19 pandemic)</w:t>
      </w:r>
      <w:r w:rsidR="001A3031" w:rsidRPr="00932AFA">
        <w:t xml:space="preserve"> </w:t>
      </w:r>
      <w:r w:rsidR="002D1B2F">
        <w:t xml:space="preserve">– </w:t>
      </w:r>
      <w:r w:rsidR="001A3031" w:rsidRPr="00932AFA">
        <w:t>s</w:t>
      </w:r>
      <w:r w:rsidRPr="00932AFA">
        <w:t xml:space="preserve">ee </w:t>
      </w:r>
      <w:hyperlink w:anchor="Figure_2_1" w:history="1">
        <w:r w:rsidRPr="006A2ECB">
          <w:rPr>
            <w:rStyle w:val="Hyperlink"/>
          </w:rPr>
          <w:t>Figure 2.</w:t>
        </w:r>
        <w:r w:rsidR="001A3031" w:rsidRPr="006A2ECB">
          <w:rPr>
            <w:rStyle w:val="Hyperlink"/>
          </w:rPr>
          <w:t>1</w:t>
        </w:r>
      </w:hyperlink>
      <w:r w:rsidRPr="00932AFA">
        <w:t xml:space="preserve">. </w:t>
      </w:r>
    </w:p>
    <w:p w14:paraId="2344EB6B" w14:textId="7FBF48C9" w:rsidR="00F72D0E" w:rsidRDefault="00A6421D" w:rsidP="00E16D4F">
      <w:pPr>
        <w:pStyle w:val="Bodycopy"/>
      </w:pPr>
      <w:r w:rsidRPr="00932AFA">
        <w:t xml:space="preserve">Census data similarly indicates a </w:t>
      </w:r>
      <w:r w:rsidR="002D1B2F">
        <w:t>decrease</w:t>
      </w:r>
      <w:r w:rsidRPr="00932AFA">
        <w:t xml:space="preserve"> in VET Teacher numbers by 10.7% from 2011 to 2021</w:t>
      </w:r>
      <w:r w:rsidR="000D7610">
        <w:t xml:space="preserve"> and a </w:t>
      </w:r>
      <w:r w:rsidR="008F47DD">
        <w:t>reduc</w:t>
      </w:r>
      <w:r w:rsidR="000D7610">
        <w:t>tion in the VET workforce of</w:t>
      </w:r>
      <w:r w:rsidR="008F47DD" w:rsidRPr="00932AFA">
        <w:t xml:space="preserve"> </w:t>
      </w:r>
      <w:r w:rsidRPr="00932AFA">
        <w:t xml:space="preserve">4.6% </w:t>
      </w:r>
      <w:r w:rsidR="000D7610">
        <w:t>over</w:t>
      </w:r>
      <w:r w:rsidRPr="00932AFA">
        <w:t xml:space="preserve"> the same period. </w:t>
      </w:r>
    </w:p>
    <w:p w14:paraId="5310348D" w14:textId="606ECF3D" w:rsidR="00075E2D" w:rsidRPr="005C6AF9" w:rsidRDefault="00A6421D" w:rsidP="005C6AF9">
      <w:pPr>
        <w:pStyle w:val="ChartandTablelabel"/>
      </w:pPr>
      <w:bookmarkStart w:id="85" w:name="Figure_2_1"/>
      <w:r w:rsidRPr="005C6AF9">
        <w:t xml:space="preserve">Figure </w:t>
      </w:r>
      <w:r w:rsidR="006558DC">
        <w:fldChar w:fldCharType="begin"/>
      </w:r>
      <w:r w:rsidR="006558DC">
        <w:instrText xml:space="preserve"> STYLEREF 1 \s </w:instrText>
      </w:r>
      <w:r w:rsidR="006558DC">
        <w:fldChar w:fldCharType="separate"/>
      </w:r>
      <w:r w:rsidR="00E7704E">
        <w:rPr>
          <w:noProof/>
        </w:rPr>
        <w:t>2</w:t>
      </w:r>
      <w:r w:rsidR="006558DC">
        <w:fldChar w:fldCharType="end"/>
      </w:r>
      <w:r w:rsidR="00EA1F63">
        <w:t>.</w:t>
      </w:r>
      <w:r w:rsidR="006558DC">
        <w:fldChar w:fldCharType="begin"/>
      </w:r>
      <w:r w:rsidR="006558DC">
        <w:instrText xml:space="preserve"> SEQ Figure \* ARABIC \s 1 </w:instrText>
      </w:r>
      <w:r w:rsidR="006558DC">
        <w:fldChar w:fldCharType="separate"/>
      </w:r>
      <w:r w:rsidR="00E7704E">
        <w:rPr>
          <w:noProof/>
        </w:rPr>
        <w:t>1</w:t>
      </w:r>
      <w:r w:rsidR="006558DC">
        <w:fldChar w:fldCharType="end"/>
      </w:r>
      <w:r w:rsidRPr="005C6AF9">
        <w:t xml:space="preserve"> Change in the VET workforce size from FY2011/12 – FY2020/21</w:t>
      </w:r>
    </w:p>
    <w:bookmarkEnd w:id="85"/>
    <w:p w14:paraId="30A38390" w14:textId="45C7E8E9" w:rsidR="00EB12BC" w:rsidRPr="00B96864" w:rsidRDefault="006B16E8" w:rsidP="00B96864">
      <w:pPr>
        <w:spacing w:before="240"/>
        <w:rPr>
          <w:lang w:val="en-US"/>
        </w:rPr>
      </w:pPr>
      <w:r>
        <w:rPr>
          <w:noProof/>
          <w:lang w:val="en-US"/>
        </w:rPr>
        <w:drawing>
          <wp:inline distT="0" distB="0" distL="0" distR="0" wp14:anchorId="467D563C" wp14:editId="4E293EC2">
            <wp:extent cx="5652000" cy="3619172"/>
            <wp:effectExtent l="19050" t="19050" r="25400" b="19685"/>
            <wp:docPr id="1598517068" name="Picture 3" descr="From financial year 2011/12 to financial year 2020/21 the size of VET workforce overall remained stable, but the size of the VET Teacher workforce saw a negative change of around 18% in financial year 2020/21 compared with financial year 2011/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517068" name="Picture 3" descr="From financial year 2011/12 to financial year 2020/21 the size of VET workforce overall remained stable, but the size of the VET Teacher workforce saw a negative change of around 18% in financial year 2020/21 compared with financial year 2011/12&#10;"/>
                    <pic:cNvPicPr/>
                  </pic:nvPicPr>
                  <pic:blipFill rotWithShape="1">
                    <a:blip r:embed="rId20" cstate="print">
                      <a:extLst>
                        <a:ext uri="{28A0092B-C50C-407E-A947-70E740481C1C}">
                          <a14:useLocalDpi xmlns:a14="http://schemas.microsoft.com/office/drawing/2010/main" val="0"/>
                        </a:ext>
                      </a:extLst>
                    </a:blip>
                    <a:srcRect l="-1274" t="-995" r="1274" b="995"/>
                    <a:stretch/>
                  </pic:blipFill>
                  <pic:spPr>
                    <a:xfrm>
                      <a:off x="0" y="0"/>
                      <a:ext cx="5652000" cy="3619172"/>
                    </a:xfrm>
                    <a:prstGeom prst="rect">
                      <a:avLst/>
                    </a:prstGeom>
                    <a:solidFill>
                      <a:schemeClr val="bg1"/>
                    </a:solidFill>
                    <a:ln w="6350">
                      <a:solidFill>
                        <a:schemeClr val="bg1">
                          <a:lumMod val="75000"/>
                        </a:schemeClr>
                      </a:solidFill>
                    </a:ln>
                  </pic:spPr>
                </pic:pic>
              </a:graphicData>
            </a:graphic>
          </wp:inline>
        </w:drawing>
      </w:r>
    </w:p>
    <w:p w14:paraId="0A53ABDC" w14:textId="34E26D0D" w:rsidR="00A6421D" w:rsidRDefault="00A6421D" w:rsidP="004D6419">
      <w:pPr>
        <w:pStyle w:val="Source"/>
        <w:spacing w:after="240"/>
        <w:rPr>
          <w:i/>
          <w:iCs/>
        </w:rPr>
      </w:pPr>
      <w:r>
        <w:t xml:space="preserve">Source: Australian Bureau of Statistics (2023) Microdata: ATO Personal Income Tax (PIT) </w:t>
      </w:r>
      <w:r w:rsidR="00F72D0E">
        <w:br/>
      </w:r>
      <w:r>
        <w:t>(2010-11 – 2020-21) [Datalab]</w:t>
      </w:r>
    </w:p>
    <w:p w14:paraId="46F4DF14" w14:textId="4C925933" w:rsidR="00A6421D" w:rsidRDefault="00A6421D" w:rsidP="004D6419">
      <w:pPr>
        <w:pStyle w:val="Bodycopy"/>
        <w:spacing w:before="120"/>
      </w:pPr>
      <w:r>
        <w:t>O</w:t>
      </w:r>
      <w:r w:rsidRPr="539D8B99">
        <w:t>ver two thirds</w:t>
      </w:r>
      <w:r>
        <w:t xml:space="preserve"> of the VET workforce are employed by public providers (68.1%), which is higher than a decade ago (64.2%)</w:t>
      </w:r>
      <w:r w:rsidR="00D77695">
        <w:t xml:space="preserve">, see </w:t>
      </w:r>
      <w:hyperlink w:anchor="Figure_2_2" w:history="1">
        <w:r w:rsidR="00D77695" w:rsidRPr="006A2ECB">
          <w:rPr>
            <w:rStyle w:val="Hyperlink"/>
          </w:rPr>
          <w:t>Figure 2.2</w:t>
        </w:r>
      </w:hyperlink>
      <w:r>
        <w:t>. These workers represent j</w:t>
      </w:r>
      <w:r w:rsidRPr="539D8B99">
        <w:t xml:space="preserve">ust under half of the VET workforce </w:t>
      </w:r>
      <w:r>
        <w:t>work</w:t>
      </w:r>
      <w:r w:rsidRPr="539D8B99">
        <w:t xml:space="preserve"> in </w:t>
      </w:r>
      <w:r w:rsidR="00CB29F6">
        <w:t>Teach, Train, and Assess</w:t>
      </w:r>
      <w:r w:rsidRPr="539D8B99">
        <w:t xml:space="preserve"> roles (48.5%)</w:t>
      </w:r>
      <w:r w:rsidR="00D432A3">
        <w:t xml:space="preserve"> see </w:t>
      </w:r>
      <w:hyperlink w:anchor="Figure_2_3" w:history="1">
        <w:r w:rsidR="00D432A3" w:rsidRPr="006A2ECB">
          <w:rPr>
            <w:rStyle w:val="Hyperlink"/>
          </w:rPr>
          <w:t>Figure 2.3</w:t>
        </w:r>
      </w:hyperlink>
      <w:r w:rsidRPr="539D8B99">
        <w:t xml:space="preserve">. As noted in </w:t>
      </w:r>
      <w:r w:rsidR="004333D3">
        <w:t>C</w:t>
      </w:r>
      <w:r w:rsidRPr="539D8B99">
        <w:t xml:space="preserve">hapter 1, this is consistent with data provided by </w:t>
      </w:r>
      <w:r w:rsidR="008C0486" w:rsidRPr="539D8B99">
        <w:t>TAFEs for</w:t>
      </w:r>
      <w:r w:rsidRPr="539D8B99">
        <w:t xml:space="preserve"> this study</w:t>
      </w:r>
      <w:r>
        <w:t>,</w:t>
      </w:r>
      <w:r w:rsidRPr="539D8B99">
        <w:t xml:space="preserve"> which indicate that teachers, trainers and assessors </w:t>
      </w:r>
      <w:r w:rsidR="008F47DD">
        <w:t>typically constitute</w:t>
      </w:r>
      <w:r w:rsidRPr="539D8B99">
        <w:t xml:space="preserve"> just over 50% </w:t>
      </w:r>
      <w:r>
        <w:t xml:space="preserve">of their </w:t>
      </w:r>
      <w:r w:rsidDel="5455C6BF">
        <w:t>workforce</w:t>
      </w:r>
      <w:r>
        <w:t>s.</w:t>
      </w:r>
      <w:r w:rsidRPr="539D8B99">
        <w:t xml:space="preserve"> It also aligns with older research by the Productivity Commission in 2011 which estimated 48% of the workforce in VET were ‘</w:t>
      </w:r>
      <w:r>
        <w:t>T</w:t>
      </w:r>
      <w:r w:rsidRPr="539D8B99">
        <w:t xml:space="preserve">rainers and </w:t>
      </w:r>
      <w:r>
        <w:t>Assessors’.</w:t>
      </w:r>
      <w:r w:rsidRPr="539D8B99">
        <w:rPr>
          <w:rStyle w:val="EndnoteReference"/>
        </w:rPr>
        <w:endnoteReference w:id="18"/>
      </w:r>
      <w:r w:rsidRPr="539D8B99">
        <w:t xml:space="preserve"> </w:t>
      </w:r>
    </w:p>
    <w:p w14:paraId="6CE83F09" w14:textId="77777777" w:rsidR="00CA21AE" w:rsidRDefault="00CA21AE" w:rsidP="00E16D4F">
      <w:pPr>
        <w:pStyle w:val="Bodycopy"/>
      </w:pPr>
    </w:p>
    <w:p w14:paraId="682EF98C" w14:textId="5DF75160" w:rsidR="009B163D" w:rsidRDefault="00A6421D" w:rsidP="00EB03B9">
      <w:pPr>
        <w:pStyle w:val="Caption"/>
        <w:keepNext/>
        <w:spacing w:after="240"/>
      </w:pPr>
      <w:bookmarkStart w:id="86" w:name="Figure_2_2"/>
      <w:r>
        <w:lastRenderedPageBreak/>
        <w:t xml:space="preserve">Figure </w:t>
      </w:r>
      <w:r w:rsidR="006558DC">
        <w:fldChar w:fldCharType="begin"/>
      </w:r>
      <w:r w:rsidR="006558DC">
        <w:instrText xml:space="preserve"> STYLEREF 1 \s </w:instrText>
      </w:r>
      <w:r w:rsidR="006558DC">
        <w:fldChar w:fldCharType="separate"/>
      </w:r>
      <w:r w:rsidR="00E7704E">
        <w:rPr>
          <w:noProof/>
        </w:rPr>
        <w:t>2</w:t>
      </w:r>
      <w:r w:rsidR="006558DC">
        <w:fldChar w:fldCharType="end"/>
      </w:r>
      <w:r w:rsidR="00EA1F63">
        <w:t>.</w:t>
      </w:r>
      <w:r w:rsidR="006558DC">
        <w:fldChar w:fldCharType="begin"/>
      </w:r>
      <w:r w:rsidR="006558DC">
        <w:instrText xml:space="preserve"> SEQ Figure \* ARABIC \s 1 </w:instrText>
      </w:r>
      <w:r w:rsidR="006558DC">
        <w:fldChar w:fldCharType="separate"/>
      </w:r>
      <w:r w:rsidR="00E7704E">
        <w:rPr>
          <w:noProof/>
        </w:rPr>
        <w:t>2</w:t>
      </w:r>
      <w:r w:rsidR="006558DC">
        <w:fldChar w:fldCharType="end"/>
      </w:r>
      <w:r>
        <w:t xml:space="preserve"> Count of VET Workforce in public and private sector employment in 20</w:t>
      </w:r>
      <w:r w:rsidR="00E0688B">
        <w:t>1</w:t>
      </w:r>
      <w:r>
        <w:t>1 and 20</w:t>
      </w:r>
      <w:r w:rsidR="00E0688B">
        <w:t>2</w:t>
      </w:r>
      <w:r>
        <w:t>1</w:t>
      </w:r>
    </w:p>
    <w:bookmarkEnd w:id="86"/>
    <w:p w14:paraId="2978EEC9" w14:textId="74DC5B6D" w:rsidR="00A6421D" w:rsidRPr="004403F2" w:rsidRDefault="004403F2" w:rsidP="004403F2">
      <w:pPr>
        <w:rPr>
          <w:lang w:val="en-US"/>
        </w:rPr>
      </w:pPr>
      <w:r>
        <w:rPr>
          <w:noProof/>
          <w:lang w:val="en-US"/>
        </w:rPr>
        <w:drawing>
          <wp:inline distT="0" distB="0" distL="0" distR="0" wp14:anchorId="3D327861" wp14:editId="089684FB">
            <wp:extent cx="5648325" cy="3095625"/>
            <wp:effectExtent l="19050" t="19050" r="28575" b="28575"/>
            <wp:docPr id="300656325" name="Picture 5" descr="ABS data for 2021 indicates a of count 48186 (68.1%) of workers in the public sector VET workforce compared with a count of 22522 (31.9%) for the private sector VET workforce. This compares with 2011 where the public sector VET workforce had a count of 47591 (64.2%) and the private sector had a count of 26544 (35.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656325" name="Picture 5" descr="ABS data for 2021 indicates a of count 48186 (68.1%) of workers in the public sector VET workforce compared with a count of 22522 (31.9%) for the private sector VET workforce. This compares with 2011 where the public sector VET workforce had a count of 47591 (64.2%) and the private sector had a count of 26544 (35.8%).&#10;"/>
                    <pic:cNvPicPr/>
                  </pic:nvPicPr>
                  <pic:blipFill rotWithShape="1">
                    <a:blip r:embed="rId21" cstate="print">
                      <a:extLst>
                        <a:ext uri="{28A0092B-C50C-407E-A947-70E740481C1C}">
                          <a14:useLocalDpi xmlns:a14="http://schemas.microsoft.com/office/drawing/2010/main" val="0"/>
                        </a:ext>
                      </a:extLst>
                    </a:blip>
                    <a:srcRect t="-1717" b="-1717"/>
                    <a:stretch/>
                  </pic:blipFill>
                  <pic:spPr bwMode="auto">
                    <a:xfrm>
                      <a:off x="0" y="0"/>
                      <a:ext cx="5648325" cy="3095625"/>
                    </a:xfrm>
                    <a:prstGeom prst="rect">
                      <a:avLst/>
                    </a:prstGeom>
                    <a:solidFill>
                      <a:schemeClr val="bg1"/>
                    </a:solidFill>
                    <a:ln w="635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F6D578F" w14:textId="44AC5810" w:rsidR="00A6421D" w:rsidRDefault="00A6421D" w:rsidP="00EB03B9">
      <w:pPr>
        <w:pStyle w:val="Source"/>
        <w:spacing w:after="360"/>
        <w:rPr>
          <w:highlight w:val="yellow"/>
        </w:rPr>
      </w:pPr>
      <w:r w:rsidRPr="00593380">
        <w:t>Source: ABS (2021)</w:t>
      </w:r>
      <w:r w:rsidR="00BB5444">
        <w:t xml:space="preserve"> Occupation (OCCP) and Industry of </w:t>
      </w:r>
      <w:r w:rsidR="00D921BB">
        <w:t>E</w:t>
      </w:r>
      <w:r w:rsidR="00BB5444">
        <w:t xml:space="preserve">mployment (INDP) by Sector of </w:t>
      </w:r>
      <w:r w:rsidR="00D921BB">
        <w:t>E</w:t>
      </w:r>
      <w:r w:rsidR="00BB5444">
        <w:t>mployment (GNGP)</w:t>
      </w:r>
      <w:r w:rsidR="00D921BB">
        <w:t>,</w:t>
      </w:r>
      <w:r w:rsidRPr="00593380">
        <w:t xml:space="preserve"> [Census TableBuilder] 2021, accessed 25 March 2024.</w:t>
      </w:r>
    </w:p>
    <w:p w14:paraId="60C602F7" w14:textId="77777777" w:rsidR="00D72BA5" w:rsidRDefault="00A6421D" w:rsidP="00E16D4F">
      <w:pPr>
        <w:pStyle w:val="Bodycopy"/>
      </w:pPr>
      <w:r>
        <w:t xml:space="preserve">The 2019 NCVER survey of the workforce provided a lower estimate, reporting that teachers represented just under one third (29%) of the total VET workforce, including those delivering training under supervision (estimated at around 9%). However, NCVER acknowledged that this was likely an underestimation of the VET teaching workforce and that the proportion of the VET workforce made up of teachers, trainers and assessors differs based on provider size. </w:t>
      </w:r>
    </w:p>
    <w:p w14:paraId="40C4C7D0" w14:textId="0DE3371D" w:rsidR="00A6421D" w:rsidRDefault="00A6421D" w:rsidP="00E16D4F">
      <w:pPr>
        <w:pStyle w:val="Bodycopy"/>
      </w:pPr>
      <w:r>
        <w:t>It reported that for large (1,000 to 9,999 students) and very large (more than 10,000 students) RTOs</w:t>
      </w:r>
      <w:r w:rsidR="008E4346">
        <w:t>,</w:t>
      </w:r>
      <w:r>
        <w:t xml:space="preserve"> these roles constituted 40% and 59% of their workforce respectively, while for medium (100-999 students) and small RTOs (less than 100 students)</w:t>
      </w:r>
      <w:r w:rsidR="001176D8">
        <w:t>,</w:t>
      </w:r>
      <w:r>
        <w:t xml:space="preserve"> it was 22% and 20% respectively. This aligns with stakeholder feedback from private and smaller RTOs where the teaching workforce is shared amongst other roles, including executive positions. </w:t>
      </w:r>
    </w:p>
    <w:p w14:paraId="0BDFEF23" w14:textId="10217BC7" w:rsidR="00D72BA5" w:rsidRDefault="00FE452A" w:rsidP="00E16D4F">
      <w:pPr>
        <w:pStyle w:val="Bodycopy"/>
      </w:pPr>
      <w:r>
        <w:t xml:space="preserve">As illustrated in </w:t>
      </w:r>
      <w:hyperlink w:anchor="Figure_2_3" w:history="1">
        <w:r w:rsidR="00DF5CAB" w:rsidRPr="006A2ECB">
          <w:rPr>
            <w:rStyle w:val="Hyperlink"/>
          </w:rPr>
          <w:t>Figure 2.3</w:t>
        </w:r>
      </w:hyperlink>
      <w:r w:rsidR="00DF5CAB">
        <w:t xml:space="preserve"> t</w:t>
      </w:r>
      <w:r w:rsidR="00A6421D">
        <w:t xml:space="preserve">he next largest segment of the VET workforce is Administration and Operations which makes up 29.0% of the workforce followed by Leadership at 12.8%. Learning Support and Curriculum and Learning Design are smaller segments at 4.3% and 3.6% respectively, though as </w:t>
      </w:r>
      <w:r w:rsidR="00A6421D" w:rsidRPr="00717A3F">
        <w:t>Chapter 3</w:t>
      </w:r>
      <w:r w:rsidR="00A6421D">
        <w:t xml:space="preserve"> demonstrates, job roles in this segment are growing. </w:t>
      </w:r>
    </w:p>
    <w:p w14:paraId="58325F9C" w14:textId="276C96BF" w:rsidR="00A6421D" w:rsidRDefault="00A6421D" w:rsidP="00E16D4F">
      <w:pPr>
        <w:pStyle w:val="Bodycopy"/>
      </w:pPr>
      <w:r>
        <w:t xml:space="preserve">The smallest segment is Quality Assurance and Compliance at 0.4% but position descriptions and job profiles in </w:t>
      </w:r>
      <w:r w:rsidRPr="00717A3F">
        <w:t xml:space="preserve">Chapter </w:t>
      </w:r>
      <w:r>
        <w:t xml:space="preserve">3 point to leadership and even some more senior teaching roles in VET having responsibility for some of these regulatory duties. This segment likely constitutes a larger portion of the work than is suggested by roles alone. </w:t>
      </w:r>
    </w:p>
    <w:p w14:paraId="1F8AD6D7" w14:textId="6D1AB2C1" w:rsidR="00A6421D" w:rsidRDefault="00A6421D" w:rsidP="00DB3A58">
      <w:pPr>
        <w:pStyle w:val="Caption"/>
        <w:keepNext/>
        <w:spacing w:after="240"/>
      </w:pPr>
      <w:bookmarkStart w:id="87" w:name="Figure_2_3"/>
      <w:r>
        <w:lastRenderedPageBreak/>
        <w:t xml:space="preserve">Figure </w:t>
      </w:r>
      <w:r w:rsidR="006558DC">
        <w:fldChar w:fldCharType="begin"/>
      </w:r>
      <w:r w:rsidR="006558DC">
        <w:instrText xml:space="preserve"> STYLEREF 1 \s </w:instrText>
      </w:r>
      <w:r w:rsidR="006558DC">
        <w:fldChar w:fldCharType="separate"/>
      </w:r>
      <w:r w:rsidR="00E7704E">
        <w:rPr>
          <w:noProof/>
        </w:rPr>
        <w:t>2</w:t>
      </w:r>
      <w:r w:rsidR="006558DC">
        <w:fldChar w:fldCharType="end"/>
      </w:r>
      <w:r w:rsidR="00EA1F63">
        <w:t>.</w:t>
      </w:r>
      <w:r w:rsidR="006558DC">
        <w:fldChar w:fldCharType="begin"/>
      </w:r>
      <w:r w:rsidR="006558DC">
        <w:instrText xml:space="preserve"> SEQ Figure \* ARABIC \s 1 </w:instrText>
      </w:r>
      <w:r w:rsidR="006558DC">
        <w:fldChar w:fldCharType="separate"/>
      </w:r>
      <w:r w:rsidR="00E7704E">
        <w:rPr>
          <w:noProof/>
        </w:rPr>
        <w:t>3</w:t>
      </w:r>
      <w:r w:rsidR="006558DC">
        <w:fldChar w:fldCharType="end"/>
      </w:r>
      <w:r>
        <w:t xml:space="preserve"> Share of each VET workforce segment</w:t>
      </w:r>
    </w:p>
    <w:bookmarkEnd w:id="87"/>
    <w:p w14:paraId="01E65D9C" w14:textId="7E27C48A" w:rsidR="005F71DD" w:rsidRPr="003A3F05" w:rsidRDefault="005F71DD" w:rsidP="003A3F05">
      <w:pPr>
        <w:rPr>
          <w:lang w:val="en-US"/>
        </w:rPr>
      </w:pPr>
      <w:r>
        <w:rPr>
          <w:noProof/>
          <w:lang w:val="en-US"/>
        </w:rPr>
        <w:drawing>
          <wp:inline distT="0" distB="0" distL="0" distR="0" wp14:anchorId="715FDE29" wp14:editId="491AC9AD">
            <wp:extent cx="5652000" cy="2844012"/>
            <wp:effectExtent l="19050" t="19050" r="25400" b="13970"/>
            <wp:docPr id="1846112264" name="Picture 6" descr="Teach, Train and Assess - 48.5%&#10;Administration and Operations - 29.0%&#10;Leadership - 12.8%&#10;Learning Support - 4.3%&#10;Curriculum and Learning Design - 3.6%&#10;Quality Assurance and Compliance - 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112264" name="Picture 6" descr="Teach, Train and Assess - 48.5%&#10;Administration and Operations - 29.0%&#10;Leadership - 12.8%&#10;Learning Support - 4.3%&#10;Curriculum and Learning Design - 3.6%&#10;Quality Assurance and Compliance - 0.4%&#10;"/>
                    <pic:cNvPicPr/>
                  </pic:nvPicPr>
                  <pic:blipFill rotWithShape="1">
                    <a:blip r:embed="rId22" cstate="print">
                      <a:extLst>
                        <a:ext uri="{28A0092B-C50C-407E-A947-70E740481C1C}">
                          <a14:useLocalDpi xmlns:a14="http://schemas.microsoft.com/office/drawing/2010/main" val="0"/>
                        </a:ext>
                      </a:extLst>
                    </a:blip>
                    <a:srcRect l="-622" t="1236" r="4313" b="1236"/>
                    <a:stretch/>
                  </pic:blipFill>
                  <pic:spPr bwMode="auto">
                    <a:xfrm>
                      <a:off x="0" y="0"/>
                      <a:ext cx="5652000" cy="2844012"/>
                    </a:xfrm>
                    <a:prstGeom prst="rect">
                      <a:avLst/>
                    </a:prstGeom>
                    <a:solidFill>
                      <a:schemeClr val="bg1"/>
                    </a:solidFill>
                    <a:ln w="635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bookmarkStart w:id="88" w:name="_Hlk162944924"/>
    </w:p>
    <w:p w14:paraId="3A6CE61E" w14:textId="692CD325" w:rsidR="00F72D0E" w:rsidRPr="00F72D0E" w:rsidRDefault="00A6421D" w:rsidP="00DB3A58">
      <w:pPr>
        <w:pStyle w:val="Source"/>
        <w:spacing w:after="240"/>
      </w:pPr>
      <w:r w:rsidRPr="00F72D0E">
        <w:t xml:space="preserve">Source: ABS (2021) </w:t>
      </w:r>
      <w:r w:rsidR="00BB5444" w:rsidRPr="00F72D0E">
        <w:t xml:space="preserve">Occupation (OCCP) and Industry of </w:t>
      </w:r>
      <w:r w:rsidR="00D921BB" w:rsidRPr="00F72D0E">
        <w:t>E</w:t>
      </w:r>
      <w:r w:rsidR="00BB5444" w:rsidRPr="00F72D0E">
        <w:t xml:space="preserve">mployment (INDP) </w:t>
      </w:r>
      <w:r w:rsidRPr="00F72D0E">
        <w:t xml:space="preserve">[Census TableBuilder], </w:t>
      </w:r>
      <w:r w:rsidR="00F72D0E">
        <w:br/>
      </w:r>
      <w:r w:rsidRPr="00F72D0E">
        <w:t>accessed 25 March 2024.</w:t>
      </w:r>
    </w:p>
    <w:bookmarkEnd w:id="88"/>
    <w:p w14:paraId="44E4BB7A" w14:textId="07C357D7" w:rsidR="005842A8" w:rsidRDefault="00A6421D" w:rsidP="00B7001D">
      <w:pPr>
        <w:pStyle w:val="Bodycopy"/>
        <w:rPr>
          <w:rFonts w:cs="Arial"/>
        </w:rPr>
      </w:pPr>
      <w:r w:rsidRPr="609C132D">
        <w:rPr>
          <w:rFonts w:cs="Arial"/>
        </w:rPr>
        <w:t xml:space="preserve">The </w:t>
      </w:r>
      <w:r>
        <w:rPr>
          <w:rFonts w:cs="Arial"/>
        </w:rPr>
        <w:t>proportions</w:t>
      </w:r>
      <w:r w:rsidRPr="609C132D">
        <w:rPr>
          <w:rFonts w:cs="Arial"/>
        </w:rPr>
        <w:t xml:space="preserve"> of </w:t>
      </w:r>
      <w:r>
        <w:rPr>
          <w:rFonts w:cs="Arial"/>
        </w:rPr>
        <w:t xml:space="preserve">roles in </w:t>
      </w:r>
      <w:r w:rsidRPr="609C132D">
        <w:rPr>
          <w:rFonts w:cs="Arial"/>
        </w:rPr>
        <w:t xml:space="preserve">the VET workforce by state and territory generally </w:t>
      </w:r>
      <w:r>
        <w:rPr>
          <w:rFonts w:cs="Arial"/>
        </w:rPr>
        <w:t>mirror</w:t>
      </w:r>
      <w:r w:rsidRPr="609C132D">
        <w:rPr>
          <w:rFonts w:cs="Arial"/>
        </w:rPr>
        <w:t xml:space="preserve"> the national VET workforce </w:t>
      </w:r>
      <w:r>
        <w:rPr>
          <w:rFonts w:cs="Arial"/>
        </w:rPr>
        <w:t>segmentation,</w:t>
      </w:r>
      <w:r w:rsidRPr="609C132D">
        <w:rPr>
          <w:rFonts w:cs="Arial"/>
        </w:rPr>
        <w:t xml:space="preserve"> except for in the ACT where only 37.0% of the workforce </w:t>
      </w:r>
      <w:r>
        <w:rPr>
          <w:rFonts w:cs="Arial"/>
        </w:rPr>
        <w:t>are</w:t>
      </w:r>
      <w:r w:rsidRPr="609C132D">
        <w:rPr>
          <w:rFonts w:cs="Arial"/>
        </w:rPr>
        <w:t xml:space="preserve"> in </w:t>
      </w:r>
      <w:r w:rsidR="00CB29F6">
        <w:rPr>
          <w:rFonts w:cs="Arial"/>
        </w:rPr>
        <w:t>Teach, Train, and Assess</w:t>
      </w:r>
      <w:r w:rsidRPr="609C132D">
        <w:rPr>
          <w:rFonts w:cs="Arial"/>
        </w:rPr>
        <w:t xml:space="preserve"> roles and WA where teaching has the highest percentage of this segment </w:t>
      </w:r>
      <w:r>
        <w:rPr>
          <w:rFonts w:cs="Arial"/>
        </w:rPr>
        <w:t>at</w:t>
      </w:r>
      <w:r w:rsidRPr="609C132D">
        <w:rPr>
          <w:rFonts w:cs="Arial"/>
        </w:rPr>
        <w:t xml:space="preserve"> 56.6%. Public data as well as data collected by WA TAFEs for this study aligns with this </w:t>
      </w:r>
      <w:r>
        <w:rPr>
          <w:rFonts w:cs="Arial"/>
        </w:rPr>
        <w:t>Census</w:t>
      </w:r>
      <w:r w:rsidRPr="609C132D">
        <w:rPr>
          <w:rFonts w:cs="Arial"/>
        </w:rPr>
        <w:t xml:space="preserve"> finding. Victoria and the Northern Territory have larger parts of their workforce in </w:t>
      </w:r>
      <w:r>
        <w:rPr>
          <w:rFonts w:cs="Arial"/>
        </w:rPr>
        <w:t>C</w:t>
      </w:r>
      <w:r w:rsidRPr="609C132D">
        <w:rPr>
          <w:rFonts w:cs="Arial"/>
        </w:rPr>
        <w:t xml:space="preserve">urriculum and </w:t>
      </w:r>
      <w:r>
        <w:rPr>
          <w:rFonts w:cs="Arial"/>
        </w:rPr>
        <w:t>L</w:t>
      </w:r>
      <w:r w:rsidRPr="609C132D">
        <w:rPr>
          <w:rFonts w:cs="Arial"/>
        </w:rPr>
        <w:t xml:space="preserve">earning </w:t>
      </w:r>
      <w:r>
        <w:rPr>
          <w:rFonts w:cs="Arial"/>
        </w:rPr>
        <w:t>D</w:t>
      </w:r>
      <w:r w:rsidRPr="609C132D">
        <w:rPr>
          <w:rFonts w:cs="Arial"/>
        </w:rPr>
        <w:t xml:space="preserve">esign (4.1 and 4.4% respectively) than the national figure of 3.6%. NSW, Victoria, and the ACT also have a higher proportion of their workforce concentrated in </w:t>
      </w:r>
      <w:r>
        <w:rPr>
          <w:rFonts w:cs="Arial"/>
        </w:rPr>
        <w:t>L</w:t>
      </w:r>
      <w:r w:rsidRPr="609C132D">
        <w:rPr>
          <w:rFonts w:cs="Arial"/>
        </w:rPr>
        <w:t xml:space="preserve">eadership. </w:t>
      </w:r>
    </w:p>
    <w:p w14:paraId="09AC2BB3" w14:textId="3D47900E" w:rsidR="00A6421D" w:rsidDel="002D45E1" w:rsidRDefault="00A6421D" w:rsidP="00B7001D">
      <w:pPr>
        <w:pStyle w:val="Bodycopy"/>
        <w:rPr>
          <w:rFonts w:cs="Arial"/>
        </w:rPr>
      </w:pPr>
      <w:r w:rsidRPr="609C132D">
        <w:rPr>
          <w:rFonts w:cs="Arial"/>
        </w:rPr>
        <w:t xml:space="preserve">NSW has the highest proportion of their workforce in </w:t>
      </w:r>
      <w:r>
        <w:rPr>
          <w:rFonts w:cs="Arial"/>
        </w:rPr>
        <w:t>L</w:t>
      </w:r>
      <w:r w:rsidRPr="609C132D">
        <w:rPr>
          <w:rFonts w:cs="Arial"/>
        </w:rPr>
        <w:t xml:space="preserve">earning </w:t>
      </w:r>
      <w:r>
        <w:rPr>
          <w:rFonts w:cs="Arial"/>
        </w:rPr>
        <w:t>S</w:t>
      </w:r>
      <w:r w:rsidRPr="609C132D">
        <w:rPr>
          <w:rFonts w:cs="Arial"/>
        </w:rPr>
        <w:t xml:space="preserve">upport roles at 5.7%, higher than </w:t>
      </w:r>
      <w:r>
        <w:rPr>
          <w:rFonts w:cs="Arial"/>
        </w:rPr>
        <w:t>at</w:t>
      </w:r>
      <w:r w:rsidRPr="609C132D">
        <w:rPr>
          <w:rFonts w:cs="Arial"/>
        </w:rPr>
        <w:t xml:space="preserve"> national </w:t>
      </w:r>
      <w:r>
        <w:rPr>
          <w:rFonts w:cs="Arial"/>
        </w:rPr>
        <w:t>level, which</w:t>
      </w:r>
      <w:r w:rsidRPr="609C132D">
        <w:rPr>
          <w:rFonts w:cs="Arial"/>
        </w:rPr>
        <w:t xml:space="preserve"> </w:t>
      </w:r>
      <w:r>
        <w:rPr>
          <w:rFonts w:cs="Arial"/>
        </w:rPr>
        <w:t>is</w:t>
      </w:r>
      <w:r w:rsidRPr="609C132D">
        <w:rPr>
          <w:rFonts w:cs="Arial"/>
        </w:rPr>
        <w:t xml:space="preserve"> 4.3%. This could relate to </w:t>
      </w:r>
      <w:r>
        <w:rPr>
          <w:rFonts w:cs="Arial"/>
        </w:rPr>
        <w:t>the</w:t>
      </w:r>
      <w:r w:rsidRPr="609C132D">
        <w:rPr>
          <w:rFonts w:cs="Arial"/>
        </w:rPr>
        <w:t xml:space="preserve"> distinct</w:t>
      </w:r>
      <w:r>
        <w:rPr>
          <w:rFonts w:cs="Arial"/>
        </w:rPr>
        <w:t>ive</w:t>
      </w:r>
      <w:r w:rsidRPr="609C132D">
        <w:rPr>
          <w:rFonts w:cs="Arial"/>
        </w:rPr>
        <w:t xml:space="preserve"> classification of Education Support Officer roles in </w:t>
      </w:r>
      <w:r>
        <w:rPr>
          <w:rFonts w:cs="Arial"/>
        </w:rPr>
        <w:t xml:space="preserve">the </w:t>
      </w:r>
      <w:r w:rsidRPr="151E15F1">
        <w:rPr>
          <w:rFonts w:cs="Arial"/>
        </w:rPr>
        <w:t xml:space="preserve">TAFE </w:t>
      </w:r>
      <w:r>
        <w:rPr>
          <w:rFonts w:cs="Arial"/>
        </w:rPr>
        <w:t>NSW</w:t>
      </w:r>
      <w:r w:rsidRPr="609C132D">
        <w:rPr>
          <w:rFonts w:cs="Arial"/>
        </w:rPr>
        <w:t xml:space="preserve"> enterprise agreement</w:t>
      </w:r>
      <w:r>
        <w:rPr>
          <w:rFonts w:cs="Arial"/>
        </w:rPr>
        <w:t>.</w:t>
      </w:r>
      <w:r w:rsidRPr="609C132D">
        <w:rPr>
          <w:rFonts w:cs="Arial"/>
        </w:rPr>
        <w:t xml:space="preserve"> </w:t>
      </w:r>
      <w:r>
        <w:rPr>
          <w:rFonts w:cs="Arial"/>
        </w:rPr>
        <w:t>This</w:t>
      </w:r>
      <w:r w:rsidRPr="609C132D">
        <w:rPr>
          <w:rFonts w:cs="Arial"/>
        </w:rPr>
        <w:t xml:space="preserve"> is discussed in the employment characteristics section of this chapter and </w:t>
      </w:r>
      <w:r>
        <w:rPr>
          <w:rFonts w:cs="Arial"/>
        </w:rPr>
        <w:t xml:space="preserve">in </w:t>
      </w:r>
      <w:r w:rsidRPr="609C132D">
        <w:rPr>
          <w:rFonts w:cs="Arial"/>
        </w:rPr>
        <w:t>the next chapter where we profile job roles under each segment and introduce the occupational framework. The territories are outliers in Administration and Operations</w:t>
      </w:r>
      <w:r>
        <w:rPr>
          <w:rFonts w:cs="Arial"/>
        </w:rPr>
        <w:t>,</w:t>
      </w:r>
      <w:r w:rsidRPr="609C132D">
        <w:rPr>
          <w:rFonts w:cs="Arial"/>
        </w:rPr>
        <w:t xml:space="preserve"> with NT having only 17.9% of their workforce in these roles and the ACT having 35.5%, see </w:t>
      </w:r>
      <w:hyperlink w:anchor="Figure_2_1" w:history="1">
        <w:r w:rsidRPr="009014D1">
          <w:rPr>
            <w:rStyle w:val="Hyperlink"/>
            <w:rFonts w:cs="Arial"/>
          </w:rPr>
          <w:t>Table 2.1</w:t>
        </w:r>
      </w:hyperlink>
      <w:r w:rsidRPr="609C132D">
        <w:rPr>
          <w:rFonts w:cs="Arial"/>
        </w:rPr>
        <w:t>.</w:t>
      </w:r>
    </w:p>
    <w:p w14:paraId="2D15165E" w14:textId="10963428" w:rsidR="00C254BD" w:rsidRDefault="00A6421D" w:rsidP="00E16D4F">
      <w:pPr>
        <w:pStyle w:val="Bodycopy"/>
      </w:pPr>
      <w:r>
        <w:t>From a traditional ANZSCO framework, the most common occupation in the VET workforce overall was Vocational Education Teacher (21.5%) followed by General Clerk (5.0%). All other occupations represented less than 2.0% of the workforce, including Faculty Head, Teacher of English to Speakers of Other Languages, Training and Development Professional, Program or Project Administrator, Human Resources Manager and Teachers’ Aide.</w:t>
      </w:r>
    </w:p>
    <w:p w14:paraId="653DD80C" w14:textId="60D4FA29" w:rsidR="00A6421D" w:rsidRDefault="00C254BD" w:rsidP="00F72610">
      <w:r>
        <w:br w:type="page"/>
      </w:r>
    </w:p>
    <w:p w14:paraId="0F87DF8C" w14:textId="0E978F3F" w:rsidR="00A6421D" w:rsidRDefault="00A6421D" w:rsidP="003F0105">
      <w:pPr>
        <w:pStyle w:val="Caption"/>
        <w:keepNext/>
        <w:spacing w:after="240"/>
      </w:pPr>
      <w:bookmarkStart w:id="89" w:name="Table_2_1"/>
      <w:r>
        <w:lastRenderedPageBreak/>
        <w:t xml:space="preserve">Table </w:t>
      </w:r>
      <w:r w:rsidR="004B692A">
        <w:fldChar w:fldCharType="begin"/>
      </w:r>
      <w:r w:rsidR="004B692A">
        <w:instrText xml:space="preserve"> STYLEREF 1 \s </w:instrText>
      </w:r>
      <w:r w:rsidR="004B692A">
        <w:fldChar w:fldCharType="separate"/>
      </w:r>
      <w:r w:rsidR="00E7704E">
        <w:rPr>
          <w:noProof/>
        </w:rPr>
        <w:t>2</w:t>
      </w:r>
      <w:r w:rsidR="004B692A">
        <w:fldChar w:fldCharType="end"/>
      </w:r>
      <w:r w:rsidR="004B692A">
        <w:t>.</w:t>
      </w:r>
      <w:r w:rsidR="004B692A">
        <w:fldChar w:fldCharType="begin"/>
      </w:r>
      <w:r w:rsidR="004B692A">
        <w:instrText xml:space="preserve"> SEQ Table \* ARABIC \s 1 </w:instrText>
      </w:r>
      <w:r w:rsidR="004B692A">
        <w:fldChar w:fldCharType="separate"/>
      </w:r>
      <w:r w:rsidR="00E7704E">
        <w:rPr>
          <w:noProof/>
        </w:rPr>
        <w:t>1</w:t>
      </w:r>
      <w:r w:rsidR="004B692A">
        <w:fldChar w:fldCharType="end"/>
      </w:r>
      <w:r>
        <w:t xml:space="preserve"> State and Territory distribution of VET workforce by segment</w:t>
      </w:r>
    </w:p>
    <w:bookmarkEnd w:id="89"/>
    <w:tbl>
      <w:tblPr>
        <w:tblStyle w:val="JSATable1"/>
        <w:tblW w:w="8902" w:type="dxa"/>
        <w:tblLayout w:type="fixed"/>
        <w:tblLook w:val="0020" w:firstRow="1" w:lastRow="0" w:firstColumn="0" w:lastColumn="0" w:noHBand="0" w:noVBand="0"/>
        <w:tblDescription w:val="State and Territory distribution of VET workforce by segment"/>
      </w:tblPr>
      <w:tblGrid>
        <w:gridCol w:w="2006"/>
        <w:gridCol w:w="862"/>
        <w:gridCol w:w="862"/>
        <w:gridCol w:w="862"/>
        <w:gridCol w:w="862"/>
        <w:gridCol w:w="862"/>
        <w:gridCol w:w="862"/>
        <w:gridCol w:w="862"/>
        <w:gridCol w:w="862"/>
      </w:tblGrid>
      <w:tr w:rsidR="00A6421D" w14:paraId="1D8A1055" w14:textId="77777777" w:rsidTr="00F72610">
        <w:trPr>
          <w:cnfStyle w:val="100000000000" w:firstRow="1" w:lastRow="0" w:firstColumn="0" w:lastColumn="0" w:oddVBand="0" w:evenVBand="0" w:oddHBand="0" w:evenHBand="0" w:firstRowFirstColumn="0" w:firstRowLastColumn="0" w:lastRowFirstColumn="0" w:lastRowLastColumn="0"/>
          <w:trHeight w:val="971"/>
        </w:trPr>
        <w:tc>
          <w:tcPr>
            <w:cnfStyle w:val="000010000000" w:firstRow="0" w:lastRow="0" w:firstColumn="0" w:lastColumn="0" w:oddVBand="1" w:evenVBand="0" w:oddHBand="0" w:evenHBand="0" w:firstRowFirstColumn="0" w:firstRowLastColumn="0" w:lastRowFirstColumn="0" w:lastRowLastColumn="0"/>
            <w:tcW w:w="2111" w:type="dxa"/>
          </w:tcPr>
          <w:p w14:paraId="6A97A45F" w14:textId="77777777" w:rsidR="00A6421D" w:rsidRDefault="00A6421D" w:rsidP="00F72610">
            <w:pPr>
              <w:pStyle w:val="Tableheader"/>
              <w:ind w:left="142"/>
            </w:pPr>
          </w:p>
        </w:tc>
        <w:tc>
          <w:tcPr>
            <w:cnfStyle w:val="000001000000" w:firstRow="0" w:lastRow="0" w:firstColumn="0" w:lastColumn="0" w:oddVBand="0" w:evenVBand="1" w:oddHBand="0" w:evenHBand="0" w:firstRowFirstColumn="0" w:firstRowLastColumn="0" w:lastRowFirstColumn="0" w:lastRowLastColumn="0"/>
            <w:tcW w:w="907" w:type="dxa"/>
          </w:tcPr>
          <w:p w14:paraId="5689B849" w14:textId="77777777" w:rsidR="00A6421D" w:rsidRDefault="00A6421D" w:rsidP="00F72610">
            <w:pPr>
              <w:pStyle w:val="Tableheader"/>
            </w:pPr>
            <w:r w:rsidRPr="230B0710">
              <w:t>NSW</w:t>
            </w:r>
          </w:p>
        </w:tc>
        <w:tc>
          <w:tcPr>
            <w:cnfStyle w:val="000010000000" w:firstRow="0" w:lastRow="0" w:firstColumn="0" w:lastColumn="0" w:oddVBand="1" w:evenVBand="0" w:oddHBand="0" w:evenHBand="0" w:firstRowFirstColumn="0" w:firstRowLastColumn="0" w:lastRowFirstColumn="0" w:lastRowLastColumn="0"/>
            <w:tcW w:w="907" w:type="dxa"/>
          </w:tcPr>
          <w:p w14:paraId="7C6FB84F" w14:textId="77777777" w:rsidR="00A6421D" w:rsidRDefault="00A6421D" w:rsidP="00F72610">
            <w:pPr>
              <w:pStyle w:val="Tableheader"/>
            </w:pPr>
            <w:r w:rsidRPr="230B0710">
              <w:t>Vic</w:t>
            </w:r>
          </w:p>
        </w:tc>
        <w:tc>
          <w:tcPr>
            <w:cnfStyle w:val="000001000000" w:firstRow="0" w:lastRow="0" w:firstColumn="0" w:lastColumn="0" w:oddVBand="0" w:evenVBand="1" w:oddHBand="0" w:evenHBand="0" w:firstRowFirstColumn="0" w:firstRowLastColumn="0" w:lastRowFirstColumn="0" w:lastRowLastColumn="0"/>
            <w:tcW w:w="907" w:type="dxa"/>
          </w:tcPr>
          <w:p w14:paraId="64FEAF33" w14:textId="77777777" w:rsidR="00A6421D" w:rsidRDefault="00A6421D" w:rsidP="00F72610">
            <w:pPr>
              <w:pStyle w:val="Tableheader"/>
            </w:pPr>
            <w:r w:rsidRPr="230B0710">
              <w:t>Qld</w:t>
            </w:r>
          </w:p>
        </w:tc>
        <w:tc>
          <w:tcPr>
            <w:cnfStyle w:val="000010000000" w:firstRow="0" w:lastRow="0" w:firstColumn="0" w:lastColumn="0" w:oddVBand="1" w:evenVBand="0" w:oddHBand="0" w:evenHBand="0" w:firstRowFirstColumn="0" w:firstRowLastColumn="0" w:lastRowFirstColumn="0" w:lastRowLastColumn="0"/>
            <w:tcW w:w="907" w:type="dxa"/>
          </w:tcPr>
          <w:p w14:paraId="19942526" w14:textId="77777777" w:rsidR="00A6421D" w:rsidRDefault="00A6421D" w:rsidP="00F72610">
            <w:pPr>
              <w:pStyle w:val="Tableheader"/>
            </w:pPr>
            <w:r w:rsidRPr="230B0710">
              <w:t>SA</w:t>
            </w:r>
          </w:p>
        </w:tc>
        <w:tc>
          <w:tcPr>
            <w:cnfStyle w:val="000001000000" w:firstRow="0" w:lastRow="0" w:firstColumn="0" w:lastColumn="0" w:oddVBand="0" w:evenVBand="1" w:oddHBand="0" w:evenHBand="0" w:firstRowFirstColumn="0" w:firstRowLastColumn="0" w:lastRowFirstColumn="0" w:lastRowLastColumn="0"/>
            <w:tcW w:w="907" w:type="dxa"/>
          </w:tcPr>
          <w:p w14:paraId="6361F2AD" w14:textId="77777777" w:rsidR="00A6421D" w:rsidRDefault="00A6421D" w:rsidP="00F72610">
            <w:pPr>
              <w:pStyle w:val="Tableheader"/>
            </w:pPr>
            <w:r w:rsidRPr="230B0710">
              <w:t>WA</w:t>
            </w:r>
          </w:p>
        </w:tc>
        <w:tc>
          <w:tcPr>
            <w:cnfStyle w:val="000010000000" w:firstRow="0" w:lastRow="0" w:firstColumn="0" w:lastColumn="0" w:oddVBand="1" w:evenVBand="0" w:oddHBand="0" w:evenHBand="0" w:firstRowFirstColumn="0" w:firstRowLastColumn="0" w:lastRowFirstColumn="0" w:lastRowLastColumn="0"/>
            <w:tcW w:w="907" w:type="dxa"/>
          </w:tcPr>
          <w:p w14:paraId="3FA7C8D0" w14:textId="77777777" w:rsidR="00A6421D" w:rsidRDefault="00A6421D" w:rsidP="00F72610">
            <w:pPr>
              <w:pStyle w:val="Tableheader"/>
            </w:pPr>
            <w:r w:rsidRPr="230B0710">
              <w:t>Tas</w:t>
            </w:r>
          </w:p>
        </w:tc>
        <w:tc>
          <w:tcPr>
            <w:cnfStyle w:val="000001000000" w:firstRow="0" w:lastRow="0" w:firstColumn="0" w:lastColumn="0" w:oddVBand="0" w:evenVBand="1" w:oddHBand="0" w:evenHBand="0" w:firstRowFirstColumn="0" w:firstRowLastColumn="0" w:lastRowFirstColumn="0" w:lastRowLastColumn="0"/>
            <w:tcW w:w="907" w:type="dxa"/>
          </w:tcPr>
          <w:p w14:paraId="22CFB7F8" w14:textId="77777777" w:rsidR="00A6421D" w:rsidRDefault="00A6421D" w:rsidP="00F72610">
            <w:pPr>
              <w:pStyle w:val="Tableheader"/>
            </w:pPr>
            <w:r w:rsidRPr="230B0710">
              <w:t>NT</w:t>
            </w:r>
          </w:p>
        </w:tc>
        <w:tc>
          <w:tcPr>
            <w:cnfStyle w:val="000010000000" w:firstRow="0" w:lastRow="0" w:firstColumn="0" w:lastColumn="0" w:oddVBand="1" w:evenVBand="0" w:oddHBand="0" w:evenHBand="0" w:firstRowFirstColumn="0" w:firstRowLastColumn="0" w:lastRowFirstColumn="0" w:lastRowLastColumn="0"/>
            <w:tcW w:w="907" w:type="dxa"/>
          </w:tcPr>
          <w:p w14:paraId="15D167DC" w14:textId="77777777" w:rsidR="00A6421D" w:rsidRDefault="00A6421D" w:rsidP="00F72610">
            <w:pPr>
              <w:pStyle w:val="Tableheader"/>
            </w:pPr>
            <w:r w:rsidRPr="230B0710">
              <w:t>ACT</w:t>
            </w:r>
          </w:p>
        </w:tc>
      </w:tr>
      <w:tr w:rsidR="00A6421D" w14:paraId="6DA6A90F" w14:textId="77777777" w:rsidTr="003F0105">
        <w:trPr>
          <w:cnfStyle w:val="000000100000" w:firstRow="0" w:lastRow="0" w:firstColumn="0" w:lastColumn="0" w:oddVBand="0" w:evenVBand="0" w:oddHBand="1" w:evenHBand="0" w:firstRowFirstColumn="0" w:firstRowLastColumn="0" w:lastRowFirstColumn="0" w:lastRowLastColumn="0"/>
          <w:trHeight w:val="680"/>
        </w:trPr>
        <w:tc>
          <w:tcPr>
            <w:cnfStyle w:val="000010000000" w:firstRow="0" w:lastRow="0" w:firstColumn="0" w:lastColumn="0" w:oddVBand="1" w:evenVBand="0" w:oddHBand="0" w:evenHBand="0" w:firstRowFirstColumn="0" w:firstRowLastColumn="0" w:lastRowFirstColumn="0" w:lastRowLastColumn="0"/>
            <w:tcW w:w="2111" w:type="dxa"/>
            <w:vAlign w:val="center"/>
          </w:tcPr>
          <w:p w14:paraId="54A14333" w14:textId="5D78193B" w:rsidR="00A6421D" w:rsidRDefault="00CB29F6" w:rsidP="00F72610">
            <w:pPr>
              <w:pStyle w:val="Tablebodycopy"/>
              <w:ind w:left="142"/>
              <w:rPr>
                <w:rFonts w:eastAsia="Arial" w:cs="Arial"/>
              </w:rPr>
            </w:pPr>
            <w:r>
              <w:rPr>
                <w:rFonts w:eastAsia="Arial" w:cs="Arial"/>
              </w:rPr>
              <w:t>Teach, Train, and Assess</w:t>
            </w:r>
          </w:p>
        </w:tc>
        <w:tc>
          <w:tcPr>
            <w:cnfStyle w:val="000001000000" w:firstRow="0" w:lastRow="0" w:firstColumn="0" w:lastColumn="0" w:oddVBand="0" w:evenVBand="1" w:oddHBand="0" w:evenHBand="0" w:firstRowFirstColumn="0" w:firstRowLastColumn="0" w:lastRowFirstColumn="0" w:lastRowLastColumn="0"/>
            <w:tcW w:w="907" w:type="dxa"/>
            <w:vAlign w:val="center"/>
          </w:tcPr>
          <w:p w14:paraId="499BEFD1" w14:textId="77777777" w:rsidR="00A6421D" w:rsidRDefault="00A6421D" w:rsidP="00F72610">
            <w:pPr>
              <w:pStyle w:val="Tablebodycopy"/>
              <w:jc w:val="center"/>
              <w:rPr>
                <w:rFonts w:eastAsia="Arial" w:cs="Arial"/>
              </w:rPr>
            </w:pPr>
            <w:r w:rsidRPr="230B0710">
              <w:rPr>
                <w:rFonts w:eastAsia="Arial" w:cs="Arial"/>
              </w:rPr>
              <w:t>45.7%</w:t>
            </w:r>
          </w:p>
        </w:tc>
        <w:tc>
          <w:tcPr>
            <w:cnfStyle w:val="000010000000" w:firstRow="0" w:lastRow="0" w:firstColumn="0" w:lastColumn="0" w:oddVBand="1" w:evenVBand="0" w:oddHBand="0" w:evenHBand="0" w:firstRowFirstColumn="0" w:firstRowLastColumn="0" w:lastRowFirstColumn="0" w:lastRowLastColumn="0"/>
            <w:tcW w:w="907" w:type="dxa"/>
            <w:vAlign w:val="center"/>
          </w:tcPr>
          <w:p w14:paraId="7E4BFB2A" w14:textId="77777777" w:rsidR="00A6421D" w:rsidRDefault="00A6421D" w:rsidP="00F72610">
            <w:pPr>
              <w:pStyle w:val="Tablebodycopy"/>
              <w:jc w:val="center"/>
              <w:rPr>
                <w:rFonts w:eastAsia="Arial" w:cs="Arial"/>
              </w:rPr>
            </w:pPr>
            <w:r w:rsidRPr="230B0710">
              <w:rPr>
                <w:rFonts w:eastAsia="Arial" w:cs="Arial"/>
              </w:rPr>
              <w:t>50.0%</w:t>
            </w:r>
          </w:p>
        </w:tc>
        <w:tc>
          <w:tcPr>
            <w:cnfStyle w:val="000001000000" w:firstRow="0" w:lastRow="0" w:firstColumn="0" w:lastColumn="0" w:oddVBand="0" w:evenVBand="1" w:oddHBand="0" w:evenHBand="0" w:firstRowFirstColumn="0" w:firstRowLastColumn="0" w:lastRowFirstColumn="0" w:lastRowLastColumn="0"/>
            <w:tcW w:w="907" w:type="dxa"/>
            <w:vAlign w:val="center"/>
          </w:tcPr>
          <w:p w14:paraId="43EF7D15" w14:textId="77777777" w:rsidR="00A6421D" w:rsidRDefault="00A6421D" w:rsidP="00F72610">
            <w:pPr>
              <w:pStyle w:val="Tablebodycopy"/>
              <w:jc w:val="center"/>
              <w:rPr>
                <w:rFonts w:eastAsia="Arial" w:cs="Arial"/>
              </w:rPr>
            </w:pPr>
            <w:r w:rsidRPr="230B0710">
              <w:rPr>
                <w:rFonts w:eastAsia="Arial" w:cs="Arial"/>
              </w:rPr>
              <w:t>46.6%</w:t>
            </w:r>
          </w:p>
        </w:tc>
        <w:tc>
          <w:tcPr>
            <w:cnfStyle w:val="000010000000" w:firstRow="0" w:lastRow="0" w:firstColumn="0" w:lastColumn="0" w:oddVBand="1" w:evenVBand="0" w:oddHBand="0" w:evenHBand="0" w:firstRowFirstColumn="0" w:firstRowLastColumn="0" w:lastRowFirstColumn="0" w:lastRowLastColumn="0"/>
            <w:tcW w:w="907" w:type="dxa"/>
            <w:vAlign w:val="center"/>
          </w:tcPr>
          <w:p w14:paraId="559E6E29" w14:textId="77777777" w:rsidR="00A6421D" w:rsidRDefault="00A6421D" w:rsidP="00F72610">
            <w:pPr>
              <w:pStyle w:val="Tablebodycopy"/>
              <w:jc w:val="center"/>
              <w:rPr>
                <w:rFonts w:eastAsia="Arial" w:cs="Arial"/>
              </w:rPr>
            </w:pPr>
            <w:r w:rsidRPr="230B0710">
              <w:rPr>
                <w:rFonts w:eastAsia="Arial" w:cs="Arial"/>
              </w:rPr>
              <w:t>49.3%</w:t>
            </w:r>
          </w:p>
        </w:tc>
        <w:tc>
          <w:tcPr>
            <w:cnfStyle w:val="000001000000" w:firstRow="0" w:lastRow="0" w:firstColumn="0" w:lastColumn="0" w:oddVBand="0" w:evenVBand="1" w:oddHBand="0" w:evenHBand="0" w:firstRowFirstColumn="0" w:firstRowLastColumn="0" w:lastRowFirstColumn="0" w:lastRowLastColumn="0"/>
            <w:tcW w:w="907" w:type="dxa"/>
            <w:vAlign w:val="center"/>
          </w:tcPr>
          <w:p w14:paraId="39F50B70" w14:textId="77777777" w:rsidR="00A6421D" w:rsidRDefault="00A6421D" w:rsidP="00F72610">
            <w:pPr>
              <w:pStyle w:val="Tablebodycopy"/>
              <w:jc w:val="center"/>
              <w:rPr>
                <w:rFonts w:eastAsia="Arial" w:cs="Arial"/>
              </w:rPr>
            </w:pPr>
            <w:r w:rsidRPr="230B0710">
              <w:rPr>
                <w:rFonts w:eastAsia="Arial" w:cs="Arial"/>
              </w:rPr>
              <w:t>56.6%</w:t>
            </w:r>
          </w:p>
        </w:tc>
        <w:tc>
          <w:tcPr>
            <w:cnfStyle w:val="000010000000" w:firstRow="0" w:lastRow="0" w:firstColumn="0" w:lastColumn="0" w:oddVBand="1" w:evenVBand="0" w:oddHBand="0" w:evenHBand="0" w:firstRowFirstColumn="0" w:firstRowLastColumn="0" w:lastRowFirstColumn="0" w:lastRowLastColumn="0"/>
            <w:tcW w:w="907" w:type="dxa"/>
            <w:vAlign w:val="center"/>
          </w:tcPr>
          <w:p w14:paraId="08C49AC9" w14:textId="77777777" w:rsidR="00A6421D" w:rsidRDefault="00A6421D" w:rsidP="00F72610">
            <w:pPr>
              <w:pStyle w:val="Tablebodycopy"/>
              <w:jc w:val="center"/>
              <w:rPr>
                <w:rFonts w:eastAsia="Arial" w:cs="Arial"/>
              </w:rPr>
            </w:pPr>
            <w:r w:rsidRPr="230B0710">
              <w:rPr>
                <w:rFonts w:eastAsia="Arial" w:cs="Arial"/>
              </w:rPr>
              <w:t>54.0%</w:t>
            </w:r>
          </w:p>
        </w:tc>
        <w:tc>
          <w:tcPr>
            <w:cnfStyle w:val="000001000000" w:firstRow="0" w:lastRow="0" w:firstColumn="0" w:lastColumn="0" w:oddVBand="0" w:evenVBand="1" w:oddHBand="0" w:evenHBand="0" w:firstRowFirstColumn="0" w:firstRowLastColumn="0" w:lastRowFirstColumn="0" w:lastRowLastColumn="0"/>
            <w:tcW w:w="907" w:type="dxa"/>
            <w:vAlign w:val="center"/>
          </w:tcPr>
          <w:p w14:paraId="7972D55A" w14:textId="77777777" w:rsidR="00A6421D" w:rsidRDefault="00A6421D" w:rsidP="00F72610">
            <w:pPr>
              <w:pStyle w:val="Tablebodycopy"/>
              <w:jc w:val="center"/>
              <w:rPr>
                <w:rFonts w:eastAsia="Arial" w:cs="Arial"/>
              </w:rPr>
            </w:pPr>
            <w:r w:rsidRPr="230B0710">
              <w:rPr>
                <w:rFonts w:eastAsia="Arial" w:cs="Arial"/>
              </w:rPr>
              <w:t>55.9%</w:t>
            </w:r>
          </w:p>
        </w:tc>
        <w:tc>
          <w:tcPr>
            <w:cnfStyle w:val="000010000000" w:firstRow="0" w:lastRow="0" w:firstColumn="0" w:lastColumn="0" w:oddVBand="1" w:evenVBand="0" w:oddHBand="0" w:evenHBand="0" w:firstRowFirstColumn="0" w:firstRowLastColumn="0" w:lastRowFirstColumn="0" w:lastRowLastColumn="0"/>
            <w:tcW w:w="907" w:type="dxa"/>
            <w:vAlign w:val="center"/>
          </w:tcPr>
          <w:p w14:paraId="456FD0B6" w14:textId="77777777" w:rsidR="00A6421D" w:rsidRDefault="00A6421D" w:rsidP="00F72610">
            <w:pPr>
              <w:pStyle w:val="Tablebodycopy"/>
              <w:jc w:val="center"/>
              <w:rPr>
                <w:rFonts w:eastAsia="Arial" w:cs="Arial"/>
              </w:rPr>
            </w:pPr>
            <w:r w:rsidRPr="230B0710">
              <w:rPr>
                <w:rFonts w:eastAsia="Arial" w:cs="Arial"/>
              </w:rPr>
              <w:t>37.0%</w:t>
            </w:r>
          </w:p>
        </w:tc>
      </w:tr>
      <w:tr w:rsidR="00FB7C3A" w14:paraId="3BEE54AA" w14:textId="77777777" w:rsidTr="003F0105">
        <w:trPr>
          <w:cnfStyle w:val="000000010000" w:firstRow="0" w:lastRow="0" w:firstColumn="0" w:lastColumn="0" w:oddVBand="0" w:evenVBand="0" w:oddHBand="0" w:evenHBand="1" w:firstRowFirstColumn="0" w:firstRowLastColumn="0" w:lastRowFirstColumn="0" w:lastRowLastColumn="0"/>
          <w:trHeight w:val="680"/>
        </w:trPr>
        <w:tc>
          <w:tcPr>
            <w:cnfStyle w:val="000010000000" w:firstRow="0" w:lastRow="0" w:firstColumn="0" w:lastColumn="0" w:oddVBand="1" w:evenVBand="0" w:oddHBand="0" w:evenHBand="0" w:firstRowFirstColumn="0" w:firstRowLastColumn="0" w:lastRowFirstColumn="0" w:lastRowLastColumn="0"/>
            <w:tcW w:w="2111" w:type="dxa"/>
            <w:vAlign w:val="center"/>
          </w:tcPr>
          <w:p w14:paraId="2DB0A793" w14:textId="77777777" w:rsidR="00A6421D" w:rsidRDefault="00A6421D" w:rsidP="00F72610">
            <w:pPr>
              <w:pStyle w:val="Tablebodycopy"/>
              <w:ind w:left="142"/>
              <w:rPr>
                <w:rFonts w:eastAsia="Arial" w:cs="Arial"/>
              </w:rPr>
            </w:pPr>
            <w:r w:rsidRPr="230B0710">
              <w:rPr>
                <w:rFonts w:eastAsia="Arial" w:cs="Arial"/>
              </w:rPr>
              <w:t>Curriculum and Learning Design</w:t>
            </w:r>
          </w:p>
        </w:tc>
        <w:tc>
          <w:tcPr>
            <w:cnfStyle w:val="000001000000" w:firstRow="0" w:lastRow="0" w:firstColumn="0" w:lastColumn="0" w:oddVBand="0" w:evenVBand="1" w:oddHBand="0" w:evenHBand="0" w:firstRowFirstColumn="0" w:firstRowLastColumn="0" w:lastRowFirstColumn="0" w:lastRowLastColumn="0"/>
            <w:tcW w:w="907" w:type="dxa"/>
            <w:vAlign w:val="center"/>
          </w:tcPr>
          <w:p w14:paraId="6D198772" w14:textId="77777777" w:rsidR="00A6421D" w:rsidRDefault="00A6421D" w:rsidP="00F72610">
            <w:pPr>
              <w:pStyle w:val="Tablebodycopy"/>
              <w:jc w:val="center"/>
              <w:rPr>
                <w:rFonts w:eastAsia="Arial" w:cs="Arial"/>
              </w:rPr>
            </w:pPr>
            <w:r w:rsidRPr="230B0710">
              <w:rPr>
                <w:rFonts w:eastAsia="Arial" w:cs="Arial"/>
              </w:rPr>
              <w:t>3.6%</w:t>
            </w:r>
          </w:p>
        </w:tc>
        <w:tc>
          <w:tcPr>
            <w:cnfStyle w:val="000010000000" w:firstRow="0" w:lastRow="0" w:firstColumn="0" w:lastColumn="0" w:oddVBand="1" w:evenVBand="0" w:oddHBand="0" w:evenHBand="0" w:firstRowFirstColumn="0" w:firstRowLastColumn="0" w:lastRowFirstColumn="0" w:lastRowLastColumn="0"/>
            <w:tcW w:w="907" w:type="dxa"/>
            <w:vAlign w:val="center"/>
          </w:tcPr>
          <w:p w14:paraId="076E007A" w14:textId="77777777" w:rsidR="00A6421D" w:rsidRDefault="00A6421D" w:rsidP="00F72610">
            <w:pPr>
              <w:pStyle w:val="Tablebodycopy"/>
              <w:jc w:val="center"/>
              <w:rPr>
                <w:rFonts w:eastAsia="Arial" w:cs="Arial"/>
              </w:rPr>
            </w:pPr>
            <w:r w:rsidRPr="230B0710">
              <w:rPr>
                <w:rFonts w:eastAsia="Arial" w:cs="Arial"/>
              </w:rPr>
              <w:t>4.1%</w:t>
            </w:r>
          </w:p>
        </w:tc>
        <w:tc>
          <w:tcPr>
            <w:cnfStyle w:val="000001000000" w:firstRow="0" w:lastRow="0" w:firstColumn="0" w:lastColumn="0" w:oddVBand="0" w:evenVBand="1" w:oddHBand="0" w:evenHBand="0" w:firstRowFirstColumn="0" w:firstRowLastColumn="0" w:lastRowFirstColumn="0" w:lastRowLastColumn="0"/>
            <w:tcW w:w="907" w:type="dxa"/>
            <w:vAlign w:val="center"/>
          </w:tcPr>
          <w:p w14:paraId="2214F6B4" w14:textId="77777777" w:rsidR="00A6421D" w:rsidRDefault="00A6421D" w:rsidP="00F72610">
            <w:pPr>
              <w:pStyle w:val="Tablebodycopy"/>
              <w:jc w:val="center"/>
              <w:rPr>
                <w:rFonts w:eastAsia="Arial" w:cs="Arial"/>
              </w:rPr>
            </w:pPr>
            <w:r w:rsidRPr="230B0710">
              <w:rPr>
                <w:rFonts w:eastAsia="Arial" w:cs="Arial"/>
              </w:rPr>
              <w:t>3.8%</w:t>
            </w:r>
          </w:p>
        </w:tc>
        <w:tc>
          <w:tcPr>
            <w:cnfStyle w:val="000010000000" w:firstRow="0" w:lastRow="0" w:firstColumn="0" w:lastColumn="0" w:oddVBand="1" w:evenVBand="0" w:oddHBand="0" w:evenHBand="0" w:firstRowFirstColumn="0" w:firstRowLastColumn="0" w:lastRowFirstColumn="0" w:lastRowLastColumn="0"/>
            <w:tcW w:w="907" w:type="dxa"/>
            <w:vAlign w:val="center"/>
          </w:tcPr>
          <w:p w14:paraId="19491B94" w14:textId="77777777" w:rsidR="00A6421D" w:rsidRDefault="00A6421D" w:rsidP="00F72610">
            <w:pPr>
              <w:pStyle w:val="Tablebodycopy"/>
              <w:jc w:val="center"/>
              <w:rPr>
                <w:rFonts w:eastAsia="Arial" w:cs="Arial"/>
              </w:rPr>
            </w:pPr>
            <w:r w:rsidRPr="230B0710">
              <w:rPr>
                <w:rFonts w:eastAsia="Arial" w:cs="Arial"/>
              </w:rPr>
              <w:t>2.9%</w:t>
            </w:r>
          </w:p>
        </w:tc>
        <w:tc>
          <w:tcPr>
            <w:cnfStyle w:val="000001000000" w:firstRow="0" w:lastRow="0" w:firstColumn="0" w:lastColumn="0" w:oddVBand="0" w:evenVBand="1" w:oddHBand="0" w:evenHBand="0" w:firstRowFirstColumn="0" w:firstRowLastColumn="0" w:lastRowFirstColumn="0" w:lastRowLastColumn="0"/>
            <w:tcW w:w="907" w:type="dxa"/>
            <w:vAlign w:val="center"/>
          </w:tcPr>
          <w:p w14:paraId="24B3BB7C" w14:textId="77777777" w:rsidR="00A6421D" w:rsidRDefault="00A6421D" w:rsidP="00F72610">
            <w:pPr>
              <w:pStyle w:val="Tablebodycopy"/>
              <w:jc w:val="center"/>
              <w:rPr>
                <w:rFonts w:eastAsia="Arial" w:cs="Arial"/>
              </w:rPr>
            </w:pPr>
            <w:r w:rsidRPr="230B0710">
              <w:rPr>
                <w:rFonts w:eastAsia="Arial" w:cs="Arial"/>
              </w:rPr>
              <w:t>2.8%</w:t>
            </w:r>
          </w:p>
        </w:tc>
        <w:tc>
          <w:tcPr>
            <w:cnfStyle w:val="000010000000" w:firstRow="0" w:lastRow="0" w:firstColumn="0" w:lastColumn="0" w:oddVBand="1" w:evenVBand="0" w:oddHBand="0" w:evenHBand="0" w:firstRowFirstColumn="0" w:firstRowLastColumn="0" w:lastRowFirstColumn="0" w:lastRowLastColumn="0"/>
            <w:tcW w:w="907" w:type="dxa"/>
            <w:vAlign w:val="center"/>
          </w:tcPr>
          <w:p w14:paraId="1E2C38CC" w14:textId="77777777" w:rsidR="00A6421D" w:rsidRDefault="00A6421D" w:rsidP="00F72610">
            <w:pPr>
              <w:pStyle w:val="Tablebodycopy"/>
              <w:jc w:val="center"/>
              <w:rPr>
                <w:rFonts w:eastAsia="Arial" w:cs="Arial"/>
              </w:rPr>
            </w:pPr>
            <w:r w:rsidRPr="230B0710">
              <w:rPr>
                <w:rFonts w:eastAsia="Arial" w:cs="Arial"/>
              </w:rPr>
              <w:t>3.2%</w:t>
            </w:r>
          </w:p>
        </w:tc>
        <w:tc>
          <w:tcPr>
            <w:cnfStyle w:val="000001000000" w:firstRow="0" w:lastRow="0" w:firstColumn="0" w:lastColumn="0" w:oddVBand="0" w:evenVBand="1" w:oddHBand="0" w:evenHBand="0" w:firstRowFirstColumn="0" w:firstRowLastColumn="0" w:lastRowFirstColumn="0" w:lastRowLastColumn="0"/>
            <w:tcW w:w="907" w:type="dxa"/>
            <w:vAlign w:val="center"/>
          </w:tcPr>
          <w:p w14:paraId="218BBF28" w14:textId="77777777" w:rsidR="00A6421D" w:rsidRDefault="00A6421D" w:rsidP="00F72610">
            <w:pPr>
              <w:pStyle w:val="Tablebodycopy"/>
              <w:jc w:val="center"/>
              <w:rPr>
                <w:rFonts w:eastAsia="Arial" w:cs="Arial"/>
              </w:rPr>
            </w:pPr>
            <w:r w:rsidRPr="230B0710">
              <w:rPr>
                <w:rFonts w:eastAsia="Arial" w:cs="Arial"/>
              </w:rPr>
              <w:t>4.4%</w:t>
            </w:r>
          </w:p>
        </w:tc>
        <w:tc>
          <w:tcPr>
            <w:cnfStyle w:val="000010000000" w:firstRow="0" w:lastRow="0" w:firstColumn="0" w:lastColumn="0" w:oddVBand="1" w:evenVBand="0" w:oddHBand="0" w:evenHBand="0" w:firstRowFirstColumn="0" w:firstRowLastColumn="0" w:lastRowFirstColumn="0" w:lastRowLastColumn="0"/>
            <w:tcW w:w="907" w:type="dxa"/>
            <w:vAlign w:val="center"/>
          </w:tcPr>
          <w:p w14:paraId="09311B3B" w14:textId="77777777" w:rsidR="00A6421D" w:rsidRDefault="00A6421D" w:rsidP="00F72610">
            <w:pPr>
              <w:pStyle w:val="Tablebodycopy"/>
              <w:jc w:val="center"/>
              <w:rPr>
                <w:rFonts w:eastAsia="Arial" w:cs="Arial"/>
              </w:rPr>
            </w:pPr>
            <w:r w:rsidRPr="230B0710">
              <w:rPr>
                <w:rFonts w:eastAsia="Arial" w:cs="Arial"/>
              </w:rPr>
              <w:t>3.2%</w:t>
            </w:r>
          </w:p>
        </w:tc>
      </w:tr>
      <w:tr w:rsidR="00A6421D" w14:paraId="6A0BFFF9" w14:textId="77777777" w:rsidTr="003F0105">
        <w:trPr>
          <w:cnfStyle w:val="000000100000" w:firstRow="0" w:lastRow="0" w:firstColumn="0" w:lastColumn="0" w:oddVBand="0" w:evenVBand="0" w:oddHBand="1" w:evenHBand="0" w:firstRowFirstColumn="0" w:firstRowLastColumn="0" w:lastRowFirstColumn="0" w:lastRowLastColumn="0"/>
          <w:trHeight w:val="680"/>
        </w:trPr>
        <w:tc>
          <w:tcPr>
            <w:cnfStyle w:val="000010000000" w:firstRow="0" w:lastRow="0" w:firstColumn="0" w:lastColumn="0" w:oddVBand="1" w:evenVBand="0" w:oddHBand="0" w:evenHBand="0" w:firstRowFirstColumn="0" w:firstRowLastColumn="0" w:lastRowFirstColumn="0" w:lastRowLastColumn="0"/>
            <w:tcW w:w="2111" w:type="dxa"/>
            <w:vAlign w:val="center"/>
          </w:tcPr>
          <w:p w14:paraId="4132DA5F" w14:textId="77777777" w:rsidR="00A6421D" w:rsidRDefault="00A6421D" w:rsidP="00F72610">
            <w:pPr>
              <w:pStyle w:val="Tablebodycopy"/>
              <w:ind w:left="142"/>
              <w:rPr>
                <w:rFonts w:eastAsia="Arial" w:cs="Arial"/>
              </w:rPr>
            </w:pPr>
            <w:r w:rsidRPr="230B0710">
              <w:rPr>
                <w:rFonts w:eastAsia="Arial" w:cs="Arial"/>
              </w:rPr>
              <w:t>Quality Assurance and Compliance</w:t>
            </w:r>
          </w:p>
        </w:tc>
        <w:tc>
          <w:tcPr>
            <w:cnfStyle w:val="000001000000" w:firstRow="0" w:lastRow="0" w:firstColumn="0" w:lastColumn="0" w:oddVBand="0" w:evenVBand="1" w:oddHBand="0" w:evenHBand="0" w:firstRowFirstColumn="0" w:firstRowLastColumn="0" w:lastRowFirstColumn="0" w:lastRowLastColumn="0"/>
            <w:tcW w:w="907" w:type="dxa"/>
            <w:vAlign w:val="center"/>
          </w:tcPr>
          <w:p w14:paraId="56F03578" w14:textId="77777777" w:rsidR="00A6421D" w:rsidRDefault="00A6421D" w:rsidP="00F72610">
            <w:pPr>
              <w:pStyle w:val="Tablebodycopy"/>
              <w:jc w:val="center"/>
              <w:rPr>
                <w:rFonts w:eastAsia="Arial" w:cs="Arial"/>
              </w:rPr>
            </w:pPr>
            <w:r w:rsidRPr="230B0710">
              <w:rPr>
                <w:rFonts w:eastAsia="Arial" w:cs="Arial"/>
              </w:rPr>
              <w:t>0.4%</w:t>
            </w:r>
          </w:p>
        </w:tc>
        <w:tc>
          <w:tcPr>
            <w:cnfStyle w:val="000010000000" w:firstRow="0" w:lastRow="0" w:firstColumn="0" w:lastColumn="0" w:oddVBand="1" w:evenVBand="0" w:oddHBand="0" w:evenHBand="0" w:firstRowFirstColumn="0" w:firstRowLastColumn="0" w:lastRowFirstColumn="0" w:lastRowLastColumn="0"/>
            <w:tcW w:w="907" w:type="dxa"/>
            <w:vAlign w:val="center"/>
          </w:tcPr>
          <w:p w14:paraId="584016F5" w14:textId="77777777" w:rsidR="00A6421D" w:rsidRDefault="00A6421D" w:rsidP="00F72610">
            <w:pPr>
              <w:pStyle w:val="Tablebodycopy"/>
              <w:jc w:val="center"/>
              <w:rPr>
                <w:rFonts w:eastAsia="Arial" w:cs="Arial"/>
              </w:rPr>
            </w:pPr>
            <w:r w:rsidRPr="230B0710">
              <w:rPr>
                <w:rFonts w:eastAsia="Arial" w:cs="Arial"/>
              </w:rPr>
              <w:t>0.4%</w:t>
            </w:r>
          </w:p>
        </w:tc>
        <w:tc>
          <w:tcPr>
            <w:cnfStyle w:val="000001000000" w:firstRow="0" w:lastRow="0" w:firstColumn="0" w:lastColumn="0" w:oddVBand="0" w:evenVBand="1" w:oddHBand="0" w:evenHBand="0" w:firstRowFirstColumn="0" w:firstRowLastColumn="0" w:lastRowFirstColumn="0" w:lastRowLastColumn="0"/>
            <w:tcW w:w="907" w:type="dxa"/>
            <w:vAlign w:val="center"/>
          </w:tcPr>
          <w:p w14:paraId="2DBD9118" w14:textId="77777777" w:rsidR="00A6421D" w:rsidRDefault="00A6421D" w:rsidP="00F72610">
            <w:pPr>
              <w:pStyle w:val="Tablebodycopy"/>
              <w:jc w:val="center"/>
              <w:rPr>
                <w:rFonts w:eastAsia="Arial" w:cs="Arial"/>
              </w:rPr>
            </w:pPr>
            <w:r w:rsidRPr="230B0710">
              <w:rPr>
                <w:rFonts w:eastAsia="Arial" w:cs="Arial"/>
              </w:rPr>
              <w:t>0.5%</w:t>
            </w:r>
          </w:p>
        </w:tc>
        <w:tc>
          <w:tcPr>
            <w:cnfStyle w:val="000010000000" w:firstRow="0" w:lastRow="0" w:firstColumn="0" w:lastColumn="0" w:oddVBand="1" w:evenVBand="0" w:oddHBand="0" w:evenHBand="0" w:firstRowFirstColumn="0" w:firstRowLastColumn="0" w:lastRowFirstColumn="0" w:lastRowLastColumn="0"/>
            <w:tcW w:w="907" w:type="dxa"/>
            <w:vAlign w:val="center"/>
          </w:tcPr>
          <w:p w14:paraId="5C740242" w14:textId="77777777" w:rsidR="00A6421D" w:rsidRDefault="00A6421D" w:rsidP="00F72610">
            <w:pPr>
              <w:pStyle w:val="Tablebodycopy"/>
              <w:jc w:val="center"/>
              <w:rPr>
                <w:rFonts w:eastAsia="Arial" w:cs="Arial"/>
              </w:rPr>
            </w:pPr>
            <w:r w:rsidRPr="230B0710">
              <w:rPr>
                <w:rFonts w:eastAsia="Arial" w:cs="Arial"/>
              </w:rPr>
              <w:t>0.6%</w:t>
            </w:r>
          </w:p>
        </w:tc>
        <w:tc>
          <w:tcPr>
            <w:cnfStyle w:val="000001000000" w:firstRow="0" w:lastRow="0" w:firstColumn="0" w:lastColumn="0" w:oddVBand="0" w:evenVBand="1" w:oddHBand="0" w:evenHBand="0" w:firstRowFirstColumn="0" w:firstRowLastColumn="0" w:lastRowFirstColumn="0" w:lastRowLastColumn="0"/>
            <w:tcW w:w="907" w:type="dxa"/>
            <w:vAlign w:val="center"/>
          </w:tcPr>
          <w:p w14:paraId="6987952F" w14:textId="77777777" w:rsidR="00A6421D" w:rsidRDefault="00A6421D" w:rsidP="00F72610">
            <w:pPr>
              <w:pStyle w:val="Tablebodycopy"/>
              <w:jc w:val="center"/>
              <w:rPr>
                <w:rFonts w:eastAsia="Arial" w:cs="Arial"/>
              </w:rPr>
            </w:pPr>
            <w:r w:rsidRPr="230B0710">
              <w:rPr>
                <w:rFonts w:eastAsia="Arial" w:cs="Arial"/>
              </w:rPr>
              <w:t>0.4%</w:t>
            </w:r>
          </w:p>
        </w:tc>
        <w:tc>
          <w:tcPr>
            <w:cnfStyle w:val="000010000000" w:firstRow="0" w:lastRow="0" w:firstColumn="0" w:lastColumn="0" w:oddVBand="1" w:evenVBand="0" w:oddHBand="0" w:evenHBand="0" w:firstRowFirstColumn="0" w:firstRowLastColumn="0" w:lastRowFirstColumn="0" w:lastRowLastColumn="0"/>
            <w:tcW w:w="907" w:type="dxa"/>
            <w:vAlign w:val="center"/>
          </w:tcPr>
          <w:p w14:paraId="11732BE8" w14:textId="77777777" w:rsidR="00A6421D" w:rsidRDefault="00A6421D" w:rsidP="00F72610">
            <w:pPr>
              <w:pStyle w:val="Tablebodycopy"/>
              <w:jc w:val="center"/>
              <w:rPr>
                <w:rFonts w:eastAsia="Arial" w:cs="Arial"/>
              </w:rPr>
            </w:pPr>
            <w:r w:rsidRPr="230B0710">
              <w:rPr>
                <w:rFonts w:eastAsia="Arial" w:cs="Arial"/>
              </w:rPr>
              <w:t>0.7%</w:t>
            </w:r>
          </w:p>
        </w:tc>
        <w:tc>
          <w:tcPr>
            <w:cnfStyle w:val="000001000000" w:firstRow="0" w:lastRow="0" w:firstColumn="0" w:lastColumn="0" w:oddVBand="0" w:evenVBand="1" w:oddHBand="0" w:evenHBand="0" w:firstRowFirstColumn="0" w:firstRowLastColumn="0" w:lastRowFirstColumn="0" w:lastRowLastColumn="0"/>
            <w:tcW w:w="907" w:type="dxa"/>
            <w:vAlign w:val="center"/>
          </w:tcPr>
          <w:p w14:paraId="0A68121D" w14:textId="77777777" w:rsidR="00A6421D" w:rsidRDefault="00A6421D" w:rsidP="00F72610">
            <w:pPr>
              <w:pStyle w:val="Tablebodycopy"/>
              <w:jc w:val="center"/>
              <w:rPr>
                <w:rFonts w:eastAsia="Arial" w:cs="Arial"/>
              </w:rPr>
            </w:pPr>
            <w:r>
              <w:rPr>
                <w:rFonts w:eastAsia="Arial" w:cs="Arial"/>
              </w:rPr>
              <w:t>&lt;</w:t>
            </w:r>
            <w:r w:rsidRPr="230B0710">
              <w:rPr>
                <w:rFonts w:eastAsia="Arial" w:cs="Arial"/>
              </w:rPr>
              <w:t>0.0%</w:t>
            </w:r>
          </w:p>
        </w:tc>
        <w:tc>
          <w:tcPr>
            <w:cnfStyle w:val="000010000000" w:firstRow="0" w:lastRow="0" w:firstColumn="0" w:lastColumn="0" w:oddVBand="1" w:evenVBand="0" w:oddHBand="0" w:evenHBand="0" w:firstRowFirstColumn="0" w:firstRowLastColumn="0" w:lastRowFirstColumn="0" w:lastRowLastColumn="0"/>
            <w:tcW w:w="907" w:type="dxa"/>
            <w:vAlign w:val="center"/>
          </w:tcPr>
          <w:p w14:paraId="558BAA2A" w14:textId="77777777" w:rsidR="00A6421D" w:rsidRDefault="00A6421D" w:rsidP="00F72610">
            <w:pPr>
              <w:pStyle w:val="Tablebodycopy"/>
              <w:jc w:val="center"/>
              <w:rPr>
                <w:rFonts w:eastAsia="Arial" w:cs="Arial"/>
              </w:rPr>
            </w:pPr>
            <w:r w:rsidRPr="230B0710">
              <w:rPr>
                <w:rFonts w:eastAsia="Arial" w:cs="Arial"/>
              </w:rPr>
              <w:t>0.3%</w:t>
            </w:r>
          </w:p>
        </w:tc>
      </w:tr>
      <w:tr w:rsidR="00FB7C3A" w14:paraId="14513D22" w14:textId="77777777" w:rsidTr="003F0105">
        <w:trPr>
          <w:cnfStyle w:val="000000010000" w:firstRow="0" w:lastRow="0" w:firstColumn="0" w:lastColumn="0" w:oddVBand="0" w:evenVBand="0" w:oddHBand="0" w:evenHBand="1" w:firstRowFirstColumn="0" w:firstRowLastColumn="0" w:lastRowFirstColumn="0" w:lastRowLastColumn="0"/>
          <w:trHeight w:val="680"/>
        </w:trPr>
        <w:tc>
          <w:tcPr>
            <w:cnfStyle w:val="000010000000" w:firstRow="0" w:lastRow="0" w:firstColumn="0" w:lastColumn="0" w:oddVBand="1" w:evenVBand="0" w:oddHBand="0" w:evenHBand="0" w:firstRowFirstColumn="0" w:firstRowLastColumn="0" w:lastRowFirstColumn="0" w:lastRowLastColumn="0"/>
            <w:tcW w:w="2111" w:type="dxa"/>
            <w:vAlign w:val="center"/>
          </w:tcPr>
          <w:p w14:paraId="6967D0D1" w14:textId="77777777" w:rsidR="00A6421D" w:rsidRDefault="00A6421D" w:rsidP="00F72610">
            <w:pPr>
              <w:pStyle w:val="Tablebodycopy"/>
              <w:ind w:left="142"/>
              <w:rPr>
                <w:rFonts w:eastAsia="Arial" w:cs="Arial"/>
              </w:rPr>
            </w:pPr>
            <w:r w:rsidRPr="230B0710">
              <w:rPr>
                <w:rFonts w:eastAsia="Arial" w:cs="Arial"/>
              </w:rPr>
              <w:t>Leadership</w:t>
            </w:r>
          </w:p>
        </w:tc>
        <w:tc>
          <w:tcPr>
            <w:cnfStyle w:val="000001000000" w:firstRow="0" w:lastRow="0" w:firstColumn="0" w:lastColumn="0" w:oddVBand="0" w:evenVBand="1" w:oddHBand="0" w:evenHBand="0" w:firstRowFirstColumn="0" w:firstRowLastColumn="0" w:lastRowFirstColumn="0" w:lastRowLastColumn="0"/>
            <w:tcW w:w="907" w:type="dxa"/>
            <w:vAlign w:val="center"/>
          </w:tcPr>
          <w:p w14:paraId="4EC2C834" w14:textId="77777777" w:rsidR="00A6421D" w:rsidRDefault="00A6421D" w:rsidP="00F72610">
            <w:pPr>
              <w:pStyle w:val="Tablebodycopy"/>
              <w:jc w:val="center"/>
              <w:rPr>
                <w:rFonts w:eastAsia="Arial" w:cs="Arial"/>
              </w:rPr>
            </w:pPr>
            <w:r w:rsidRPr="230B0710">
              <w:rPr>
                <w:rFonts w:eastAsia="Arial" w:cs="Arial"/>
              </w:rPr>
              <w:t>14.1%</w:t>
            </w:r>
          </w:p>
        </w:tc>
        <w:tc>
          <w:tcPr>
            <w:cnfStyle w:val="000010000000" w:firstRow="0" w:lastRow="0" w:firstColumn="0" w:lastColumn="0" w:oddVBand="1" w:evenVBand="0" w:oddHBand="0" w:evenHBand="0" w:firstRowFirstColumn="0" w:firstRowLastColumn="0" w:lastRowFirstColumn="0" w:lastRowLastColumn="0"/>
            <w:tcW w:w="907" w:type="dxa"/>
            <w:vAlign w:val="center"/>
          </w:tcPr>
          <w:p w14:paraId="21874A69" w14:textId="77777777" w:rsidR="00A6421D" w:rsidRDefault="00A6421D" w:rsidP="00F72610">
            <w:pPr>
              <w:pStyle w:val="Tablebodycopy"/>
              <w:jc w:val="center"/>
              <w:rPr>
                <w:rFonts w:eastAsia="Arial" w:cs="Arial"/>
              </w:rPr>
            </w:pPr>
            <w:r w:rsidRPr="230B0710">
              <w:rPr>
                <w:rFonts w:eastAsia="Arial" w:cs="Arial"/>
              </w:rPr>
              <w:t>13.4%</w:t>
            </w:r>
          </w:p>
        </w:tc>
        <w:tc>
          <w:tcPr>
            <w:cnfStyle w:val="000001000000" w:firstRow="0" w:lastRow="0" w:firstColumn="0" w:lastColumn="0" w:oddVBand="0" w:evenVBand="1" w:oddHBand="0" w:evenHBand="0" w:firstRowFirstColumn="0" w:firstRowLastColumn="0" w:lastRowFirstColumn="0" w:lastRowLastColumn="0"/>
            <w:tcW w:w="907" w:type="dxa"/>
            <w:vAlign w:val="center"/>
          </w:tcPr>
          <w:p w14:paraId="5E3E579D" w14:textId="77777777" w:rsidR="00A6421D" w:rsidRDefault="00A6421D" w:rsidP="00F72610">
            <w:pPr>
              <w:pStyle w:val="Tablebodycopy"/>
              <w:jc w:val="center"/>
              <w:rPr>
                <w:rFonts w:eastAsia="Arial" w:cs="Arial"/>
              </w:rPr>
            </w:pPr>
            <w:r w:rsidRPr="230B0710">
              <w:rPr>
                <w:rFonts w:eastAsia="Arial" w:cs="Arial"/>
              </w:rPr>
              <w:t>12.5%</w:t>
            </w:r>
          </w:p>
        </w:tc>
        <w:tc>
          <w:tcPr>
            <w:cnfStyle w:val="000010000000" w:firstRow="0" w:lastRow="0" w:firstColumn="0" w:lastColumn="0" w:oddVBand="1" w:evenVBand="0" w:oddHBand="0" w:evenHBand="0" w:firstRowFirstColumn="0" w:firstRowLastColumn="0" w:lastRowFirstColumn="0" w:lastRowLastColumn="0"/>
            <w:tcW w:w="907" w:type="dxa"/>
            <w:vAlign w:val="center"/>
          </w:tcPr>
          <w:p w14:paraId="18B40817" w14:textId="77777777" w:rsidR="00A6421D" w:rsidRDefault="00A6421D" w:rsidP="00F72610">
            <w:pPr>
              <w:pStyle w:val="Tablebodycopy"/>
              <w:jc w:val="center"/>
              <w:rPr>
                <w:rFonts w:eastAsia="Arial" w:cs="Arial"/>
              </w:rPr>
            </w:pPr>
            <w:r w:rsidRPr="230B0710">
              <w:rPr>
                <w:rFonts w:eastAsia="Arial" w:cs="Arial"/>
              </w:rPr>
              <w:t>10.1%</w:t>
            </w:r>
          </w:p>
        </w:tc>
        <w:tc>
          <w:tcPr>
            <w:cnfStyle w:val="000001000000" w:firstRow="0" w:lastRow="0" w:firstColumn="0" w:lastColumn="0" w:oddVBand="0" w:evenVBand="1" w:oddHBand="0" w:evenHBand="0" w:firstRowFirstColumn="0" w:firstRowLastColumn="0" w:lastRowFirstColumn="0" w:lastRowLastColumn="0"/>
            <w:tcW w:w="907" w:type="dxa"/>
            <w:vAlign w:val="center"/>
          </w:tcPr>
          <w:p w14:paraId="4DA71CF7" w14:textId="77777777" w:rsidR="00A6421D" w:rsidRDefault="00A6421D" w:rsidP="00F72610">
            <w:pPr>
              <w:pStyle w:val="Tablebodycopy"/>
              <w:jc w:val="center"/>
              <w:rPr>
                <w:rFonts w:eastAsia="Arial" w:cs="Arial"/>
              </w:rPr>
            </w:pPr>
            <w:r w:rsidRPr="230B0710">
              <w:rPr>
                <w:rFonts w:eastAsia="Arial" w:cs="Arial"/>
              </w:rPr>
              <w:t>9.4%</w:t>
            </w:r>
          </w:p>
        </w:tc>
        <w:tc>
          <w:tcPr>
            <w:cnfStyle w:val="000010000000" w:firstRow="0" w:lastRow="0" w:firstColumn="0" w:lastColumn="0" w:oddVBand="1" w:evenVBand="0" w:oddHBand="0" w:evenHBand="0" w:firstRowFirstColumn="0" w:firstRowLastColumn="0" w:lastRowFirstColumn="0" w:lastRowLastColumn="0"/>
            <w:tcW w:w="907" w:type="dxa"/>
            <w:vAlign w:val="center"/>
          </w:tcPr>
          <w:p w14:paraId="1F0F1BEE" w14:textId="77777777" w:rsidR="00A6421D" w:rsidRDefault="00A6421D" w:rsidP="00F72610">
            <w:pPr>
              <w:pStyle w:val="Tablebodycopy"/>
              <w:jc w:val="center"/>
              <w:rPr>
                <w:rFonts w:eastAsia="Arial" w:cs="Arial"/>
              </w:rPr>
            </w:pPr>
            <w:r w:rsidRPr="230B0710">
              <w:rPr>
                <w:rFonts w:eastAsia="Arial" w:cs="Arial"/>
              </w:rPr>
              <w:t>8.5%</w:t>
            </w:r>
          </w:p>
        </w:tc>
        <w:tc>
          <w:tcPr>
            <w:cnfStyle w:val="000001000000" w:firstRow="0" w:lastRow="0" w:firstColumn="0" w:lastColumn="0" w:oddVBand="0" w:evenVBand="1" w:oddHBand="0" w:evenHBand="0" w:firstRowFirstColumn="0" w:firstRowLastColumn="0" w:lastRowFirstColumn="0" w:lastRowLastColumn="0"/>
            <w:tcW w:w="907" w:type="dxa"/>
            <w:vAlign w:val="center"/>
          </w:tcPr>
          <w:p w14:paraId="21AF3807" w14:textId="77777777" w:rsidR="00A6421D" w:rsidRDefault="00A6421D" w:rsidP="00F72610">
            <w:pPr>
              <w:pStyle w:val="Tablebodycopy"/>
              <w:jc w:val="center"/>
              <w:rPr>
                <w:rFonts w:eastAsia="Arial" w:cs="Arial"/>
              </w:rPr>
            </w:pPr>
            <w:r w:rsidRPr="230B0710">
              <w:rPr>
                <w:rFonts w:eastAsia="Arial" w:cs="Arial"/>
              </w:rPr>
              <w:t>12.3%</w:t>
            </w:r>
          </w:p>
        </w:tc>
        <w:tc>
          <w:tcPr>
            <w:cnfStyle w:val="000010000000" w:firstRow="0" w:lastRow="0" w:firstColumn="0" w:lastColumn="0" w:oddVBand="1" w:evenVBand="0" w:oddHBand="0" w:evenHBand="0" w:firstRowFirstColumn="0" w:firstRowLastColumn="0" w:lastRowFirstColumn="0" w:lastRowLastColumn="0"/>
            <w:tcW w:w="907" w:type="dxa"/>
            <w:vAlign w:val="center"/>
          </w:tcPr>
          <w:p w14:paraId="5A0531B8" w14:textId="77777777" w:rsidR="00A6421D" w:rsidRDefault="00A6421D" w:rsidP="00F72610">
            <w:pPr>
              <w:pStyle w:val="Tablebodycopy"/>
              <w:jc w:val="center"/>
              <w:rPr>
                <w:rFonts w:eastAsia="Arial" w:cs="Arial"/>
              </w:rPr>
            </w:pPr>
            <w:r w:rsidRPr="230B0710">
              <w:rPr>
                <w:rFonts w:eastAsia="Arial" w:cs="Arial"/>
              </w:rPr>
              <w:t>14.2%</w:t>
            </w:r>
          </w:p>
        </w:tc>
      </w:tr>
      <w:tr w:rsidR="00A6421D" w14:paraId="33291ED7" w14:textId="77777777" w:rsidTr="00207618">
        <w:trPr>
          <w:cnfStyle w:val="000000100000" w:firstRow="0" w:lastRow="0" w:firstColumn="0" w:lastColumn="0" w:oddVBand="0" w:evenVBand="0" w:oddHBand="1" w:evenHBand="0" w:firstRowFirstColumn="0" w:firstRowLastColumn="0" w:lastRowFirstColumn="0" w:lastRowLastColumn="0"/>
          <w:trHeight w:val="680"/>
        </w:trPr>
        <w:tc>
          <w:tcPr>
            <w:cnfStyle w:val="000010000000" w:firstRow="0" w:lastRow="0" w:firstColumn="0" w:lastColumn="0" w:oddVBand="1" w:evenVBand="0" w:oddHBand="0" w:evenHBand="0" w:firstRowFirstColumn="0" w:firstRowLastColumn="0" w:lastRowFirstColumn="0" w:lastRowLastColumn="0"/>
            <w:tcW w:w="2111" w:type="dxa"/>
            <w:tcBorders>
              <w:bottom w:val="nil"/>
            </w:tcBorders>
            <w:vAlign w:val="center"/>
          </w:tcPr>
          <w:p w14:paraId="0BA2FA4D" w14:textId="77777777" w:rsidR="00A6421D" w:rsidRDefault="00A6421D" w:rsidP="00F72610">
            <w:pPr>
              <w:pStyle w:val="Tablebodycopy"/>
              <w:ind w:left="142"/>
              <w:rPr>
                <w:rFonts w:eastAsia="Arial" w:cs="Arial"/>
              </w:rPr>
            </w:pPr>
            <w:r w:rsidRPr="230B0710">
              <w:rPr>
                <w:rFonts w:eastAsia="Arial" w:cs="Arial"/>
              </w:rPr>
              <w:t>Learning Support</w:t>
            </w:r>
          </w:p>
        </w:tc>
        <w:tc>
          <w:tcPr>
            <w:cnfStyle w:val="000001000000" w:firstRow="0" w:lastRow="0" w:firstColumn="0" w:lastColumn="0" w:oddVBand="0" w:evenVBand="1" w:oddHBand="0" w:evenHBand="0" w:firstRowFirstColumn="0" w:firstRowLastColumn="0" w:lastRowFirstColumn="0" w:lastRowLastColumn="0"/>
            <w:tcW w:w="907" w:type="dxa"/>
            <w:tcBorders>
              <w:bottom w:val="nil"/>
            </w:tcBorders>
            <w:vAlign w:val="center"/>
          </w:tcPr>
          <w:p w14:paraId="06691140" w14:textId="77777777" w:rsidR="00A6421D" w:rsidRDefault="00A6421D" w:rsidP="00F72610">
            <w:pPr>
              <w:pStyle w:val="Tablebodycopy"/>
              <w:jc w:val="center"/>
              <w:rPr>
                <w:rFonts w:eastAsia="Arial" w:cs="Arial"/>
              </w:rPr>
            </w:pPr>
            <w:r w:rsidRPr="230B0710">
              <w:rPr>
                <w:rFonts w:eastAsia="Arial" w:cs="Arial"/>
              </w:rPr>
              <w:t>5.7%</w:t>
            </w:r>
          </w:p>
        </w:tc>
        <w:tc>
          <w:tcPr>
            <w:cnfStyle w:val="000010000000" w:firstRow="0" w:lastRow="0" w:firstColumn="0" w:lastColumn="0" w:oddVBand="1" w:evenVBand="0" w:oddHBand="0" w:evenHBand="0" w:firstRowFirstColumn="0" w:firstRowLastColumn="0" w:lastRowFirstColumn="0" w:lastRowLastColumn="0"/>
            <w:tcW w:w="907" w:type="dxa"/>
            <w:tcBorders>
              <w:bottom w:val="nil"/>
            </w:tcBorders>
            <w:vAlign w:val="center"/>
          </w:tcPr>
          <w:p w14:paraId="07C77D59" w14:textId="77777777" w:rsidR="00A6421D" w:rsidRDefault="00A6421D" w:rsidP="00F72610">
            <w:pPr>
              <w:pStyle w:val="Tablebodycopy"/>
              <w:jc w:val="center"/>
              <w:rPr>
                <w:rFonts w:eastAsia="Arial" w:cs="Arial"/>
              </w:rPr>
            </w:pPr>
            <w:r w:rsidRPr="230B0710">
              <w:rPr>
                <w:rFonts w:eastAsia="Arial" w:cs="Arial"/>
              </w:rPr>
              <w:t>3.9%</w:t>
            </w:r>
          </w:p>
        </w:tc>
        <w:tc>
          <w:tcPr>
            <w:cnfStyle w:val="000001000000" w:firstRow="0" w:lastRow="0" w:firstColumn="0" w:lastColumn="0" w:oddVBand="0" w:evenVBand="1" w:oddHBand="0" w:evenHBand="0" w:firstRowFirstColumn="0" w:firstRowLastColumn="0" w:lastRowFirstColumn="0" w:lastRowLastColumn="0"/>
            <w:tcW w:w="907" w:type="dxa"/>
            <w:tcBorders>
              <w:bottom w:val="nil"/>
            </w:tcBorders>
            <w:vAlign w:val="center"/>
          </w:tcPr>
          <w:p w14:paraId="0B20828C" w14:textId="77777777" w:rsidR="00A6421D" w:rsidRDefault="00A6421D" w:rsidP="00F72610">
            <w:pPr>
              <w:pStyle w:val="Tablebodycopy"/>
              <w:jc w:val="center"/>
              <w:rPr>
                <w:rFonts w:eastAsia="Arial" w:cs="Arial"/>
              </w:rPr>
            </w:pPr>
            <w:r w:rsidRPr="230B0710">
              <w:rPr>
                <w:rFonts w:eastAsia="Arial" w:cs="Arial"/>
              </w:rPr>
              <w:t>3.1%</w:t>
            </w:r>
          </w:p>
        </w:tc>
        <w:tc>
          <w:tcPr>
            <w:cnfStyle w:val="000010000000" w:firstRow="0" w:lastRow="0" w:firstColumn="0" w:lastColumn="0" w:oddVBand="1" w:evenVBand="0" w:oddHBand="0" w:evenHBand="0" w:firstRowFirstColumn="0" w:firstRowLastColumn="0" w:lastRowFirstColumn="0" w:lastRowLastColumn="0"/>
            <w:tcW w:w="907" w:type="dxa"/>
            <w:tcBorders>
              <w:bottom w:val="nil"/>
            </w:tcBorders>
            <w:vAlign w:val="center"/>
          </w:tcPr>
          <w:p w14:paraId="793CE5B6" w14:textId="77777777" w:rsidR="00A6421D" w:rsidRDefault="00A6421D" w:rsidP="00F72610">
            <w:pPr>
              <w:pStyle w:val="Tablebodycopy"/>
              <w:jc w:val="center"/>
              <w:rPr>
                <w:rFonts w:eastAsia="Arial" w:cs="Arial"/>
              </w:rPr>
            </w:pPr>
            <w:r w:rsidRPr="230B0710">
              <w:rPr>
                <w:rFonts w:eastAsia="Arial" w:cs="Arial"/>
              </w:rPr>
              <w:t>3.2%</w:t>
            </w:r>
          </w:p>
        </w:tc>
        <w:tc>
          <w:tcPr>
            <w:cnfStyle w:val="000001000000" w:firstRow="0" w:lastRow="0" w:firstColumn="0" w:lastColumn="0" w:oddVBand="0" w:evenVBand="1" w:oddHBand="0" w:evenHBand="0" w:firstRowFirstColumn="0" w:firstRowLastColumn="0" w:lastRowFirstColumn="0" w:lastRowLastColumn="0"/>
            <w:tcW w:w="907" w:type="dxa"/>
            <w:tcBorders>
              <w:bottom w:val="nil"/>
            </w:tcBorders>
            <w:vAlign w:val="center"/>
          </w:tcPr>
          <w:p w14:paraId="30456171" w14:textId="77777777" w:rsidR="00A6421D" w:rsidRDefault="00A6421D" w:rsidP="00F72610">
            <w:pPr>
              <w:pStyle w:val="Tablebodycopy"/>
              <w:jc w:val="center"/>
              <w:rPr>
                <w:rFonts w:eastAsia="Arial" w:cs="Arial"/>
              </w:rPr>
            </w:pPr>
            <w:r w:rsidRPr="230B0710">
              <w:rPr>
                <w:rFonts w:eastAsia="Arial" w:cs="Arial"/>
              </w:rPr>
              <w:t>3.2%</w:t>
            </w:r>
          </w:p>
        </w:tc>
        <w:tc>
          <w:tcPr>
            <w:cnfStyle w:val="000010000000" w:firstRow="0" w:lastRow="0" w:firstColumn="0" w:lastColumn="0" w:oddVBand="1" w:evenVBand="0" w:oddHBand="0" w:evenHBand="0" w:firstRowFirstColumn="0" w:firstRowLastColumn="0" w:lastRowFirstColumn="0" w:lastRowLastColumn="0"/>
            <w:tcW w:w="907" w:type="dxa"/>
            <w:tcBorders>
              <w:bottom w:val="nil"/>
            </w:tcBorders>
            <w:vAlign w:val="center"/>
          </w:tcPr>
          <w:p w14:paraId="70B7FC4C" w14:textId="77777777" w:rsidR="00A6421D" w:rsidRDefault="00A6421D" w:rsidP="00F72610">
            <w:pPr>
              <w:pStyle w:val="Tablebodycopy"/>
              <w:jc w:val="center"/>
              <w:rPr>
                <w:rFonts w:eastAsia="Arial" w:cs="Arial"/>
              </w:rPr>
            </w:pPr>
            <w:r w:rsidRPr="230B0710">
              <w:rPr>
                <w:rFonts w:eastAsia="Arial" w:cs="Arial"/>
              </w:rPr>
              <w:t>4.3%</w:t>
            </w:r>
          </w:p>
        </w:tc>
        <w:tc>
          <w:tcPr>
            <w:cnfStyle w:val="000001000000" w:firstRow="0" w:lastRow="0" w:firstColumn="0" w:lastColumn="0" w:oddVBand="0" w:evenVBand="1" w:oddHBand="0" w:evenHBand="0" w:firstRowFirstColumn="0" w:firstRowLastColumn="0" w:lastRowFirstColumn="0" w:lastRowLastColumn="0"/>
            <w:tcW w:w="907" w:type="dxa"/>
            <w:tcBorders>
              <w:bottom w:val="nil"/>
            </w:tcBorders>
            <w:vAlign w:val="center"/>
          </w:tcPr>
          <w:p w14:paraId="5D56DE0D" w14:textId="77777777" w:rsidR="00A6421D" w:rsidRDefault="00A6421D" w:rsidP="00F72610">
            <w:pPr>
              <w:pStyle w:val="Tablebodycopy"/>
              <w:jc w:val="center"/>
              <w:rPr>
                <w:rFonts w:eastAsia="Arial" w:cs="Arial"/>
              </w:rPr>
            </w:pPr>
            <w:r w:rsidRPr="230B0710">
              <w:rPr>
                <w:rFonts w:eastAsia="Arial" w:cs="Arial"/>
              </w:rPr>
              <w:t>1.7%</w:t>
            </w:r>
          </w:p>
        </w:tc>
        <w:tc>
          <w:tcPr>
            <w:cnfStyle w:val="000010000000" w:firstRow="0" w:lastRow="0" w:firstColumn="0" w:lastColumn="0" w:oddVBand="1" w:evenVBand="0" w:oddHBand="0" w:evenHBand="0" w:firstRowFirstColumn="0" w:firstRowLastColumn="0" w:lastRowFirstColumn="0" w:lastRowLastColumn="0"/>
            <w:tcW w:w="907" w:type="dxa"/>
            <w:tcBorders>
              <w:bottom w:val="nil"/>
            </w:tcBorders>
            <w:vAlign w:val="center"/>
          </w:tcPr>
          <w:p w14:paraId="68918F08" w14:textId="77777777" w:rsidR="00A6421D" w:rsidRDefault="00A6421D" w:rsidP="00F72610">
            <w:pPr>
              <w:pStyle w:val="Tablebodycopy"/>
              <w:jc w:val="center"/>
              <w:rPr>
                <w:rFonts w:eastAsia="Arial" w:cs="Arial"/>
              </w:rPr>
            </w:pPr>
            <w:r w:rsidRPr="230B0710">
              <w:rPr>
                <w:rFonts w:eastAsia="Arial" w:cs="Arial"/>
              </w:rPr>
              <w:t>4.3%</w:t>
            </w:r>
          </w:p>
        </w:tc>
      </w:tr>
      <w:tr w:rsidR="00FB7C3A" w14:paraId="42A84C8A" w14:textId="77777777" w:rsidTr="00207618">
        <w:trPr>
          <w:cnfStyle w:val="000000010000" w:firstRow="0" w:lastRow="0" w:firstColumn="0" w:lastColumn="0" w:oddVBand="0" w:evenVBand="0" w:oddHBand="0" w:evenHBand="1" w:firstRowFirstColumn="0" w:firstRowLastColumn="0" w:lastRowFirstColumn="0" w:lastRowLastColumn="0"/>
          <w:trHeight w:val="680"/>
        </w:trPr>
        <w:tc>
          <w:tcPr>
            <w:cnfStyle w:val="000010000000" w:firstRow="0" w:lastRow="0" w:firstColumn="0" w:lastColumn="0" w:oddVBand="1" w:evenVBand="0" w:oddHBand="0" w:evenHBand="0" w:firstRowFirstColumn="0" w:firstRowLastColumn="0" w:lastRowFirstColumn="0" w:lastRowLastColumn="0"/>
            <w:tcW w:w="2111" w:type="dxa"/>
            <w:tcBorders>
              <w:bottom w:val="single" w:sz="8" w:space="0" w:color="2F005F"/>
            </w:tcBorders>
            <w:vAlign w:val="center"/>
          </w:tcPr>
          <w:p w14:paraId="4B90FE63" w14:textId="77777777" w:rsidR="00A6421D" w:rsidRDefault="00A6421D" w:rsidP="00F72610">
            <w:pPr>
              <w:pStyle w:val="Tablebodycopy"/>
              <w:ind w:left="142"/>
              <w:rPr>
                <w:rFonts w:eastAsia="Arial" w:cs="Arial"/>
              </w:rPr>
            </w:pPr>
            <w:r w:rsidRPr="230B0710">
              <w:rPr>
                <w:rFonts w:eastAsia="Arial" w:cs="Arial"/>
              </w:rPr>
              <w:t>Administration and Operations</w:t>
            </w:r>
          </w:p>
        </w:tc>
        <w:tc>
          <w:tcPr>
            <w:cnfStyle w:val="000001000000" w:firstRow="0" w:lastRow="0" w:firstColumn="0" w:lastColumn="0" w:oddVBand="0" w:evenVBand="1" w:oddHBand="0" w:evenHBand="0" w:firstRowFirstColumn="0" w:firstRowLastColumn="0" w:lastRowFirstColumn="0" w:lastRowLastColumn="0"/>
            <w:tcW w:w="907" w:type="dxa"/>
            <w:tcBorders>
              <w:bottom w:val="single" w:sz="8" w:space="0" w:color="2F005F"/>
            </w:tcBorders>
            <w:vAlign w:val="center"/>
          </w:tcPr>
          <w:p w14:paraId="147C0578" w14:textId="77777777" w:rsidR="00A6421D" w:rsidRDefault="00A6421D" w:rsidP="00F72610">
            <w:pPr>
              <w:pStyle w:val="Tablebodycopy"/>
              <w:jc w:val="center"/>
              <w:rPr>
                <w:rFonts w:eastAsia="Arial" w:cs="Arial"/>
              </w:rPr>
            </w:pPr>
            <w:r w:rsidRPr="230B0710">
              <w:rPr>
                <w:rFonts w:eastAsia="Arial" w:cs="Arial"/>
              </w:rPr>
              <w:t>28.6%</w:t>
            </w:r>
          </w:p>
        </w:tc>
        <w:tc>
          <w:tcPr>
            <w:cnfStyle w:val="000010000000" w:firstRow="0" w:lastRow="0" w:firstColumn="0" w:lastColumn="0" w:oddVBand="1" w:evenVBand="0" w:oddHBand="0" w:evenHBand="0" w:firstRowFirstColumn="0" w:firstRowLastColumn="0" w:lastRowFirstColumn="0" w:lastRowLastColumn="0"/>
            <w:tcW w:w="907" w:type="dxa"/>
            <w:tcBorders>
              <w:bottom w:val="single" w:sz="8" w:space="0" w:color="2F005F"/>
            </w:tcBorders>
            <w:vAlign w:val="center"/>
          </w:tcPr>
          <w:p w14:paraId="74EA767A" w14:textId="77777777" w:rsidR="00A6421D" w:rsidRDefault="00A6421D" w:rsidP="00F72610">
            <w:pPr>
              <w:pStyle w:val="Tablebodycopy"/>
              <w:jc w:val="center"/>
              <w:rPr>
                <w:rFonts w:eastAsia="Arial" w:cs="Arial"/>
              </w:rPr>
            </w:pPr>
            <w:r w:rsidRPr="230B0710">
              <w:rPr>
                <w:rFonts w:eastAsia="Arial" w:cs="Arial"/>
              </w:rPr>
              <w:t>26.4%</w:t>
            </w:r>
          </w:p>
        </w:tc>
        <w:tc>
          <w:tcPr>
            <w:cnfStyle w:val="000001000000" w:firstRow="0" w:lastRow="0" w:firstColumn="0" w:lastColumn="0" w:oddVBand="0" w:evenVBand="1" w:oddHBand="0" w:evenHBand="0" w:firstRowFirstColumn="0" w:firstRowLastColumn="0" w:lastRowFirstColumn="0" w:lastRowLastColumn="0"/>
            <w:tcW w:w="907" w:type="dxa"/>
            <w:tcBorders>
              <w:bottom w:val="single" w:sz="8" w:space="0" w:color="2F005F"/>
            </w:tcBorders>
            <w:vAlign w:val="center"/>
          </w:tcPr>
          <w:p w14:paraId="61D014C3" w14:textId="77777777" w:rsidR="00A6421D" w:rsidRDefault="00A6421D" w:rsidP="00F72610">
            <w:pPr>
              <w:pStyle w:val="Tablebodycopy"/>
              <w:jc w:val="center"/>
              <w:rPr>
                <w:rFonts w:eastAsia="Arial" w:cs="Arial"/>
              </w:rPr>
            </w:pPr>
            <w:r w:rsidRPr="230B0710">
              <w:rPr>
                <w:rFonts w:eastAsia="Arial" w:cs="Arial"/>
              </w:rPr>
              <w:t>30.8%</w:t>
            </w:r>
          </w:p>
        </w:tc>
        <w:tc>
          <w:tcPr>
            <w:cnfStyle w:val="000010000000" w:firstRow="0" w:lastRow="0" w:firstColumn="0" w:lastColumn="0" w:oddVBand="1" w:evenVBand="0" w:oddHBand="0" w:evenHBand="0" w:firstRowFirstColumn="0" w:firstRowLastColumn="0" w:lastRowFirstColumn="0" w:lastRowLastColumn="0"/>
            <w:tcW w:w="907" w:type="dxa"/>
            <w:tcBorders>
              <w:bottom w:val="single" w:sz="8" w:space="0" w:color="2F005F"/>
            </w:tcBorders>
            <w:vAlign w:val="center"/>
          </w:tcPr>
          <w:p w14:paraId="06B97328" w14:textId="77777777" w:rsidR="00A6421D" w:rsidRDefault="00A6421D" w:rsidP="00F72610">
            <w:pPr>
              <w:pStyle w:val="Tablebodycopy"/>
              <w:jc w:val="center"/>
              <w:rPr>
                <w:rFonts w:eastAsia="Arial" w:cs="Arial"/>
              </w:rPr>
            </w:pPr>
            <w:r w:rsidRPr="230B0710">
              <w:rPr>
                <w:rFonts w:eastAsia="Arial" w:cs="Arial"/>
              </w:rPr>
              <w:t>30.1%</w:t>
            </w:r>
          </w:p>
        </w:tc>
        <w:tc>
          <w:tcPr>
            <w:cnfStyle w:val="000001000000" w:firstRow="0" w:lastRow="0" w:firstColumn="0" w:lastColumn="0" w:oddVBand="0" w:evenVBand="1" w:oddHBand="0" w:evenHBand="0" w:firstRowFirstColumn="0" w:firstRowLastColumn="0" w:lastRowFirstColumn="0" w:lastRowLastColumn="0"/>
            <w:tcW w:w="907" w:type="dxa"/>
            <w:tcBorders>
              <w:bottom w:val="single" w:sz="8" w:space="0" w:color="2F005F"/>
            </w:tcBorders>
            <w:vAlign w:val="center"/>
          </w:tcPr>
          <w:p w14:paraId="138371BE" w14:textId="77777777" w:rsidR="00A6421D" w:rsidRDefault="00A6421D" w:rsidP="00F72610">
            <w:pPr>
              <w:pStyle w:val="Tablebodycopy"/>
              <w:jc w:val="center"/>
              <w:rPr>
                <w:rFonts w:eastAsia="Arial" w:cs="Arial"/>
              </w:rPr>
            </w:pPr>
            <w:r w:rsidRPr="230B0710">
              <w:rPr>
                <w:rFonts w:eastAsia="Arial" w:cs="Arial"/>
              </w:rPr>
              <w:t>24.6%</w:t>
            </w:r>
          </w:p>
        </w:tc>
        <w:tc>
          <w:tcPr>
            <w:cnfStyle w:val="000010000000" w:firstRow="0" w:lastRow="0" w:firstColumn="0" w:lastColumn="0" w:oddVBand="1" w:evenVBand="0" w:oddHBand="0" w:evenHBand="0" w:firstRowFirstColumn="0" w:firstRowLastColumn="0" w:lastRowFirstColumn="0" w:lastRowLastColumn="0"/>
            <w:tcW w:w="907" w:type="dxa"/>
            <w:tcBorders>
              <w:bottom w:val="single" w:sz="8" w:space="0" w:color="2F005F"/>
            </w:tcBorders>
            <w:vAlign w:val="center"/>
          </w:tcPr>
          <w:p w14:paraId="34AF3FF2" w14:textId="77777777" w:rsidR="00A6421D" w:rsidRDefault="00A6421D" w:rsidP="00F72610">
            <w:pPr>
              <w:pStyle w:val="Tablebodycopy"/>
              <w:jc w:val="center"/>
              <w:rPr>
                <w:rFonts w:eastAsia="Arial" w:cs="Arial"/>
              </w:rPr>
            </w:pPr>
            <w:r w:rsidRPr="230B0710">
              <w:rPr>
                <w:rFonts w:eastAsia="Arial" w:cs="Arial"/>
              </w:rPr>
              <w:t>25.0%</w:t>
            </w:r>
          </w:p>
        </w:tc>
        <w:tc>
          <w:tcPr>
            <w:cnfStyle w:val="000001000000" w:firstRow="0" w:lastRow="0" w:firstColumn="0" w:lastColumn="0" w:oddVBand="0" w:evenVBand="1" w:oddHBand="0" w:evenHBand="0" w:firstRowFirstColumn="0" w:firstRowLastColumn="0" w:lastRowFirstColumn="0" w:lastRowLastColumn="0"/>
            <w:tcW w:w="907" w:type="dxa"/>
            <w:tcBorders>
              <w:bottom w:val="single" w:sz="8" w:space="0" w:color="2F005F"/>
            </w:tcBorders>
            <w:vAlign w:val="center"/>
          </w:tcPr>
          <w:p w14:paraId="4234EA0D" w14:textId="77777777" w:rsidR="00A6421D" w:rsidRDefault="00A6421D" w:rsidP="00F72610">
            <w:pPr>
              <w:pStyle w:val="Tablebodycopy"/>
              <w:jc w:val="center"/>
              <w:rPr>
                <w:rFonts w:eastAsia="Arial" w:cs="Arial"/>
              </w:rPr>
            </w:pPr>
            <w:r w:rsidRPr="230B0710">
              <w:rPr>
                <w:rFonts w:eastAsia="Arial" w:cs="Arial"/>
              </w:rPr>
              <w:t>17.9%</w:t>
            </w:r>
          </w:p>
        </w:tc>
        <w:tc>
          <w:tcPr>
            <w:cnfStyle w:val="000010000000" w:firstRow="0" w:lastRow="0" w:firstColumn="0" w:lastColumn="0" w:oddVBand="1" w:evenVBand="0" w:oddHBand="0" w:evenHBand="0" w:firstRowFirstColumn="0" w:firstRowLastColumn="0" w:lastRowFirstColumn="0" w:lastRowLastColumn="0"/>
            <w:tcW w:w="907" w:type="dxa"/>
            <w:tcBorders>
              <w:bottom w:val="single" w:sz="8" w:space="0" w:color="2F005F"/>
            </w:tcBorders>
            <w:vAlign w:val="center"/>
          </w:tcPr>
          <w:p w14:paraId="0303C4FA" w14:textId="77777777" w:rsidR="00A6421D" w:rsidRDefault="00A6421D" w:rsidP="00F72610">
            <w:pPr>
              <w:pStyle w:val="Tablebodycopy"/>
              <w:jc w:val="center"/>
              <w:rPr>
                <w:rFonts w:eastAsia="Arial" w:cs="Arial"/>
              </w:rPr>
            </w:pPr>
            <w:r w:rsidRPr="230B0710">
              <w:rPr>
                <w:rFonts w:eastAsia="Arial" w:cs="Arial"/>
              </w:rPr>
              <w:t>35.5%</w:t>
            </w:r>
          </w:p>
        </w:tc>
      </w:tr>
    </w:tbl>
    <w:p w14:paraId="4D8D19EF" w14:textId="2F22683D" w:rsidR="006F37D0" w:rsidRDefault="00A6421D" w:rsidP="008B2387">
      <w:pPr>
        <w:pStyle w:val="Source"/>
      </w:pPr>
      <w:r>
        <w:t>Source: ABS (2021</w:t>
      </w:r>
      <w:r w:rsidR="00191FF2">
        <w:t>)</w:t>
      </w:r>
      <w:r w:rsidR="00D921BB" w:rsidRPr="00D921BB">
        <w:t xml:space="preserve"> </w:t>
      </w:r>
      <w:r w:rsidR="00D921BB">
        <w:t>Occupation (OCCP) and Industry of Employment (INDP) by</w:t>
      </w:r>
      <w:r>
        <w:t xml:space="preserve"> </w:t>
      </w:r>
      <w:r w:rsidR="00D921BB">
        <w:t>State/Territor</w:t>
      </w:r>
      <w:r w:rsidR="00191FF2">
        <w:t>y (STATE [</w:t>
      </w:r>
      <w:r>
        <w:t>UR</w:t>
      </w:r>
      <w:r w:rsidR="00191FF2">
        <w:t>])</w:t>
      </w:r>
      <w:r>
        <w:t>. [Census TableBuilder], accessed 25 March 2024.</w:t>
      </w:r>
      <w:r w:rsidR="006F37D0">
        <w:rPr>
          <w:rStyle w:val="FootnoteReference"/>
        </w:rPr>
        <w:footnoteReference w:id="4"/>
      </w:r>
    </w:p>
    <w:p w14:paraId="25016C9D" w14:textId="77777777" w:rsidR="00684F65" w:rsidRPr="00684F65" w:rsidRDefault="00684F65" w:rsidP="00684F65"/>
    <w:p w14:paraId="3928C176" w14:textId="141FE588" w:rsidR="00A6421D" w:rsidRPr="00B7001D" w:rsidRDefault="00A6421D" w:rsidP="4D28B262">
      <w:pPr>
        <w:pStyle w:val="Heading2"/>
        <w:rPr>
          <w:rStyle w:val="BodycopyChar"/>
        </w:rPr>
      </w:pPr>
      <w:bookmarkStart w:id="90" w:name="_Toc150340159"/>
      <w:bookmarkStart w:id="91" w:name="_Toc2043568987"/>
      <w:bookmarkStart w:id="92" w:name="_Toc884387458"/>
      <w:bookmarkStart w:id="93" w:name="_Toc1228438850"/>
      <w:bookmarkStart w:id="94" w:name="_Toc176770981"/>
      <w:r>
        <w:t xml:space="preserve">Demographic </w:t>
      </w:r>
      <w:r w:rsidR="00EB5BE7">
        <w:t>c</w:t>
      </w:r>
      <w:r>
        <w:t>haracteristics</w:t>
      </w:r>
      <w:bookmarkEnd w:id="90"/>
      <w:bookmarkEnd w:id="91"/>
      <w:bookmarkEnd w:id="92"/>
      <w:bookmarkEnd w:id="93"/>
      <w:bookmarkEnd w:id="94"/>
    </w:p>
    <w:p w14:paraId="6B92AB53" w14:textId="37C843B5" w:rsidR="00A6421D" w:rsidRDefault="00A6421D" w:rsidP="00F85E43">
      <w:pPr>
        <w:pStyle w:val="Bodycopy"/>
      </w:pPr>
      <w:r w:rsidRPr="2C8D78EB">
        <w:t>The most distinctive demographic aspect of the VET workforce, especially the Teach, Train and Assess segment of the workforce, is that it is older and ag</w:t>
      </w:r>
      <w:r w:rsidR="003F7930">
        <w:t>e</w:t>
      </w:r>
      <w:r w:rsidRPr="2C8D78EB">
        <w:t xml:space="preserve">ing. </w:t>
      </w:r>
      <w:r w:rsidRPr="4E376104">
        <w:t>Almost half</w:t>
      </w:r>
      <w:r w:rsidRPr="2C8D78EB">
        <w:t xml:space="preserve"> of the VET workforce is over 50 years, and the average age is </w:t>
      </w:r>
      <w:r w:rsidR="006E7209">
        <w:t>seven</w:t>
      </w:r>
      <w:r w:rsidR="006E7209" w:rsidRPr="2C8D78EB">
        <w:t xml:space="preserve"> </w:t>
      </w:r>
      <w:r w:rsidRPr="2C8D78EB">
        <w:t xml:space="preserve">years older than the Australian workforce average (47 compared to </w:t>
      </w:r>
      <w:r w:rsidR="006E7209" w:rsidRPr="2C8D78EB">
        <w:t>4</w:t>
      </w:r>
      <w:r w:rsidR="006E7209">
        <w:t>0</w:t>
      </w:r>
      <w:r w:rsidRPr="2C8D78EB">
        <w:t xml:space="preserve">). </w:t>
      </w:r>
    </w:p>
    <w:p w14:paraId="74C378B9" w14:textId="77777777" w:rsidR="00A6421D" w:rsidRDefault="00A6421D" w:rsidP="00F85E43">
      <w:pPr>
        <w:pStyle w:val="Bodycopy"/>
      </w:pPr>
      <w:r w:rsidRPr="2971F7AE">
        <w:t>Outside</w:t>
      </w:r>
      <w:r w:rsidRPr="22E59934">
        <w:t xml:space="preserve"> of this, </w:t>
      </w:r>
      <w:r w:rsidRPr="0C43BD1D">
        <w:t>the</w:t>
      </w:r>
      <w:r w:rsidRPr="22E59934">
        <w:t xml:space="preserve"> VET workforce reflects </w:t>
      </w:r>
      <w:r w:rsidRPr="464E733D">
        <w:t xml:space="preserve">the </w:t>
      </w:r>
      <w:r w:rsidRPr="22E59934">
        <w:t xml:space="preserve">demographic make-up of the wider Australian workforce with only slight variations. For example, </w:t>
      </w:r>
      <w:r>
        <w:t>VET</w:t>
      </w:r>
      <w:r w:rsidRPr="22E59934">
        <w:t xml:space="preserve"> is only slightly more feminised and slightly less</w:t>
      </w:r>
      <w:r>
        <w:t xml:space="preserve"> culturally</w:t>
      </w:r>
      <w:r w:rsidRPr="22E59934">
        <w:t xml:space="preserve"> diverse that the wider Australian workforce</w:t>
      </w:r>
      <w:r w:rsidRPr="0E6B584B">
        <w:t>. A</w:t>
      </w:r>
      <w:r>
        <w:t xml:space="preserve"> similar percentage of the VET workforce is born overseas as the Australian workforce (approximately one third), but it lacks diversity from a language other than English spoken at home (LOTE) perspective. </w:t>
      </w:r>
    </w:p>
    <w:p w14:paraId="09FB4EDE" w14:textId="26B076FE" w:rsidR="00A6421D" w:rsidRDefault="00A6421D" w:rsidP="00F85E43">
      <w:pPr>
        <w:pStyle w:val="Bodycopy"/>
      </w:pPr>
      <w:r>
        <w:t xml:space="preserve">This lack of diversity is more pronounced in </w:t>
      </w:r>
      <w:r w:rsidDel="33155F1B">
        <w:t>t</w:t>
      </w:r>
      <w:r w:rsidDel="005014FB">
        <w:t>he</w:t>
      </w:r>
      <w:r>
        <w:t xml:space="preserve"> </w:t>
      </w:r>
      <w:r w:rsidR="00CB29F6">
        <w:t>Teach, Train, and Assess</w:t>
      </w:r>
      <w:r>
        <w:t xml:space="preserve"> segment of the VET workforce, which is notable considering the diversity of the VET student cohort. </w:t>
      </w:r>
      <w:r w:rsidDel="005014FB">
        <w:t>Indeed</w:t>
      </w:r>
      <w:r>
        <w:t xml:space="preserve">, the most interesting insights in the demographic profile of the VET </w:t>
      </w:r>
      <w:r w:rsidR="0013732D">
        <w:t>w</w:t>
      </w:r>
      <w:r>
        <w:t>orkforce below are those by segment. For example, the Learning Support segment has the highest proportion of females and First Nations workers (over 75.0% female and 6.0% First Nations)</w:t>
      </w:r>
      <w:r w:rsidR="00BB5B3E">
        <w:t xml:space="preserve"> see </w:t>
      </w:r>
      <w:hyperlink w:anchor="Table_2_2" w:history="1">
        <w:r w:rsidR="00BB5B3E" w:rsidRPr="009014D1">
          <w:rPr>
            <w:rStyle w:val="Hyperlink"/>
          </w:rPr>
          <w:t>Table 2.2</w:t>
        </w:r>
      </w:hyperlink>
      <w:r>
        <w:t>. We draw out further segment insights throughout this chapter.</w:t>
      </w:r>
    </w:p>
    <w:p w14:paraId="7D222A82" w14:textId="18DA4C2C" w:rsidR="0050585D" w:rsidRDefault="00A6421D" w:rsidP="00F85E43">
      <w:pPr>
        <w:pStyle w:val="Bodycopy"/>
      </w:pPr>
      <w:r>
        <w:lastRenderedPageBreak/>
        <w:t xml:space="preserve">The VET workforce further aligns with Australian workforce averages in long term health conditions and the need for assistance with core activities (the best indicator of disability status in the Census) but does vary from the Australian workforce when it comes to highest level of education. Almost half of the VET workforce has a Bachelor degree in contrast to just over one third of the broader Australian workforce. </w:t>
      </w:r>
    </w:p>
    <w:p w14:paraId="4F632CAF" w14:textId="76856232" w:rsidR="00684F65" w:rsidRDefault="00A6421D" w:rsidP="007A14D0">
      <w:pPr>
        <w:pStyle w:val="Bodycopy"/>
        <w:spacing w:after="240"/>
      </w:pPr>
      <w:r>
        <w:t>This higher level of education</w:t>
      </w:r>
      <w:r w:rsidR="00FC7146">
        <w:t xml:space="preserve"> likely relates to the</w:t>
      </w:r>
      <w:r>
        <w:t xml:space="preserve"> dual professional status of </w:t>
      </w:r>
      <w:r w:rsidR="00CC6D50">
        <w:t>VET teachers</w:t>
      </w:r>
      <w:r>
        <w:t xml:space="preserve"> and highlights the unique data gap of the VET workforce’s dual qualifications in both vocational and adult education teaching qualifications. </w:t>
      </w:r>
      <w:hyperlink w:anchor="Table_2_2" w:history="1">
        <w:r w:rsidRPr="009014D1">
          <w:rPr>
            <w:rStyle w:val="Hyperlink"/>
          </w:rPr>
          <w:t>Table 2.2</w:t>
        </w:r>
      </w:hyperlink>
      <w:r>
        <w:t xml:space="preserve"> summarises the demographic profile of the VET workforce, Australian workforce and each taxonomy segment. </w:t>
      </w:r>
    </w:p>
    <w:p w14:paraId="5C41CCE7" w14:textId="3F55B085" w:rsidR="00A6421D" w:rsidRDefault="00A6421D" w:rsidP="00A6421D">
      <w:pPr>
        <w:pStyle w:val="Caption"/>
        <w:keepNext/>
      </w:pPr>
      <w:bookmarkStart w:id="95" w:name="Table_2_2"/>
      <w:r>
        <w:t xml:space="preserve">Table </w:t>
      </w:r>
      <w:r w:rsidR="004B692A">
        <w:fldChar w:fldCharType="begin"/>
      </w:r>
      <w:r w:rsidR="004B692A">
        <w:instrText xml:space="preserve"> STYLEREF 1 \s </w:instrText>
      </w:r>
      <w:r w:rsidR="004B692A">
        <w:fldChar w:fldCharType="separate"/>
      </w:r>
      <w:r w:rsidR="00E7704E">
        <w:rPr>
          <w:noProof/>
        </w:rPr>
        <w:t>2</w:t>
      </w:r>
      <w:r w:rsidR="004B692A">
        <w:fldChar w:fldCharType="end"/>
      </w:r>
      <w:r w:rsidR="004B692A">
        <w:t>.</w:t>
      </w:r>
      <w:r w:rsidR="004B692A">
        <w:fldChar w:fldCharType="begin"/>
      </w:r>
      <w:r w:rsidR="004B692A">
        <w:instrText xml:space="preserve"> SEQ Table \* ARABIC \s 1 </w:instrText>
      </w:r>
      <w:r w:rsidR="004B692A">
        <w:fldChar w:fldCharType="separate"/>
      </w:r>
      <w:r w:rsidR="00E7704E">
        <w:rPr>
          <w:noProof/>
        </w:rPr>
        <w:t>2</w:t>
      </w:r>
      <w:r w:rsidR="004B692A">
        <w:fldChar w:fldCharType="end"/>
      </w:r>
      <w:r>
        <w:t xml:space="preserve"> Key demographic characteristics </w:t>
      </w:r>
    </w:p>
    <w:bookmarkEnd w:id="95"/>
    <w:tbl>
      <w:tblPr>
        <w:tblStyle w:val="JSATable1"/>
        <w:tblW w:w="8902" w:type="dxa"/>
        <w:tblLayout w:type="fixed"/>
        <w:tblLook w:val="04A0" w:firstRow="1" w:lastRow="0" w:firstColumn="1" w:lastColumn="0" w:noHBand="0" w:noVBand="1"/>
        <w:tblDescription w:val="Key demographic characteristics "/>
      </w:tblPr>
      <w:tblGrid>
        <w:gridCol w:w="3149"/>
        <w:gridCol w:w="1150"/>
        <w:gridCol w:w="1151"/>
        <w:gridCol w:w="1150"/>
        <w:gridCol w:w="1151"/>
        <w:gridCol w:w="1151"/>
      </w:tblGrid>
      <w:tr w:rsidR="00A6421D" w14:paraId="0A9A2A95" w14:textId="77777777" w:rsidTr="005F28D3">
        <w:trPr>
          <w:cnfStyle w:val="100000000000" w:firstRow="1" w:lastRow="0" w:firstColumn="0" w:lastColumn="0" w:oddVBand="0" w:evenVBand="0" w:oddHBand="0" w:evenHBand="0" w:firstRowFirstColumn="0" w:firstRowLastColumn="0" w:lastRowFirstColumn="0" w:lastRowLastColumn="0"/>
          <w:trHeight w:val="1146"/>
        </w:trPr>
        <w:tc>
          <w:tcPr>
            <w:cnfStyle w:val="001000000100" w:firstRow="0" w:lastRow="0" w:firstColumn="1" w:lastColumn="0" w:oddVBand="0" w:evenVBand="0" w:oddHBand="0" w:evenHBand="0" w:firstRowFirstColumn="1" w:firstRowLastColumn="0" w:lastRowFirstColumn="0" w:lastRowLastColumn="0"/>
            <w:tcW w:w="3294" w:type="dxa"/>
          </w:tcPr>
          <w:p w14:paraId="635E9DA5" w14:textId="77777777" w:rsidR="00A6421D" w:rsidRPr="00760AF8" w:rsidRDefault="00A6421D" w:rsidP="00F85E43">
            <w:pPr>
              <w:pStyle w:val="Tableheader"/>
              <w:ind w:left="142"/>
            </w:pPr>
          </w:p>
        </w:tc>
        <w:tc>
          <w:tcPr>
            <w:tcW w:w="1202" w:type="dxa"/>
          </w:tcPr>
          <w:p w14:paraId="3FD2BA14" w14:textId="77777777" w:rsidR="00A6421D" w:rsidRPr="00314657" w:rsidRDefault="00A6421D" w:rsidP="0050585D">
            <w:pPr>
              <w:pStyle w:val="Tableheader"/>
              <w:cnfStyle w:val="100000000000" w:firstRow="1" w:lastRow="0" w:firstColumn="0" w:lastColumn="0" w:oddVBand="0" w:evenVBand="0" w:oddHBand="0" w:evenHBand="0" w:firstRowFirstColumn="0" w:firstRowLastColumn="0" w:lastRowFirstColumn="0" w:lastRowLastColumn="0"/>
            </w:pPr>
            <w:r w:rsidRPr="00314657">
              <w:t>Female</w:t>
            </w:r>
          </w:p>
        </w:tc>
        <w:tc>
          <w:tcPr>
            <w:tcW w:w="1203" w:type="dxa"/>
          </w:tcPr>
          <w:p w14:paraId="123963C4" w14:textId="77777777" w:rsidR="00A6421D" w:rsidRPr="00314657" w:rsidRDefault="00A6421D" w:rsidP="0050585D">
            <w:pPr>
              <w:pStyle w:val="Tableheader"/>
              <w:cnfStyle w:val="100000000000" w:firstRow="1" w:lastRow="0" w:firstColumn="0" w:lastColumn="0" w:oddVBand="0" w:evenVBand="0" w:oddHBand="0" w:evenHBand="0" w:firstRowFirstColumn="0" w:firstRowLastColumn="0" w:lastRowFirstColumn="0" w:lastRowLastColumn="0"/>
            </w:pPr>
            <w:r w:rsidRPr="00314657">
              <w:t>Average Age</w:t>
            </w:r>
          </w:p>
        </w:tc>
        <w:tc>
          <w:tcPr>
            <w:tcW w:w="1202" w:type="dxa"/>
          </w:tcPr>
          <w:p w14:paraId="3EB50928" w14:textId="2DFD5ACB" w:rsidR="00A6421D" w:rsidRPr="00314657" w:rsidRDefault="00A6421D" w:rsidP="00F85E43">
            <w:pPr>
              <w:pStyle w:val="Tableheader"/>
              <w:cnfStyle w:val="100000000000" w:firstRow="1" w:lastRow="0" w:firstColumn="0" w:lastColumn="0" w:oddVBand="0" w:evenVBand="0" w:oddHBand="0" w:evenHBand="0" w:firstRowFirstColumn="0" w:firstRowLastColumn="0" w:lastRowFirstColumn="0" w:lastRowLastColumn="0"/>
            </w:pPr>
            <w:r w:rsidRPr="00314657">
              <w:t xml:space="preserve">First </w:t>
            </w:r>
            <w:r w:rsidR="00F85E43">
              <w:br/>
            </w:r>
            <w:r w:rsidRPr="00314657">
              <w:t>Nations</w:t>
            </w:r>
          </w:p>
        </w:tc>
        <w:tc>
          <w:tcPr>
            <w:tcW w:w="1203" w:type="dxa"/>
          </w:tcPr>
          <w:p w14:paraId="422D0ACA" w14:textId="77777777" w:rsidR="00A6421D" w:rsidRPr="00314657" w:rsidRDefault="00A6421D" w:rsidP="0050585D">
            <w:pPr>
              <w:pStyle w:val="Tableheader"/>
              <w:cnfStyle w:val="100000000000" w:firstRow="1" w:lastRow="0" w:firstColumn="0" w:lastColumn="0" w:oddVBand="0" w:evenVBand="0" w:oddHBand="0" w:evenHBand="0" w:firstRowFirstColumn="0" w:firstRowLastColumn="0" w:lastRowFirstColumn="0" w:lastRowLastColumn="0"/>
            </w:pPr>
            <w:r w:rsidRPr="00314657">
              <w:t>Born Overseas</w:t>
            </w:r>
          </w:p>
        </w:tc>
        <w:tc>
          <w:tcPr>
            <w:tcW w:w="1203" w:type="dxa"/>
          </w:tcPr>
          <w:p w14:paraId="5503B741" w14:textId="0EB6FB75" w:rsidR="00A6421D" w:rsidRPr="00314657" w:rsidRDefault="00A6421D" w:rsidP="0050585D">
            <w:pPr>
              <w:pStyle w:val="Tableheader"/>
              <w:cnfStyle w:val="100000000000" w:firstRow="1" w:lastRow="0" w:firstColumn="0" w:lastColumn="0" w:oddVBand="0" w:evenVBand="0" w:oddHBand="0" w:evenHBand="0" w:firstRowFirstColumn="0" w:firstRowLastColumn="0" w:lastRowFirstColumn="0" w:lastRowLastColumn="0"/>
            </w:pPr>
            <w:r w:rsidRPr="00314657">
              <w:t xml:space="preserve">LOTE </w:t>
            </w:r>
            <w:r w:rsidR="00684F65">
              <w:br/>
            </w:r>
            <w:r w:rsidRPr="00314657">
              <w:t>at home</w:t>
            </w:r>
          </w:p>
        </w:tc>
      </w:tr>
      <w:tr w:rsidR="00A6421D" w14:paraId="7BFCFE28" w14:textId="77777777" w:rsidTr="00F85E43">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294" w:type="dxa"/>
            <w:vAlign w:val="center"/>
          </w:tcPr>
          <w:p w14:paraId="5760542B" w14:textId="77777777" w:rsidR="00A6421D" w:rsidRPr="005A6504" w:rsidRDefault="00A6421D" w:rsidP="00F85E43">
            <w:pPr>
              <w:pStyle w:val="Tablebodycopy"/>
              <w:ind w:left="142"/>
              <w:rPr>
                <w:b/>
                <w:bCs/>
              </w:rPr>
            </w:pPr>
            <w:r w:rsidRPr="005A6504">
              <w:rPr>
                <w:b/>
                <w:bCs/>
              </w:rPr>
              <w:t>VET Workforce</w:t>
            </w:r>
          </w:p>
        </w:tc>
        <w:tc>
          <w:tcPr>
            <w:tcW w:w="1202" w:type="dxa"/>
            <w:vAlign w:val="center"/>
          </w:tcPr>
          <w:p w14:paraId="2589DEBF"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rPr>
                <w:b/>
                <w:bCs/>
              </w:rPr>
            </w:pPr>
            <w:r w:rsidRPr="005A6504">
              <w:rPr>
                <w:b/>
                <w:bCs/>
              </w:rPr>
              <w:t>57.2%</w:t>
            </w:r>
          </w:p>
        </w:tc>
        <w:tc>
          <w:tcPr>
            <w:tcW w:w="1203" w:type="dxa"/>
            <w:vAlign w:val="center"/>
          </w:tcPr>
          <w:p w14:paraId="35331928"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rPr>
                <w:b/>
                <w:bCs/>
              </w:rPr>
            </w:pPr>
            <w:r>
              <w:rPr>
                <w:b/>
                <w:bCs/>
              </w:rPr>
              <w:t>47.3</w:t>
            </w:r>
          </w:p>
        </w:tc>
        <w:tc>
          <w:tcPr>
            <w:tcW w:w="1202" w:type="dxa"/>
            <w:vAlign w:val="center"/>
          </w:tcPr>
          <w:p w14:paraId="0458F039"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rPr>
                <w:b/>
                <w:bCs/>
              </w:rPr>
            </w:pPr>
            <w:r>
              <w:rPr>
                <w:b/>
                <w:bCs/>
              </w:rPr>
              <w:t>2.1%</w:t>
            </w:r>
          </w:p>
        </w:tc>
        <w:tc>
          <w:tcPr>
            <w:tcW w:w="1203" w:type="dxa"/>
            <w:vAlign w:val="center"/>
          </w:tcPr>
          <w:p w14:paraId="63046244"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rPr>
                <w:b/>
                <w:bCs/>
              </w:rPr>
            </w:pPr>
            <w:r w:rsidRPr="005A6504">
              <w:rPr>
                <w:b/>
                <w:bCs/>
              </w:rPr>
              <w:t>33.0%</w:t>
            </w:r>
          </w:p>
        </w:tc>
        <w:tc>
          <w:tcPr>
            <w:tcW w:w="1203" w:type="dxa"/>
            <w:vAlign w:val="center"/>
          </w:tcPr>
          <w:p w14:paraId="3A3AC74F"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rPr>
                <w:b/>
                <w:bCs/>
              </w:rPr>
            </w:pPr>
            <w:r w:rsidRPr="005A6504">
              <w:rPr>
                <w:b/>
                <w:bCs/>
              </w:rPr>
              <w:t>20.5%</w:t>
            </w:r>
          </w:p>
        </w:tc>
      </w:tr>
      <w:tr w:rsidR="00A6421D" w14:paraId="01DB4CF2" w14:textId="77777777" w:rsidTr="00F85E43">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294" w:type="dxa"/>
            <w:vAlign w:val="center"/>
          </w:tcPr>
          <w:p w14:paraId="33AF4A48" w14:textId="4235FEE0" w:rsidR="00A6421D" w:rsidRDefault="00CB29F6" w:rsidP="00F85E43">
            <w:pPr>
              <w:pStyle w:val="Tablebodycopy"/>
              <w:ind w:left="142"/>
            </w:pPr>
            <w:r>
              <w:t>Teach, Train, and Assess</w:t>
            </w:r>
          </w:p>
        </w:tc>
        <w:tc>
          <w:tcPr>
            <w:tcW w:w="1202" w:type="dxa"/>
            <w:vAlign w:val="center"/>
          </w:tcPr>
          <w:p w14:paraId="66C16879"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pPr>
            <w:r w:rsidRPr="005A6504">
              <w:t>51.1%</w:t>
            </w:r>
          </w:p>
        </w:tc>
        <w:tc>
          <w:tcPr>
            <w:tcW w:w="1203" w:type="dxa"/>
            <w:vAlign w:val="center"/>
          </w:tcPr>
          <w:p w14:paraId="24D1CC44"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pPr>
            <w:r w:rsidRPr="005A6504">
              <w:t>48.1</w:t>
            </w:r>
          </w:p>
        </w:tc>
        <w:tc>
          <w:tcPr>
            <w:tcW w:w="1202" w:type="dxa"/>
            <w:vAlign w:val="center"/>
          </w:tcPr>
          <w:p w14:paraId="1F960C2B"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pPr>
            <w:r w:rsidRPr="005A6504">
              <w:t>1.8%</w:t>
            </w:r>
          </w:p>
        </w:tc>
        <w:tc>
          <w:tcPr>
            <w:tcW w:w="1203" w:type="dxa"/>
            <w:vAlign w:val="center"/>
          </w:tcPr>
          <w:p w14:paraId="5A5DA1B0"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pPr>
            <w:r w:rsidRPr="005A6504">
              <w:t>31.4%</w:t>
            </w:r>
          </w:p>
        </w:tc>
        <w:tc>
          <w:tcPr>
            <w:tcW w:w="1203" w:type="dxa"/>
            <w:vAlign w:val="center"/>
          </w:tcPr>
          <w:p w14:paraId="5510D57F"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pPr>
            <w:r w:rsidRPr="005A6504">
              <w:t>18.2%</w:t>
            </w:r>
          </w:p>
        </w:tc>
      </w:tr>
      <w:tr w:rsidR="00A6421D" w14:paraId="239EEF0C" w14:textId="77777777" w:rsidTr="00F85E43">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294" w:type="dxa"/>
            <w:vAlign w:val="center"/>
          </w:tcPr>
          <w:p w14:paraId="5523914A" w14:textId="77777777" w:rsidR="00A6421D" w:rsidRDefault="00A6421D" w:rsidP="00F85E43">
            <w:pPr>
              <w:pStyle w:val="Tablebodycopy"/>
              <w:ind w:left="142"/>
            </w:pPr>
            <w:r w:rsidRPr="001A5303">
              <w:t>Curriculum and Learning Design</w:t>
            </w:r>
          </w:p>
        </w:tc>
        <w:tc>
          <w:tcPr>
            <w:tcW w:w="1202" w:type="dxa"/>
            <w:vAlign w:val="center"/>
          </w:tcPr>
          <w:p w14:paraId="5089B89F"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pPr>
            <w:r w:rsidRPr="005A6504">
              <w:t>61.7%</w:t>
            </w:r>
          </w:p>
        </w:tc>
        <w:tc>
          <w:tcPr>
            <w:tcW w:w="1203" w:type="dxa"/>
            <w:vAlign w:val="center"/>
          </w:tcPr>
          <w:p w14:paraId="4E7C9C74"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pPr>
            <w:r w:rsidRPr="005A6504">
              <w:t>45.3</w:t>
            </w:r>
          </w:p>
        </w:tc>
        <w:tc>
          <w:tcPr>
            <w:tcW w:w="1202" w:type="dxa"/>
            <w:vAlign w:val="center"/>
          </w:tcPr>
          <w:p w14:paraId="1D8AEF2D"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pPr>
            <w:r w:rsidRPr="005A6504">
              <w:t>2.3%</w:t>
            </w:r>
          </w:p>
        </w:tc>
        <w:tc>
          <w:tcPr>
            <w:tcW w:w="1203" w:type="dxa"/>
            <w:vAlign w:val="center"/>
          </w:tcPr>
          <w:p w14:paraId="76064D70"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pPr>
            <w:r w:rsidRPr="005A6504">
              <w:t>29.9%</w:t>
            </w:r>
          </w:p>
        </w:tc>
        <w:tc>
          <w:tcPr>
            <w:tcW w:w="1203" w:type="dxa"/>
            <w:vAlign w:val="center"/>
          </w:tcPr>
          <w:p w14:paraId="6AD5B573"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pPr>
            <w:r w:rsidRPr="005A6504">
              <w:t>16.8%</w:t>
            </w:r>
          </w:p>
        </w:tc>
      </w:tr>
      <w:tr w:rsidR="00A6421D" w14:paraId="783D7F73" w14:textId="77777777" w:rsidTr="00F85E43">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294" w:type="dxa"/>
            <w:vAlign w:val="center"/>
          </w:tcPr>
          <w:p w14:paraId="234552FD" w14:textId="77777777" w:rsidR="00A6421D" w:rsidRDefault="00A6421D" w:rsidP="00F85E43">
            <w:pPr>
              <w:pStyle w:val="Tablebodycopy"/>
              <w:ind w:left="142"/>
            </w:pPr>
            <w:r w:rsidRPr="001A5303">
              <w:t>Quality Assurance and Compliance</w:t>
            </w:r>
          </w:p>
        </w:tc>
        <w:tc>
          <w:tcPr>
            <w:tcW w:w="1202" w:type="dxa"/>
            <w:vAlign w:val="center"/>
          </w:tcPr>
          <w:p w14:paraId="358D6D28"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pPr>
            <w:r w:rsidRPr="005A6504">
              <w:t>70.4%</w:t>
            </w:r>
          </w:p>
        </w:tc>
        <w:tc>
          <w:tcPr>
            <w:tcW w:w="1203" w:type="dxa"/>
            <w:vAlign w:val="center"/>
          </w:tcPr>
          <w:p w14:paraId="0DA168AF"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pPr>
            <w:r w:rsidRPr="005A6504">
              <w:t>39.4</w:t>
            </w:r>
          </w:p>
        </w:tc>
        <w:tc>
          <w:tcPr>
            <w:tcW w:w="1202" w:type="dxa"/>
            <w:vAlign w:val="center"/>
          </w:tcPr>
          <w:p w14:paraId="0439AA30" w14:textId="7EE7713C"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pPr>
            <w:r>
              <w:t>&lt;0.</w:t>
            </w:r>
            <w:r w:rsidR="00CB6568">
              <w:t>1</w:t>
            </w:r>
            <w:r>
              <w:t>%</w:t>
            </w:r>
          </w:p>
        </w:tc>
        <w:tc>
          <w:tcPr>
            <w:tcW w:w="1203" w:type="dxa"/>
            <w:vAlign w:val="center"/>
          </w:tcPr>
          <w:p w14:paraId="3342B826"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pPr>
            <w:r w:rsidRPr="005A6504">
              <w:t>35.5%</w:t>
            </w:r>
          </w:p>
        </w:tc>
        <w:tc>
          <w:tcPr>
            <w:tcW w:w="1203" w:type="dxa"/>
            <w:vAlign w:val="center"/>
          </w:tcPr>
          <w:p w14:paraId="219F52F0"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pPr>
            <w:r w:rsidRPr="005A6504">
              <w:t>19.9%</w:t>
            </w:r>
          </w:p>
        </w:tc>
      </w:tr>
      <w:tr w:rsidR="00A6421D" w14:paraId="25D2EE3F" w14:textId="77777777" w:rsidTr="00F85E43">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294" w:type="dxa"/>
            <w:vAlign w:val="center"/>
          </w:tcPr>
          <w:p w14:paraId="6A4F5CCE" w14:textId="77777777" w:rsidR="00A6421D" w:rsidRDefault="00A6421D" w:rsidP="00F85E43">
            <w:pPr>
              <w:pStyle w:val="Tablebodycopy"/>
              <w:ind w:left="142"/>
            </w:pPr>
            <w:r w:rsidRPr="001A5303">
              <w:t>Leadership</w:t>
            </w:r>
          </w:p>
        </w:tc>
        <w:tc>
          <w:tcPr>
            <w:tcW w:w="1202" w:type="dxa"/>
            <w:vAlign w:val="center"/>
          </w:tcPr>
          <w:p w14:paraId="01A838C3"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pPr>
            <w:r w:rsidRPr="005A6504">
              <w:t>56.6%</w:t>
            </w:r>
          </w:p>
        </w:tc>
        <w:tc>
          <w:tcPr>
            <w:tcW w:w="1203" w:type="dxa"/>
            <w:vAlign w:val="center"/>
          </w:tcPr>
          <w:p w14:paraId="2D962FDD"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pPr>
            <w:r w:rsidRPr="005A6504">
              <w:t>46.2</w:t>
            </w:r>
          </w:p>
        </w:tc>
        <w:tc>
          <w:tcPr>
            <w:tcW w:w="1202" w:type="dxa"/>
            <w:vAlign w:val="center"/>
          </w:tcPr>
          <w:p w14:paraId="75B6EC67"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pPr>
            <w:r w:rsidRPr="005A6504">
              <w:t>1.8%</w:t>
            </w:r>
          </w:p>
        </w:tc>
        <w:tc>
          <w:tcPr>
            <w:tcW w:w="1203" w:type="dxa"/>
            <w:vAlign w:val="center"/>
          </w:tcPr>
          <w:p w14:paraId="05981CD3"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pPr>
            <w:r w:rsidRPr="005A6504">
              <w:t>34.7%</w:t>
            </w:r>
          </w:p>
        </w:tc>
        <w:tc>
          <w:tcPr>
            <w:tcW w:w="1203" w:type="dxa"/>
            <w:vAlign w:val="center"/>
          </w:tcPr>
          <w:p w14:paraId="37968E04"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pPr>
            <w:r w:rsidRPr="005A6504">
              <w:t>20.4%</w:t>
            </w:r>
          </w:p>
        </w:tc>
      </w:tr>
      <w:tr w:rsidR="00A6421D" w14:paraId="40101019" w14:textId="77777777" w:rsidTr="00F85E43">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294" w:type="dxa"/>
            <w:vAlign w:val="center"/>
          </w:tcPr>
          <w:p w14:paraId="280AA29B" w14:textId="77777777" w:rsidR="00A6421D" w:rsidRDefault="00A6421D" w:rsidP="00F85E43">
            <w:pPr>
              <w:pStyle w:val="Tablebodycopy"/>
              <w:ind w:left="142"/>
            </w:pPr>
            <w:r w:rsidRPr="001A5303">
              <w:t>Learning Support</w:t>
            </w:r>
          </w:p>
        </w:tc>
        <w:tc>
          <w:tcPr>
            <w:tcW w:w="1202" w:type="dxa"/>
            <w:vAlign w:val="center"/>
          </w:tcPr>
          <w:p w14:paraId="3B0CE53B"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pPr>
            <w:r w:rsidRPr="005A6504">
              <w:t>76.4%</w:t>
            </w:r>
          </w:p>
        </w:tc>
        <w:tc>
          <w:tcPr>
            <w:tcW w:w="1203" w:type="dxa"/>
            <w:vAlign w:val="center"/>
          </w:tcPr>
          <w:p w14:paraId="78C2E8DD"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pPr>
            <w:r w:rsidRPr="005A6504">
              <w:t>41.9</w:t>
            </w:r>
          </w:p>
        </w:tc>
        <w:tc>
          <w:tcPr>
            <w:tcW w:w="1202" w:type="dxa"/>
            <w:vAlign w:val="center"/>
          </w:tcPr>
          <w:p w14:paraId="686C5DB8"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pPr>
            <w:r w:rsidRPr="005A6504">
              <w:t>6.0%</w:t>
            </w:r>
          </w:p>
        </w:tc>
        <w:tc>
          <w:tcPr>
            <w:tcW w:w="1203" w:type="dxa"/>
            <w:vAlign w:val="center"/>
          </w:tcPr>
          <w:p w14:paraId="20544A5E"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pPr>
            <w:r w:rsidRPr="005A6504">
              <w:t>30.2%</w:t>
            </w:r>
          </w:p>
        </w:tc>
        <w:tc>
          <w:tcPr>
            <w:tcW w:w="1203" w:type="dxa"/>
            <w:vAlign w:val="center"/>
          </w:tcPr>
          <w:p w14:paraId="5CB5A88D"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pPr>
            <w:r w:rsidRPr="005A6504">
              <w:t>21.7%</w:t>
            </w:r>
          </w:p>
        </w:tc>
      </w:tr>
      <w:tr w:rsidR="00A6421D" w14:paraId="4810F49F" w14:textId="77777777" w:rsidTr="00207618">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294" w:type="dxa"/>
            <w:tcBorders>
              <w:bottom w:val="nil"/>
            </w:tcBorders>
            <w:vAlign w:val="center"/>
          </w:tcPr>
          <w:p w14:paraId="434677FB" w14:textId="77777777" w:rsidR="00A6421D" w:rsidRDefault="00A6421D" w:rsidP="00F85E43">
            <w:pPr>
              <w:pStyle w:val="Tablebodycopy"/>
              <w:ind w:left="142"/>
            </w:pPr>
            <w:r w:rsidRPr="001A5303">
              <w:t>Administration and Operations</w:t>
            </w:r>
          </w:p>
        </w:tc>
        <w:tc>
          <w:tcPr>
            <w:tcW w:w="1202" w:type="dxa"/>
            <w:tcBorders>
              <w:bottom w:val="nil"/>
            </w:tcBorders>
            <w:vAlign w:val="center"/>
          </w:tcPr>
          <w:p w14:paraId="0175BD6A"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pPr>
            <w:r w:rsidRPr="005A6504">
              <w:t>64.6%</w:t>
            </w:r>
          </w:p>
        </w:tc>
        <w:tc>
          <w:tcPr>
            <w:tcW w:w="1203" w:type="dxa"/>
            <w:tcBorders>
              <w:bottom w:val="nil"/>
            </w:tcBorders>
            <w:vAlign w:val="center"/>
          </w:tcPr>
          <w:p w14:paraId="1CF04E32"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pPr>
            <w:r w:rsidRPr="005A6504">
              <w:t>35.7</w:t>
            </w:r>
          </w:p>
        </w:tc>
        <w:tc>
          <w:tcPr>
            <w:tcW w:w="1202" w:type="dxa"/>
            <w:tcBorders>
              <w:bottom w:val="nil"/>
            </w:tcBorders>
            <w:vAlign w:val="center"/>
          </w:tcPr>
          <w:p w14:paraId="49F4A0F7"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pPr>
            <w:r w:rsidRPr="005A6504">
              <w:t>2.0%</w:t>
            </w:r>
          </w:p>
        </w:tc>
        <w:tc>
          <w:tcPr>
            <w:tcW w:w="1203" w:type="dxa"/>
            <w:tcBorders>
              <w:bottom w:val="nil"/>
            </w:tcBorders>
            <w:vAlign w:val="center"/>
          </w:tcPr>
          <w:p w14:paraId="48D0100A"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pPr>
            <w:r w:rsidRPr="005A6504">
              <w:t>35.7%</w:t>
            </w:r>
          </w:p>
        </w:tc>
        <w:tc>
          <w:tcPr>
            <w:tcW w:w="1203" w:type="dxa"/>
            <w:tcBorders>
              <w:bottom w:val="nil"/>
            </w:tcBorders>
            <w:vAlign w:val="center"/>
          </w:tcPr>
          <w:p w14:paraId="71042BCB" w14:textId="77777777" w:rsidR="00A6421D" w:rsidRPr="005A6504" w:rsidRDefault="00A6421D" w:rsidP="00684F65">
            <w:pPr>
              <w:pStyle w:val="Tablebodycopy"/>
              <w:jc w:val="center"/>
              <w:cnfStyle w:val="000000100000" w:firstRow="0" w:lastRow="0" w:firstColumn="0" w:lastColumn="0" w:oddVBand="0" w:evenVBand="0" w:oddHBand="1" w:evenHBand="0" w:firstRowFirstColumn="0" w:firstRowLastColumn="0" w:lastRowFirstColumn="0" w:lastRowLastColumn="0"/>
            </w:pPr>
            <w:r w:rsidRPr="005A6504">
              <w:t>24.5%</w:t>
            </w:r>
          </w:p>
        </w:tc>
      </w:tr>
      <w:tr w:rsidR="00A6421D" w14:paraId="050C856A" w14:textId="77777777" w:rsidTr="00207618">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294" w:type="dxa"/>
            <w:tcBorders>
              <w:bottom w:val="single" w:sz="8" w:space="0" w:color="2F005F"/>
            </w:tcBorders>
            <w:vAlign w:val="center"/>
          </w:tcPr>
          <w:p w14:paraId="4D854490" w14:textId="77777777" w:rsidR="00A6421D" w:rsidRPr="005A6504" w:rsidRDefault="00A6421D" w:rsidP="00F85E43">
            <w:pPr>
              <w:pStyle w:val="Tablebodycopy"/>
              <w:ind w:left="142"/>
              <w:rPr>
                <w:b/>
                <w:bCs/>
              </w:rPr>
            </w:pPr>
            <w:r w:rsidRPr="005A6504">
              <w:rPr>
                <w:b/>
                <w:bCs/>
              </w:rPr>
              <w:t>Australian Workforce</w:t>
            </w:r>
          </w:p>
        </w:tc>
        <w:tc>
          <w:tcPr>
            <w:tcW w:w="1202" w:type="dxa"/>
            <w:tcBorders>
              <w:bottom w:val="single" w:sz="8" w:space="0" w:color="2F005F"/>
            </w:tcBorders>
            <w:vAlign w:val="center"/>
          </w:tcPr>
          <w:p w14:paraId="0CA42920"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rPr>
                <w:b/>
                <w:bCs/>
              </w:rPr>
            </w:pPr>
            <w:r>
              <w:rPr>
                <w:b/>
                <w:bCs/>
              </w:rPr>
              <w:t>48.5%</w:t>
            </w:r>
          </w:p>
        </w:tc>
        <w:tc>
          <w:tcPr>
            <w:tcW w:w="1203" w:type="dxa"/>
            <w:tcBorders>
              <w:bottom w:val="single" w:sz="8" w:space="0" w:color="2F005F"/>
            </w:tcBorders>
            <w:vAlign w:val="center"/>
          </w:tcPr>
          <w:p w14:paraId="10CA57D1"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rPr>
                <w:b/>
                <w:bCs/>
              </w:rPr>
            </w:pPr>
            <w:r>
              <w:rPr>
                <w:b/>
                <w:bCs/>
              </w:rPr>
              <w:t>40.1</w:t>
            </w:r>
          </w:p>
        </w:tc>
        <w:tc>
          <w:tcPr>
            <w:tcW w:w="1202" w:type="dxa"/>
            <w:tcBorders>
              <w:bottom w:val="single" w:sz="8" w:space="0" w:color="2F005F"/>
            </w:tcBorders>
            <w:vAlign w:val="center"/>
          </w:tcPr>
          <w:p w14:paraId="3D97A054"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rPr>
                <w:b/>
                <w:bCs/>
              </w:rPr>
            </w:pPr>
            <w:r>
              <w:rPr>
                <w:b/>
                <w:bCs/>
              </w:rPr>
              <w:t>2.2%</w:t>
            </w:r>
          </w:p>
        </w:tc>
        <w:tc>
          <w:tcPr>
            <w:tcW w:w="1203" w:type="dxa"/>
            <w:tcBorders>
              <w:bottom w:val="single" w:sz="8" w:space="0" w:color="2F005F"/>
            </w:tcBorders>
            <w:vAlign w:val="center"/>
          </w:tcPr>
          <w:p w14:paraId="7CEE8137"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rPr>
                <w:b/>
                <w:bCs/>
              </w:rPr>
            </w:pPr>
            <w:r w:rsidRPr="005A6504">
              <w:rPr>
                <w:b/>
                <w:bCs/>
              </w:rPr>
              <w:t>32.4%</w:t>
            </w:r>
          </w:p>
        </w:tc>
        <w:tc>
          <w:tcPr>
            <w:tcW w:w="1203" w:type="dxa"/>
            <w:tcBorders>
              <w:bottom w:val="single" w:sz="8" w:space="0" w:color="2F005F"/>
            </w:tcBorders>
            <w:vAlign w:val="center"/>
          </w:tcPr>
          <w:p w14:paraId="64E01EDA" w14:textId="77777777" w:rsidR="00A6421D" w:rsidRPr="005A6504" w:rsidRDefault="00A6421D" w:rsidP="00684F65">
            <w:pPr>
              <w:pStyle w:val="Tablebodycopy"/>
              <w:jc w:val="center"/>
              <w:cnfStyle w:val="000000010000" w:firstRow="0" w:lastRow="0" w:firstColumn="0" w:lastColumn="0" w:oddVBand="0" w:evenVBand="0" w:oddHBand="0" w:evenHBand="1" w:firstRowFirstColumn="0" w:firstRowLastColumn="0" w:lastRowFirstColumn="0" w:lastRowLastColumn="0"/>
              <w:rPr>
                <w:b/>
                <w:bCs/>
              </w:rPr>
            </w:pPr>
            <w:r w:rsidRPr="005A6504">
              <w:rPr>
                <w:b/>
                <w:bCs/>
              </w:rPr>
              <w:t>23.4%</w:t>
            </w:r>
          </w:p>
        </w:tc>
      </w:tr>
    </w:tbl>
    <w:p w14:paraId="4C66DC6B" w14:textId="22C5C141" w:rsidR="00A6421D" w:rsidRDefault="00A6421D" w:rsidP="008B2387">
      <w:pPr>
        <w:pStyle w:val="Source"/>
      </w:pPr>
      <w:r>
        <w:t xml:space="preserve">Source: </w:t>
      </w:r>
      <w:r w:rsidRPr="00F839B0">
        <w:t>ABS (2021</w:t>
      </w:r>
      <w:r>
        <w:t>)</w:t>
      </w:r>
      <w:r w:rsidR="00191FF2">
        <w:t xml:space="preserve"> Occupation (OCCP) and Industry of Employment (INDP) and Labour Force Status (LFSP) by Sex (SEXP), Age (AGEP), </w:t>
      </w:r>
      <w:r w:rsidR="007A53F1">
        <w:t xml:space="preserve">Indigenous Status (INGP), </w:t>
      </w:r>
      <w:r w:rsidR="00290F10">
        <w:t>County of Birth (BPLP) and Language Used at Home (LANP),</w:t>
      </w:r>
      <w:r w:rsidRPr="00F839B0">
        <w:t xml:space="preserve"> [</w:t>
      </w:r>
      <w:r>
        <w:t xml:space="preserve">Census </w:t>
      </w:r>
      <w:r w:rsidRPr="00F839B0">
        <w:t xml:space="preserve">TableBuilder], accessed </w:t>
      </w:r>
      <w:r>
        <w:t>25 March 2024.</w:t>
      </w:r>
    </w:p>
    <w:p w14:paraId="5063A226" w14:textId="77777777" w:rsidR="00A6421D" w:rsidRDefault="00A6421D" w:rsidP="00A6421D">
      <w:pPr>
        <w:rPr>
          <w:rFonts w:eastAsiaTheme="majorEastAsia" w:cstheme="majorBidi"/>
          <w:b/>
          <w:color w:val="441170" w:themeColor="text2"/>
          <w:sz w:val="26"/>
          <w:szCs w:val="24"/>
        </w:rPr>
      </w:pPr>
      <w:r>
        <w:br w:type="page"/>
      </w:r>
    </w:p>
    <w:p w14:paraId="195071EF" w14:textId="77777777" w:rsidR="00A6421D" w:rsidRDefault="00A6421D" w:rsidP="00A6421D">
      <w:pPr>
        <w:pStyle w:val="Heading3"/>
        <w:rPr>
          <w:szCs w:val="26"/>
        </w:rPr>
      </w:pPr>
      <w:r>
        <w:lastRenderedPageBreak/>
        <w:t>Gender</w:t>
      </w:r>
    </w:p>
    <w:p w14:paraId="3E2FA767" w14:textId="77777777" w:rsidR="00A6421D" w:rsidRPr="005333DA" w:rsidRDefault="00A6421D" w:rsidP="0081002C">
      <w:pPr>
        <w:pStyle w:val="Bodycopy"/>
      </w:pPr>
      <w:r>
        <w:t xml:space="preserve">Based on 2011, 2016 and 2021 Census data, the VET workforce is made up of more females and this has not varied greatly over the last 13 years. Overall, 58.0% of the VET workforce are female. </w:t>
      </w:r>
    </w:p>
    <w:p w14:paraId="4536027E" w14:textId="2CB4FEEC" w:rsidR="00A6421D" w:rsidRDefault="00A6421D" w:rsidP="0081002C">
      <w:pPr>
        <w:pStyle w:val="Bodycopy"/>
      </w:pPr>
      <w:r>
        <w:t>In contrast, PLIDA data o</w:t>
      </w:r>
      <w:r w:rsidRPr="005333DA">
        <w:t xml:space="preserve">ver the decade between 2010/11-2020/21 </w:t>
      </w:r>
      <w:r>
        <w:t>indicates</w:t>
      </w:r>
      <w:r w:rsidRPr="005333DA">
        <w:t xml:space="preserve"> a slightly lower proportion of </w:t>
      </w:r>
      <w:r>
        <w:t>females</w:t>
      </w:r>
      <w:r w:rsidRPr="005333DA">
        <w:t xml:space="preserve"> in the workforce but has steadily grown from 49.6% in 2010/11 to 53.0% in 2015/16 to 54.1% in 2020/21</w:t>
      </w:r>
      <w:r w:rsidR="00BA010D">
        <w:t xml:space="preserve">, </w:t>
      </w:r>
      <w:bookmarkStart w:id="96" w:name="_Hlk166742046"/>
      <w:r w:rsidR="00BA010D">
        <w:t xml:space="preserve">see </w:t>
      </w:r>
      <w:hyperlink w:anchor="Figure_2_4" w:history="1">
        <w:r w:rsidR="00BA010D" w:rsidRPr="005D6A89">
          <w:rPr>
            <w:rStyle w:val="Hyperlink"/>
          </w:rPr>
          <w:t>Figure 2.4</w:t>
        </w:r>
      </w:hyperlink>
      <w:r w:rsidRPr="005333DA">
        <w:t>.</w:t>
      </w:r>
      <w:bookmarkEnd w:id="96"/>
      <w:r w:rsidR="0081002C">
        <w:br/>
      </w:r>
    </w:p>
    <w:p w14:paraId="440A8114" w14:textId="20921B57" w:rsidR="00A6421D" w:rsidRDefault="00A6421D" w:rsidP="00BC5248">
      <w:pPr>
        <w:pStyle w:val="ChartandTablelabel"/>
      </w:pPr>
      <w:bookmarkStart w:id="97" w:name="Figure_2_4"/>
      <w:r>
        <w:t xml:space="preserve">Figure </w:t>
      </w:r>
      <w:r w:rsidR="006558DC">
        <w:fldChar w:fldCharType="begin"/>
      </w:r>
      <w:r w:rsidR="006558DC">
        <w:instrText xml:space="preserve"> STYLEREF 1 \s </w:instrText>
      </w:r>
      <w:r w:rsidR="006558DC">
        <w:fldChar w:fldCharType="separate"/>
      </w:r>
      <w:r w:rsidR="00E7704E">
        <w:rPr>
          <w:noProof/>
        </w:rPr>
        <w:t>2</w:t>
      </w:r>
      <w:r w:rsidR="006558DC">
        <w:fldChar w:fldCharType="end"/>
      </w:r>
      <w:r w:rsidR="00EA1F63">
        <w:t>.</w:t>
      </w:r>
      <w:r w:rsidR="006558DC">
        <w:fldChar w:fldCharType="begin"/>
      </w:r>
      <w:r w:rsidR="006558DC">
        <w:instrText xml:space="preserve"> SEQ Figure \* ARABIC \s 1 </w:instrText>
      </w:r>
      <w:r w:rsidR="006558DC">
        <w:fldChar w:fldCharType="separate"/>
      </w:r>
      <w:r w:rsidR="00E7704E">
        <w:rPr>
          <w:noProof/>
        </w:rPr>
        <w:t>4</w:t>
      </w:r>
      <w:r w:rsidR="006558DC">
        <w:fldChar w:fldCharType="end"/>
      </w:r>
      <w:r>
        <w:t xml:space="preserve"> Count of VET workforce by gender, 2010/2011 - 2020/21 with percentage female</w:t>
      </w:r>
    </w:p>
    <w:bookmarkEnd w:id="97"/>
    <w:p w14:paraId="75C08654" w14:textId="4C30931F" w:rsidR="00BC598B" w:rsidRPr="00BC598B" w:rsidRDefault="00E92D37" w:rsidP="00BC598B">
      <w:pPr>
        <w:rPr>
          <w:lang w:val="en-US"/>
        </w:rPr>
      </w:pPr>
      <w:r>
        <w:rPr>
          <w:noProof/>
          <w:lang w:val="en-US"/>
        </w:rPr>
        <w:drawing>
          <wp:inline distT="0" distB="0" distL="0" distR="0" wp14:anchorId="0CCA822E" wp14:editId="35863C6C">
            <wp:extent cx="5648734" cy="3816000"/>
            <wp:effectExtent l="19050" t="19050" r="9525" b="13335"/>
            <wp:docPr id="173695343" name="Picture 7" descr="The proportion of women in the VET Workforce grew from 49.6% in financial year 2010/11 to 54.1% in financial year 2020/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95343" name="Picture 7" descr="The proportion of women in the VET Workforce grew from 49.6% in financial year 2010/11 to 54.1% in financial year 2020/21&#10;"/>
                    <pic:cNvPicPr/>
                  </pic:nvPicPr>
                  <pic:blipFill rotWithShape="1">
                    <a:blip r:embed="rId23" cstate="print">
                      <a:extLst>
                        <a:ext uri="{28A0092B-C50C-407E-A947-70E740481C1C}">
                          <a14:useLocalDpi xmlns:a14="http://schemas.microsoft.com/office/drawing/2010/main" val="0"/>
                        </a:ext>
                      </a:extLst>
                    </a:blip>
                    <a:srcRect t="-1637" b="-1637"/>
                    <a:stretch/>
                  </pic:blipFill>
                  <pic:spPr bwMode="auto">
                    <a:xfrm>
                      <a:off x="0" y="0"/>
                      <a:ext cx="5652000" cy="3818206"/>
                    </a:xfrm>
                    <a:prstGeom prst="rect">
                      <a:avLst/>
                    </a:prstGeom>
                    <a:solidFill>
                      <a:schemeClr val="bg1"/>
                    </a:solidFill>
                    <a:ln w="635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69EA8EE" w14:textId="1B6028E9" w:rsidR="009B5996" w:rsidRDefault="00A6421D" w:rsidP="00E4153F">
      <w:pPr>
        <w:pStyle w:val="Source"/>
      </w:pPr>
      <w:r>
        <w:t>Source: ABS (2023) Microdata: Personal Income Tax Return [Datalab] accessed 1 December 2023</w:t>
      </w:r>
    </w:p>
    <w:p w14:paraId="1B471EB1" w14:textId="73B1E427" w:rsidR="00A6421D" w:rsidRPr="0081002C" w:rsidRDefault="00E4153F" w:rsidP="00E4153F">
      <w:pPr>
        <w:pStyle w:val="Bodycopy"/>
        <w:spacing w:before="120"/>
      </w:pPr>
      <w:r>
        <w:br/>
      </w:r>
      <w:r w:rsidR="00A6421D" w:rsidRPr="0081002C">
        <w:t xml:space="preserve">When focusing on the </w:t>
      </w:r>
      <w:r w:rsidR="00CB29F6">
        <w:t>Teach, Train, and Assess</w:t>
      </w:r>
      <w:r w:rsidR="00A6421D" w:rsidRPr="0081002C">
        <w:t xml:space="preserve"> segment of the workforce, the distribution of the workforce is more even at 51.1% females. PLIDA data confirms this, showing an even sex distribution amongst </w:t>
      </w:r>
      <w:r w:rsidR="00CC6D50">
        <w:t>VET teachers</w:t>
      </w:r>
      <w:r w:rsidR="00A6421D" w:rsidRPr="0081002C">
        <w:t xml:space="preserve">. </w:t>
      </w:r>
    </w:p>
    <w:p w14:paraId="12713655" w14:textId="415CF693" w:rsidR="00A6421D" w:rsidRPr="0081002C" w:rsidRDefault="00A6421D" w:rsidP="0081002C">
      <w:pPr>
        <w:pStyle w:val="Bodycopy"/>
      </w:pPr>
      <w:r w:rsidRPr="0081002C">
        <w:t>Females make up an even higher majority of workers in the other segments: Learning Support (76.4%); Quality Assurance and Compliance (70.4%); Administration and Operations (64.6%)</w:t>
      </w:r>
      <w:r w:rsidRPr="0081002C" w:rsidDel="005834D9">
        <w:t xml:space="preserve">, </w:t>
      </w:r>
      <w:r w:rsidRPr="0081002C">
        <w:t>and Curriculum and Learning Design (61.7%). However, the sex distribution of the Leadership segment reflects the overall VET workforce sex split at 56.6%</w:t>
      </w:r>
      <w:r w:rsidR="002D5440" w:rsidRPr="0081002C">
        <w:t xml:space="preserve">, see </w:t>
      </w:r>
      <w:hyperlink w:anchor="Table_2_2" w:history="1">
        <w:r w:rsidR="002D5440" w:rsidRPr="009014D1">
          <w:rPr>
            <w:rStyle w:val="Hyperlink"/>
          </w:rPr>
          <w:t>Table 2.2</w:t>
        </w:r>
      </w:hyperlink>
      <w:r w:rsidRPr="0081002C">
        <w:t>. This is positive and contrasts with other education sectors, where despite a more feminised workforce, management and leadership are more dominated by males. For example, the 2020 Australian teacher workforce Census reported that females made up 76.0% of the registered teacher workforce but 69.0% of senior leader positions.</w:t>
      </w:r>
      <w:r w:rsidRPr="0081002C">
        <w:rPr>
          <w:rStyle w:val="EndnoteReference"/>
        </w:rPr>
        <w:endnoteReference w:id="19"/>
      </w:r>
      <w:r w:rsidRPr="0081002C">
        <w:t xml:space="preserve">   </w:t>
      </w:r>
    </w:p>
    <w:p w14:paraId="165FEC36" w14:textId="77777777" w:rsidR="00A6421D" w:rsidRDefault="00A6421D" w:rsidP="00A6421D">
      <w:pPr>
        <w:pStyle w:val="Heading3"/>
        <w:rPr>
          <w:bCs/>
          <w:szCs w:val="26"/>
        </w:rPr>
      </w:pPr>
      <w:bookmarkStart w:id="98" w:name="_Toc1239232988"/>
      <w:bookmarkStart w:id="99" w:name="_Toc110457862"/>
      <w:r>
        <w:lastRenderedPageBreak/>
        <w:t>Age</w:t>
      </w:r>
      <w:bookmarkEnd w:id="98"/>
      <w:bookmarkEnd w:id="99"/>
    </w:p>
    <w:p w14:paraId="5CEE583C" w14:textId="6E4A2268" w:rsidR="00437953" w:rsidRDefault="00A6421D" w:rsidP="00D263AF">
      <w:pPr>
        <w:pStyle w:val="Bodycopy"/>
      </w:pPr>
      <w:r>
        <w:t>VET workforce studies have long observed that the sector has an older than average workforce (see</w:t>
      </w:r>
      <w:r w:rsidRPr="26430CCA">
        <w:rPr>
          <w:vertAlign w:val="superscript"/>
        </w:rPr>
        <w:endnoteReference w:id="20"/>
      </w:r>
      <w:r w:rsidRPr="001F417F">
        <w:rPr>
          <w:vertAlign w:val="superscript"/>
        </w:rPr>
        <w:t>-</w:t>
      </w:r>
      <w:r>
        <w:rPr>
          <w:rStyle w:val="EndnoteReference"/>
        </w:rPr>
        <w:endnoteReference w:id="21"/>
      </w:r>
      <w:r>
        <w:t xml:space="preserve">). 2021 Census data indicates that the average age of the VET workforce was </w:t>
      </w:r>
      <w:r w:rsidRPr="00BE385A">
        <w:t>47.3</w:t>
      </w:r>
      <w:r>
        <w:t xml:space="preserve">, with </w:t>
      </w:r>
      <w:r w:rsidRPr="009C1E36">
        <w:t>46.5%</w:t>
      </w:r>
      <w:r>
        <w:t xml:space="preserve"> 50 years and over (see </w:t>
      </w:r>
      <w:hyperlink w:anchor="Figure_2_5" w:history="1">
        <w:r w:rsidRPr="005D6A89">
          <w:rPr>
            <w:rStyle w:val="Hyperlink"/>
          </w:rPr>
          <w:t>Figure 2.5</w:t>
        </w:r>
      </w:hyperlink>
      <w:r>
        <w:t xml:space="preserve">). This is higher than the Australian </w:t>
      </w:r>
      <w:r w:rsidR="00621AB1">
        <w:t>w</w:t>
      </w:r>
      <w:r>
        <w:t xml:space="preserve">orkforce where the average age is 40.1, and 20.2% are 50 years and older. In the three </w:t>
      </w:r>
      <w:r w:rsidRPr="00E156E8">
        <w:t>Census years from 2011 to 2021, the average of the VET workforce has increased by 1.3 years from 46.0 to 47.3 years.</w:t>
      </w:r>
      <w:r w:rsidRPr="00E156E8" w:rsidDel="003025BB">
        <w:t xml:space="preserve"> </w:t>
      </w:r>
      <w:r w:rsidRPr="00E156E8">
        <w:t>This compares with the Australian workforce average overall which got younger (40.3 to 40.1 years).</w:t>
      </w:r>
      <w:r>
        <w:t xml:space="preserve"> </w:t>
      </w:r>
    </w:p>
    <w:p w14:paraId="01F58B3C" w14:textId="3FC2BB49" w:rsidR="00A6421D" w:rsidRDefault="0E555893" w:rsidP="00A6421D">
      <w:pPr>
        <w:pStyle w:val="Caption"/>
        <w:keepNext/>
      </w:pPr>
      <w:bookmarkStart w:id="100" w:name="Figure_2_5"/>
      <w:r>
        <w:t xml:space="preserve">Figure </w:t>
      </w:r>
      <w:r w:rsidR="006558DC">
        <w:fldChar w:fldCharType="begin"/>
      </w:r>
      <w:r w:rsidR="006558DC">
        <w:instrText xml:space="preserve"> STYLEREF 1 \s </w:instrText>
      </w:r>
      <w:r w:rsidR="006558DC">
        <w:fldChar w:fldCharType="separate"/>
      </w:r>
      <w:r w:rsidR="00E7704E">
        <w:rPr>
          <w:noProof/>
        </w:rPr>
        <w:t>2</w:t>
      </w:r>
      <w:r w:rsidR="006558DC">
        <w:fldChar w:fldCharType="end"/>
      </w:r>
      <w:r w:rsidR="00EA1F63">
        <w:t>.</w:t>
      </w:r>
      <w:r w:rsidR="006558DC">
        <w:fldChar w:fldCharType="begin"/>
      </w:r>
      <w:r w:rsidR="006558DC">
        <w:instrText xml:space="preserve"> SEQ Figure \* ARABIC \s 1 </w:instrText>
      </w:r>
      <w:r w:rsidR="006558DC">
        <w:fldChar w:fldCharType="separate"/>
      </w:r>
      <w:r w:rsidR="00E7704E">
        <w:rPr>
          <w:noProof/>
        </w:rPr>
        <w:t>5</w:t>
      </w:r>
      <w:r w:rsidR="006558DC">
        <w:fldChar w:fldCharType="end"/>
      </w:r>
      <w:r>
        <w:t xml:space="preserve"> Proportions of ages in the VET and Australian Workforces (2021)</w:t>
      </w:r>
    </w:p>
    <w:bookmarkEnd w:id="100"/>
    <w:p w14:paraId="1AD5A815" w14:textId="019B6280" w:rsidR="008A342E" w:rsidRPr="008A342E" w:rsidRDefault="008A342E" w:rsidP="008A342E">
      <w:pPr>
        <w:rPr>
          <w:lang w:val="en-US"/>
        </w:rPr>
      </w:pPr>
    </w:p>
    <w:tbl>
      <w:tblPr>
        <w:tblW w:w="7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6"/>
        <w:gridCol w:w="913"/>
        <w:gridCol w:w="990"/>
        <w:gridCol w:w="990"/>
        <w:gridCol w:w="1204"/>
        <w:gridCol w:w="990"/>
        <w:gridCol w:w="990"/>
      </w:tblGrid>
      <w:tr w:rsidR="008A342E" w:rsidRPr="008A342E" w14:paraId="2F53AD5A" w14:textId="77777777" w:rsidTr="008A342E">
        <w:trPr>
          <w:trHeight w:val="570"/>
        </w:trPr>
        <w:tc>
          <w:tcPr>
            <w:tcW w:w="1906" w:type="dxa"/>
            <w:shd w:val="clear" w:color="auto" w:fill="auto"/>
            <w:noWrap/>
            <w:vAlign w:val="bottom"/>
            <w:hideMark/>
          </w:tcPr>
          <w:p w14:paraId="39A75659" w14:textId="263AB919" w:rsidR="008A342E" w:rsidRPr="008A342E" w:rsidRDefault="008A342E" w:rsidP="008A342E">
            <w:pPr>
              <w:spacing w:after="0" w:line="240" w:lineRule="auto"/>
              <w:jc w:val="center"/>
              <w:rPr>
                <w:rFonts w:ascii="Times New Roman" w:eastAsia="Times New Roman" w:hAnsi="Times New Roman" w:cs="Times New Roman"/>
                <w:color w:val="auto"/>
                <w:sz w:val="24"/>
                <w:szCs w:val="24"/>
                <w:lang w:eastAsia="en-AU"/>
              </w:rPr>
            </w:pPr>
          </w:p>
        </w:tc>
        <w:tc>
          <w:tcPr>
            <w:tcW w:w="913" w:type="dxa"/>
            <w:shd w:val="clear" w:color="auto" w:fill="auto"/>
            <w:noWrap/>
            <w:vAlign w:val="bottom"/>
            <w:hideMark/>
          </w:tcPr>
          <w:p w14:paraId="63A86002" w14:textId="3D50F677"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&lt;30</w:t>
            </w:r>
          </w:p>
        </w:tc>
        <w:tc>
          <w:tcPr>
            <w:tcW w:w="990" w:type="dxa"/>
            <w:shd w:val="clear" w:color="auto" w:fill="auto"/>
            <w:noWrap/>
            <w:vAlign w:val="bottom"/>
            <w:hideMark/>
          </w:tcPr>
          <w:p w14:paraId="4D781819" w14:textId="77777777"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30-39</w:t>
            </w:r>
          </w:p>
        </w:tc>
        <w:tc>
          <w:tcPr>
            <w:tcW w:w="990" w:type="dxa"/>
            <w:shd w:val="clear" w:color="auto" w:fill="auto"/>
            <w:noWrap/>
            <w:vAlign w:val="bottom"/>
            <w:hideMark/>
          </w:tcPr>
          <w:p w14:paraId="13415C17" w14:textId="77777777"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40-49</w:t>
            </w:r>
          </w:p>
        </w:tc>
        <w:tc>
          <w:tcPr>
            <w:tcW w:w="1204" w:type="dxa"/>
            <w:shd w:val="clear" w:color="auto" w:fill="auto"/>
            <w:noWrap/>
            <w:vAlign w:val="bottom"/>
            <w:hideMark/>
          </w:tcPr>
          <w:p w14:paraId="4D768C23" w14:textId="77777777"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50-59</w:t>
            </w:r>
          </w:p>
        </w:tc>
        <w:tc>
          <w:tcPr>
            <w:tcW w:w="990" w:type="dxa"/>
            <w:shd w:val="clear" w:color="auto" w:fill="auto"/>
            <w:noWrap/>
            <w:vAlign w:val="bottom"/>
            <w:hideMark/>
          </w:tcPr>
          <w:p w14:paraId="57EAF3E1" w14:textId="77777777"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60-69</w:t>
            </w:r>
          </w:p>
        </w:tc>
        <w:tc>
          <w:tcPr>
            <w:tcW w:w="990" w:type="dxa"/>
            <w:shd w:val="clear" w:color="auto" w:fill="auto"/>
            <w:noWrap/>
            <w:vAlign w:val="bottom"/>
            <w:hideMark/>
          </w:tcPr>
          <w:p w14:paraId="6B9ADE6B" w14:textId="77777777"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70+</w:t>
            </w:r>
          </w:p>
        </w:tc>
      </w:tr>
      <w:tr w:rsidR="008A342E" w:rsidRPr="008A342E" w14:paraId="47AC01C4" w14:textId="77777777" w:rsidTr="008A342E">
        <w:trPr>
          <w:trHeight w:val="550"/>
        </w:trPr>
        <w:tc>
          <w:tcPr>
            <w:tcW w:w="1906" w:type="dxa"/>
            <w:shd w:val="clear" w:color="auto" w:fill="auto"/>
            <w:noWrap/>
            <w:vAlign w:val="bottom"/>
            <w:hideMark/>
          </w:tcPr>
          <w:p w14:paraId="382E208D" w14:textId="5A790A5D"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VET Workforce</w:t>
            </w:r>
          </w:p>
        </w:tc>
        <w:tc>
          <w:tcPr>
            <w:tcW w:w="913" w:type="dxa"/>
            <w:shd w:val="clear" w:color="auto" w:fill="auto"/>
            <w:noWrap/>
            <w:vAlign w:val="bottom"/>
            <w:hideMark/>
          </w:tcPr>
          <w:p w14:paraId="5CA3864E" w14:textId="09F85399"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9.7%</w:t>
            </w:r>
          </w:p>
        </w:tc>
        <w:tc>
          <w:tcPr>
            <w:tcW w:w="990" w:type="dxa"/>
            <w:shd w:val="clear" w:color="auto" w:fill="auto"/>
            <w:noWrap/>
            <w:vAlign w:val="bottom"/>
            <w:hideMark/>
          </w:tcPr>
          <w:p w14:paraId="08644A50" w14:textId="51F5DA65"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19.4%</w:t>
            </w:r>
          </w:p>
        </w:tc>
        <w:tc>
          <w:tcPr>
            <w:tcW w:w="990" w:type="dxa"/>
            <w:shd w:val="clear" w:color="auto" w:fill="auto"/>
            <w:noWrap/>
            <w:vAlign w:val="bottom"/>
            <w:hideMark/>
          </w:tcPr>
          <w:p w14:paraId="0A8388BA" w14:textId="77777777"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24.4%</w:t>
            </w:r>
          </w:p>
        </w:tc>
        <w:tc>
          <w:tcPr>
            <w:tcW w:w="1204" w:type="dxa"/>
            <w:shd w:val="clear" w:color="auto" w:fill="auto"/>
            <w:noWrap/>
            <w:vAlign w:val="bottom"/>
            <w:hideMark/>
          </w:tcPr>
          <w:p w14:paraId="7320FABE" w14:textId="77777777"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27.3%</w:t>
            </w:r>
          </w:p>
        </w:tc>
        <w:tc>
          <w:tcPr>
            <w:tcW w:w="990" w:type="dxa"/>
            <w:shd w:val="clear" w:color="auto" w:fill="auto"/>
            <w:noWrap/>
            <w:vAlign w:val="bottom"/>
            <w:hideMark/>
          </w:tcPr>
          <w:p w14:paraId="53404D8C" w14:textId="77777777"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16.9%</w:t>
            </w:r>
          </w:p>
        </w:tc>
        <w:tc>
          <w:tcPr>
            <w:tcW w:w="990" w:type="dxa"/>
            <w:shd w:val="clear" w:color="auto" w:fill="auto"/>
            <w:noWrap/>
            <w:vAlign w:val="bottom"/>
            <w:hideMark/>
          </w:tcPr>
          <w:p w14:paraId="64EBDDE2" w14:textId="77777777"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2.3%</w:t>
            </w:r>
          </w:p>
        </w:tc>
      </w:tr>
      <w:tr w:rsidR="008A342E" w:rsidRPr="008A342E" w14:paraId="30C993C5" w14:textId="77777777" w:rsidTr="008A342E">
        <w:trPr>
          <w:trHeight w:val="700"/>
        </w:trPr>
        <w:tc>
          <w:tcPr>
            <w:tcW w:w="1906" w:type="dxa"/>
            <w:shd w:val="clear" w:color="auto" w:fill="auto"/>
            <w:noWrap/>
            <w:vAlign w:val="bottom"/>
            <w:hideMark/>
          </w:tcPr>
          <w:p w14:paraId="2CCC8DCD" w14:textId="569AE587" w:rsidR="008A342E" w:rsidRPr="008A342E" w:rsidRDefault="00760F20" w:rsidP="008A342E">
            <w:pPr>
              <w:spacing w:after="0" w:line="240" w:lineRule="auto"/>
              <w:jc w:val="center"/>
              <w:rPr>
                <w:rFonts w:eastAsia="Times New Roman" w:cs="Arial"/>
                <w:color w:val="000000"/>
                <w:lang w:eastAsia="en-AU"/>
              </w:rPr>
            </w:pPr>
            <w:r>
              <w:rPr>
                <w:noProof/>
              </w:rPr>
              <w:drawing>
                <wp:anchor distT="0" distB="0" distL="114300" distR="114300" simplePos="0" relativeHeight="251658243" behindDoc="0" locked="0" layoutInCell="1" allowOverlap="0" wp14:anchorId="4D9E0AE6" wp14:editId="24B2FDDB">
                  <wp:simplePos x="0" y="0"/>
                  <wp:positionH relativeFrom="margin">
                    <wp:posOffset>-71120</wp:posOffset>
                  </wp:positionH>
                  <wp:positionV relativeFrom="paragraph">
                    <wp:posOffset>-985520</wp:posOffset>
                  </wp:positionV>
                  <wp:extent cx="5652000" cy="2739600"/>
                  <wp:effectExtent l="19050" t="19050" r="25400" b="22860"/>
                  <wp:wrapNone/>
                  <wp:docPr id="844535822"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535822" name="Picture 8">
                            <a:extLst>
                              <a:ext uri="{C183D7F6-B498-43B3-948B-1728B52AA6E4}">
                                <adec:decorative xmlns:adec="http://schemas.microsoft.com/office/drawing/2017/decorative" val="1"/>
                              </a:ext>
                            </a:extLst>
                          </pic:cNvPr>
                          <pic:cNvPicPr/>
                        </pic:nvPicPr>
                        <pic:blipFill rotWithShape="1">
                          <a:blip r:embed="rId24" cstate="print">
                            <a:extLst>
                              <a:ext uri="{28A0092B-C50C-407E-A947-70E740481C1C}">
                                <a14:useLocalDpi xmlns:a14="http://schemas.microsoft.com/office/drawing/2010/main" val="0"/>
                              </a:ext>
                            </a:extLst>
                          </a:blip>
                          <a:srcRect l="-4459" r="4459"/>
                          <a:stretch/>
                        </pic:blipFill>
                        <pic:spPr>
                          <a:xfrm>
                            <a:off x="0" y="0"/>
                            <a:ext cx="5652000" cy="2739600"/>
                          </a:xfrm>
                          <a:prstGeom prst="rect">
                            <a:avLst/>
                          </a:prstGeom>
                          <a:solidFill>
                            <a:schemeClr val="bg1"/>
                          </a:solidFill>
                          <a:ln w="6350">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8A342E" w:rsidRPr="008A342E">
              <w:rPr>
                <w:rFonts w:eastAsia="Times New Roman" w:cs="Arial"/>
                <w:color w:val="000000"/>
                <w:lang w:eastAsia="en-AU"/>
              </w:rPr>
              <w:t>Australian Workforce</w:t>
            </w:r>
          </w:p>
        </w:tc>
        <w:tc>
          <w:tcPr>
            <w:tcW w:w="913" w:type="dxa"/>
            <w:shd w:val="clear" w:color="auto" w:fill="auto"/>
            <w:noWrap/>
            <w:vAlign w:val="bottom"/>
            <w:hideMark/>
          </w:tcPr>
          <w:p w14:paraId="3E68C3E5" w14:textId="73E8AAB8"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25.3%</w:t>
            </w:r>
          </w:p>
        </w:tc>
        <w:tc>
          <w:tcPr>
            <w:tcW w:w="990" w:type="dxa"/>
            <w:shd w:val="clear" w:color="auto" w:fill="auto"/>
            <w:noWrap/>
            <w:vAlign w:val="bottom"/>
            <w:hideMark/>
          </w:tcPr>
          <w:p w14:paraId="542FFA89" w14:textId="0219A6DD"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23.5%</w:t>
            </w:r>
          </w:p>
        </w:tc>
        <w:tc>
          <w:tcPr>
            <w:tcW w:w="990" w:type="dxa"/>
            <w:shd w:val="clear" w:color="auto" w:fill="auto"/>
            <w:noWrap/>
            <w:vAlign w:val="bottom"/>
            <w:hideMark/>
          </w:tcPr>
          <w:p w14:paraId="4FAB4B83" w14:textId="7FED8882"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21.0%</w:t>
            </w:r>
          </w:p>
        </w:tc>
        <w:tc>
          <w:tcPr>
            <w:tcW w:w="1204" w:type="dxa"/>
            <w:shd w:val="clear" w:color="auto" w:fill="auto"/>
            <w:noWrap/>
            <w:vAlign w:val="bottom"/>
            <w:hideMark/>
          </w:tcPr>
          <w:p w14:paraId="797CB016" w14:textId="063D44B2"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18.7%</w:t>
            </w:r>
          </w:p>
        </w:tc>
        <w:tc>
          <w:tcPr>
            <w:tcW w:w="990" w:type="dxa"/>
            <w:shd w:val="clear" w:color="auto" w:fill="auto"/>
            <w:noWrap/>
            <w:vAlign w:val="bottom"/>
            <w:hideMark/>
          </w:tcPr>
          <w:p w14:paraId="3F7C317B" w14:textId="2C6311E1"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9.6%</w:t>
            </w:r>
          </w:p>
        </w:tc>
        <w:tc>
          <w:tcPr>
            <w:tcW w:w="990" w:type="dxa"/>
            <w:shd w:val="clear" w:color="auto" w:fill="auto"/>
            <w:noWrap/>
            <w:vAlign w:val="bottom"/>
            <w:hideMark/>
          </w:tcPr>
          <w:p w14:paraId="1A830E55" w14:textId="77777777" w:rsidR="008A342E" w:rsidRPr="008A342E" w:rsidRDefault="008A342E" w:rsidP="008A342E">
            <w:pPr>
              <w:spacing w:after="0" w:line="240" w:lineRule="auto"/>
              <w:jc w:val="center"/>
              <w:rPr>
                <w:rFonts w:eastAsia="Times New Roman" w:cs="Arial"/>
                <w:color w:val="000000"/>
                <w:lang w:eastAsia="en-AU"/>
              </w:rPr>
            </w:pPr>
            <w:r w:rsidRPr="008A342E">
              <w:rPr>
                <w:rFonts w:eastAsia="Times New Roman" w:cs="Arial"/>
                <w:color w:val="000000"/>
                <w:lang w:eastAsia="en-AU"/>
              </w:rPr>
              <w:t>1.8%</w:t>
            </w:r>
          </w:p>
        </w:tc>
      </w:tr>
    </w:tbl>
    <w:p w14:paraId="3664DE27" w14:textId="07A19C41" w:rsidR="008A342E" w:rsidRDefault="008A342E" w:rsidP="008A342E">
      <w:pPr>
        <w:rPr>
          <w:lang w:val="en-US"/>
        </w:rPr>
      </w:pPr>
    </w:p>
    <w:p w14:paraId="744132E7" w14:textId="70484C49" w:rsidR="008A342E" w:rsidRDefault="008A342E" w:rsidP="008A342E">
      <w:pPr>
        <w:rPr>
          <w:lang w:val="en-US"/>
        </w:rPr>
      </w:pPr>
    </w:p>
    <w:p w14:paraId="44989740" w14:textId="77777777" w:rsidR="008A342E" w:rsidRDefault="008A342E" w:rsidP="008A342E">
      <w:pPr>
        <w:rPr>
          <w:lang w:val="en-US"/>
        </w:rPr>
      </w:pPr>
    </w:p>
    <w:p w14:paraId="71B19242" w14:textId="77777777" w:rsidR="008A342E" w:rsidRPr="008A342E" w:rsidRDefault="008A342E" w:rsidP="008A342E">
      <w:pPr>
        <w:rPr>
          <w:lang w:val="en-US"/>
        </w:rPr>
      </w:pPr>
    </w:p>
    <w:p w14:paraId="55AED0B9" w14:textId="47460939" w:rsidR="0083704A" w:rsidRDefault="0083704A" w:rsidP="0083704A">
      <w:pPr>
        <w:rPr>
          <w:lang w:val="en-US"/>
        </w:rPr>
      </w:pPr>
    </w:p>
    <w:p w14:paraId="26B66150" w14:textId="219F325C" w:rsidR="00B73222" w:rsidRPr="00B73222" w:rsidRDefault="0E555893" w:rsidP="008B2387">
      <w:pPr>
        <w:pStyle w:val="Source"/>
      </w:pPr>
      <w:r>
        <w:t xml:space="preserve">Source: ABS (2021) </w:t>
      </w:r>
      <w:r w:rsidR="60E625D1">
        <w:t xml:space="preserve">Labour Force Status, Occupation (OCCP) and Industry of Employment (INDP) by Age (AGE5P), </w:t>
      </w:r>
      <w:r>
        <w:t xml:space="preserve">[Census TableBuilder], accessed </w:t>
      </w:r>
      <w:r w:rsidR="1E3F7B3A">
        <w:t>9</w:t>
      </w:r>
      <w:r>
        <w:t xml:space="preserve"> April 2024. Note: Proportions do not sum to 100% due to ABS data perturbation.</w:t>
      </w:r>
    </w:p>
    <w:p w14:paraId="3079C12D" w14:textId="64BC3EC7" w:rsidR="00A6421D" w:rsidRDefault="00B513A0" w:rsidP="00E16D4F">
      <w:pPr>
        <w:pStyle w:val="Bodycopy"/>
      </w:pPr>
      <w:r>
        <w:br/>
      </w:r>
      <w:r w:rsidR="00A6421D">
        <w:t xml:space="preserve">Both PLIDA and Census data show that </w:t>
      </w:r>
      <w:r w:rsidR="00CC6D50">
        <w:t>VET teachers</w:t>
      </w:r>
      <w:r w:rsidR="00A6421D">
        <w:t xml:space="preserve"> are typically older than the wider VET workforce. In PLIDA data the average age of </w:t>
      </w:r>
      <w:r w:rsidR="00CC6D50">
        <w:t>VET teachers</w:t>
      </w:r>
      <w:r w:rsidR="00A6421D">
        <w:t xml:space="preserve"> was 48.9 years in 2020/21 (see </w:t>
      </w:r>
      <w:hyperlink w:anchor="Figure_2_6" w:history="1">
        <w:r w:rsidR="00A6421D" w:rsidRPr="005D6A89">
          <w:rPr>
            <w:rStyle w:val="Hyperlink"/>
          </w:rPr>
          <w:t>Figure 2.6</w:t>
        </w:r>
      </w:hyperlink>
      <w:r w:rsidR="00A6421D">
        <w:t xml:space="preserve">). According to Census data, the </w:t>
      </w:r>
      <w:r w:rsidR="00CB29F6">
        <w:t>Teach, Train, and Assess</w:t>
      </w:r>
      <w:r w:rsidR="00A6421D">
        <w:t xml:space="preserve"> segment of the workforce is the most mature with the </w:t>
      </w:r>
      <w:r w:rsidR="00A6421D" w:rsidRPr="0090631E">
        <w:t>average age of 48.1 years</w:t>
      </w:r>
      <w:r w:rsidR="00A6421D">
        <w:t xml:space="preserve">, followed by Leadership at 46.2 years and </w:t>
      </w:r>
      <w:r w:rsidR="00A6421D" w:rsidRPr="0090631E">
        <w:t>Learning Support at 41.9 years</w:t>
      </w:r>
      <w:r w:rsidR="00A6421D">
        <w:t xml:space="preserve">. Administration and Operations is the youngest segment </w:t>
      </w:r>
      <w:r w:rsidR="00A6421D" w:rsidRPr="0090631E">
        <w:t>with an average age of 35.7 years</w:t>
      </w:r>
      <w:r w:rsidR="00A6421D">
        <w:t xml:space="preserve">. </w:t>
      </w:r>
    </w:p>
    <w:p w14:paraId="49F49A96" w14:textId="17AAE1E0" w:rsidR="00A6421D" w:rsidRDefault="00A6421D" w:rsidP="00E16D4F">
      <w:pPr>
        <w:pStyle w:val="Bodycopy"/>
      </w:pPr>
      <w:r>
        <w:t xml:space="preserve">One possible explanation for the older teaching workforce is that </w:t>
      </w:r>
      <w:r w:rsidR="00CC6D50">
        <w:t>VET teachers</w:t>
      </w:r>
      <w:r>
        <w:t xml:space="preserve"> typically have industry careers and experience before entering VET. Consistent with this, students undertaking TAE at the Certificate IV and Diploma levels are generally older than students undertaking those qualification levels overall. We elaborate on this in Chapter 4. </w:t>
      </w:r>
    </w:p>
    <w:p w14:paraId="3910C367" w14:textId="5AB6174F" w:rsidR="00AD53C4" w:rsidRDefault="00A6421D" w:rsidP="00E16D4F">
      <w:pPr>
        <w:pStyle w:val="Bodycopy"/>
      </w:pPr>
      <w:r>
        <w:t xml:space="preserve">The VET workforce in public providers skews older than that in private providers. In terms of teaching staff, 58.3% of </w:t>
      </w:r>
      <w:r w:rsidR="00CC6D50">
        <w:t>VET teachers</w:t>
      </w:r>
      <w:r>
        <w:t xml:space="preserve"> (ANZSCO Vocational Education Teachers) employed in public providers are over 50 years old, compared to 48.7% in private providers. Census data also indicates an average age of 51.2 years for </w:t>
      </w:r>
      <w:r w:rsidR="00CC6D50">
        <w:t>VET teachers</w:t>
      </w:r>
      <w:r>
        <w:t xml:space="preserve"> in public providers and 48.3 years for private providers. This is in line with previous research that suggests</w:t>
      </w:r>
      <w:r w:rsidRPr="00CC7BA4">
        <w:t xml:space="preserve"> </w:t>
      </w:r>
      <w:r>
        <w:t>teaching staff in non-TAFE RTOs are generally younger.</w:t>
      </w:r>
      <w:r>
        <w:rPr>
          <w:rStyle w:val="EndnoteReference"/>
        </w:rPr>
        <w:endnoteReference w:id="22"/>
      </w:r>
      <w:r>
        <w:t xml:space="preserve"> </w:t>
      </w:r>
    </w:p>
    <w:p w14:paraId="52E02F50" w14:textId="77777777" w:rsidR="00AD53C4" w:rsidRDefault="00AD53C4" w:rsidP="00E16D4F">
      <w:pPr>
        <w:pStyle w:val="Bodycopy"/>
      </w:pPr>
    </w:p>
    <w:p w14:paraId="47DB5205" w14:textId="532523ED" w:rsidR="00A6421D" w:rsidRDefault="00A6421D" w:rsidP="00092C8B">
      <w:pPr>
        <w:pStyle w:val="Bodycopy"/>
        <w:spacing w:after="40"/>
      </w:pPr>
      <w:r>
        <w:lastRenderedPageBreak/>
        <w:t>It also aligns with comments made by RTOs in 2023 focus groups run by NCVER:</w:t>
      </w:r>
    </w:p>
    <w:p w14:paraId="43E66860" w14:textId="27A226D5" w:rsidR="00A6421D" w:rsidRPr="00D263AF" w:rsidRDefault="00A6421D" w:rsidP="00092C8B">
      <w:pPr>
        <w:pStyle w:val="Quote"/>
        <w:spacing w:before="160" w:after="160"/>
      </w:pPr>
      <w:r w:rsidRPr="00D263AF">
        <w:t>Ten years ago, the age of our trade trainers in VET was probably 50 and above</w:t>
      </w:r>
      <w:r w:rsidR="00B513A0">
        <w:t>..</w:t>
      </w:r>
      <w:r w:rsidRPr="00D263AF">
        <w:t>.</w:t>
      </w:r>
      <w:r w:rsidR="00B513A0">
        <w:br/>
      </w:r>
      <w:r w:rsidRPr="00D263AF">
        <w:t>This has changed so much. Now we have younger [trainers] coming in who are in their mid-30s to 40s. They love their trade job but want to do something different and see training as a career path. But they will not stay unless they want to</w:t>
      </w:r>
      <w:r w:rsidR="00863FE5">
        <w:t>.</w:t>
      </w:r>
      <w:r w:rsidRPr="00D263AF">
        <w:t xml:space="preserve"> </w:t>
      </w:r>
      <w:r w:rsidR="00863FE5">
        <w:br/>
      </w:r>
      <w:r w:rsidRPr="00D263AF">
        <w:t>(Private RTO delivering VfSS).</w:t>
      </w:r>
    </w:p>
    <w:p w14:paraId="793F0D8D" w14:textId="77777777" w:rsidR="00A6421D" w:rsidRDefault="00A6421D" w:rsidP="00863FE5">
      <w:pPr>
        <w:pStyle w:val="Bodycopy"/>
      </w:pPr>
      <w:r>
        <w:t>However, in the larger TAFE institutes:</w:t>
      </w:r>
    </w:p>
    <w:p w14:paraId="02F7E2E5" w14:textId="5C743103" w:rsidR="00A6421D" w:rsidRPr="00E16D4F" w:rsidRDefault="00A6421D" w:rsidP="00092C8B">
      <w:pPr>
        <w:pStyle w:val="Quote"/>
        <w:spacing w:before="160" w:after="160"/>
      </w:pPr>
      <w:r w:rsidRPr="00E16D4F">
        <w:t>We still have an ag</w:t>
      </w:r>
      <w:r w:rsidR="00D13F19">
        <w:t>e</w:t>
      </w:r>
      <w:r w:rsidRPr="00E16D4F">
        <w:t>ing workforce, which presents challenges, and a highly casualised teaching workforce which we are working to give more certainty to (TAFE institute).</w:t>
      </w:r>
      <w:r w:rsidRPr="00D263AF">
        <w:rPr>
          <w:rStyle w:val="EndnoteReference"/>
        </w:rPr>
        <w:endnoteReference w:id="23"/>
      </w:r>
    </w:p>
    <w:p w14:paraId="3E93638E" w14:textId="2FA1F420" w:rsidR="00B73222" w:rsidRPr="00B73222" w:rsidRDefault="00A6421D" w:rsidP="00E16D4F">
      <w:pPr>
        <w:pStyle w:val="Bodycopy"/>
      </w:pPr>
      <w:r w:rsidRPr="00B73222">
        <w:t>TAFE data collated by JSA reinforces these insights showing more than half of the workforce for every TAFE across the country is over 50 years old. Data provided by the Victorian Public Sector Commission shows that for TAFE Victoria at least, certain industry and operational areas also have a high percentage of teachers aged 55 and older, especially amongst building and engineering trades, adult community education and automotive</w:t>
      </w:r>
      <w:r w:rsidR="00A45375" w:rsidRPr="00B73222">
        <w:t xml:space="preserve">, see </w:t>
      </w:r>
      <w:hyperlink w:anchor="Figure_2_6" w:history="1">
        <w:r w:rsidR="00A45375" w:rsidRPr="005D6A89">
          <w:rPr>
            <w:rStyle w:val="Hyperlink"/>
          </w:rPr>
          <w:t>Figure 2.6</w:t>
        </w:r>
      </w:hyperlink>
      <w:r w:rsidRPr="00B73222">
        <w:t>. Transport &amp; Storage also had a very high percentage of teachers 55 and over, though from a very small sample. Fields of study with the lowest percentage of teachers aged 55 and older were in more feminised sectors of Wholesale, Retail &amp; Personal Services (22%) and Community Services &amp; Health (32%) where the pay for becoming a VET teacher is generally higher than in industry vocations.</w:t>
      </w:r>
    </w:p>
    <w:p w14:paraId="2185628D" w14:textId="2A1C2DE3" w:rsidR="00683D99" w:rsidRDefault="00A6421D" w:rsidP="004D744F">
      <w:pPr>
        <w:pStyle w:val="ChartandTablelabel"/>
      </w:pPr>
      <w:bookmarkStart w:id="101" w:name="Figure_2_6"/>
      <w:r>
        <w:t xml:space="preserve">Figure </w:t>
      </w:r>
      <w:r w:rsidR="006558DC">
        <w:fldChar w:fldCharType="begin"/>
      </w:r>
      <w:r w:rsidR="006558DC">
        <w:instrText xml:space="preserve"> STYLEREF 1 \s </w:instrText>
      </w:r>
      <w:r w:rsidR="006558DC">
        <w:fldChar w:fldCharType="separate"/>
      </w:r>
      <w:r w:rsidR="00E7704E">
        <w:rPr>
          <w:noProof/>
        </w:rPr>
        <w:t>2</w:t>
      </w:r>
      <w:r w:rsidR="006558DC">
        <w:fldChar w:fldCharType="end"/>
      </w:r>
      <w:r w:rsidR="00EA1F63">
        <w:t>.</w:t>
      </w:r>
      <w:r w:rsidR="006558DC">
        <w:fldChar w:fldCharType="begin"/>
      </w:r>
      <w:r w:rsidR="006558DC">
        <w:instrText xml:space="preserve"> SEQ Figure \* ARABIC \s 1 </w:instrText>
      </w:r>
      <w:r w:rsidR="006558DC">
        <w:fldChar w:fldCharType="separate"/>
      </w:r>
      <w:r w:rsidR="00E7704E">
        <w:rPr>
          <w:noProof/>
        </w:rPr>
        <w:t>6</w:t>
      </w:r>
      <w:r w:rsidR="006558DC">
        <w:fldChar w:fldCharType="end"/>
      </w:r>
      <w:r>
        <w:t xml:space="preserve"> Proportion of </w:t>
      </w:r>
      <w:r w:rsidR="00CC6D50">
        <w:t>VET teachers</w:t>
      </w:r>
      <w:r>
        <w:t xml:space="preserve"> aged 55 years and older across industry areas </w:t>
      </w:r>
      <w:r w:rsidR="00B73222">
        <w:br/>
      </w:r>
      <w:r>
        <w:t>in Victorian TAFE institutes</w:t>
      </w:r>
    </w:p>
    <w:bookmarkEnd w:id="101"/>
    <w:p w14:paraId="2C6077F5" w14:textId="0F488FE9" w:rsidR="005F3608" w:rsidRDefault="005F3608" w:rsidP="004D744F">
      <w:pPr>
        <w:pStyle w:val="ChartandTablelabel"/>
      </w:pPr>
      <w:r>
        <w:rPr>
          <w:noProof/>
        </w:rPr>
        <w:drawing>
          <wp:inline distT="0" distB="0" distL="0" distR="0" wp14:anchorId="6DC59158" wp14:editId="4F65C38C">
            <wp:extent cx="5651500" cy="3709035"/>
            <wp:effectExtent l="19050" t="19050" r="25400" b="24765"/>
            <wp:docPr id="617572968" name="Picture 9" descr="TAFE Vocation Industry - Percentage Teachers Aged 55+&#10;&#10;All Industries - 41.4%&#10;Transport &amp; Storage - 66.7%&#10;Curriculum Development/Design - 50.0%&#10;Building &amp; Construction - 49.0%&#10;Adult Community Education - 47.0%&#10;Metals &amp; Engineering - 46.4%&#10;Business Services - 46.2%&#10;Automotive - 45.0%&#10;Electrotechnology &amp; Communications - 43.4%&#10;General Manufacturing - 42.1%&#10;Public Administration &amp; Safety - 40.0%&#10;Primary &amp; Forest - 39.5%&#10;Tourism &amp; Hospitality - 39.3%&#10;Cultural &amp; Recreation - 38.3%&#10;Community Services &amp; Health - 31.9%&#10;Wholesale, Retail &amp; Personal Services - 21.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572968" name="Picture 9" descr="TAFE Vocation Industry - Percentage Teachers Aged 55+&#10;&#10;All Industries - 41.4%&#10;Transport &amp; Storage - 66.7%&#10;Curriculum Development/Design - 50.0%&#10;Building &amp; Construction - 49.0%&#10;Adult Community Education - 47.0%&#10;Metals &amp; Engineering - 46.4%&#10;Business Services - 46.2%&#10;Automotive - 45.0%&#10;Electrotechnology &amp; Communications - 43.4%&#10;General Manufacturing - 42.1%&#10;Public Administration &amp; Safety - 40.0%&#10;Primary &amp; Forest - 39.5%&#10;Tourism &amp; Hospitality - 39.3%&#10;Cultural &amp; Recreation - 38.3%&#10;Community Services &amp; Health - 31.9%&#10;Wholesale, Retail &amp; Personal Services - 21.8%&#10;&#10;"/>
                    <pic:cNvPicPr/>
                  </pic:nvPicPr>
                  <pic:blipFill rotWithShape="1">
                    <a:blip r:embed="rId25" cstate="print">
                      <a:extLst>
                        <a:ext uri="{28A0092B-C50C-407E-A947-70E740481C1C}">
                          <a14:useLocalDpi xmlns:a14="http://schemas.microsoft.com/office/drawing/2010/main" val="0"/>
                        </a:ext>
                      </a:extLst>
                    </a:blip>
                    <a:srcRect l="1165" t="3038" r="-4075" b="3038"/>
                    <a:stretch/>
                  </pic:blipFill>
                  <pic:spPr bwMode="auto">
                    <a:xfrm>
                      <a:off x="0" y="0"/>
                      <a:ext cx="5651500" cy="3709035"/>
                    </a:xfrm>
                    <a:prstGeom prst="rect">
                      <a:avLst/>
                    </a:prstGeom>
                    <a:solidFill>
                      <a:schemeClr val="bg1"/>
                    </a:solidFill>
                    <a:ln w="635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223E59F" w14:textId="6EDE19AF" w:rsidR="002410E8" w:rsidRDefault="00A6421D" w:rsidP="004D744F">
      <w:pPr>
        <w:pStyle w:val="Source"/>
        <w:spacing w:before="0"/>
      </w:pPr>
      <w:r>
        <w:t>Source: Supplied</w:t>
      </w:r>
      <w:r w:rsidR="00FF5C5B">
        <w:t xml:space="preserve"> by the Victorian Public Service Commission.</w:t>
      </w:r>
      <w:r>
        <w:t xml:space="preserve"> </w:t>
      </w:r>
    </w:p>
    <w:p w14:paraId="6860A6AF" w14:textId="4E98EEEC" w:rsidR="00A6421D" w:rsidRPr="002410E8" w:rsidRDefault="002410E8" w:rsidP="002410E8">
      <w:pPr>
        <w:pStyle w:val="Heading3"/>
        <w:rPr>
          <w:rFonts w:asciiTheme="minorHAnsi" w:hAnsiTheme="minorHAnsi"/>
          <w:color w:val="auto"/>
          <w:spacing w:val="6"/>
          <w:kern w:val="16"/>
          <w:sz w:val="18"/>
          <w:szCs w:val="18"/>
        </w:rPr>
      </w:pPr>
      <w:r>
        <w:br w:type="page"/>
      </w:r>
      <w:bookmarkStart w:id="102" w:name="_Toc326141261"/>
      <w:bookmarkStart w:id="103" w:name="_Toc1951048400"/>
      <w:r w:rsidR="00A6421D">
        <w:lastRenderedPageBreak/>
        <w:t xml:space="preserve">Highest </w:t>
      </w:r>
      <w:r w:rsidR="00624709">
        <w:t>l</w:t>
      </w:r>
      <w:r w:rsidR="00A6421D">
        <w:t xml:space="preserve">evel of </w:t>
      </w:r>
      <w:r w:rsidR="00624709">
        <w:t>e</w:t>
      </w:r>
      <w:r w:rsidR="00A6421D">
        <w:t>ducation</w:t>
      </w:r>
      <w:bookmarkEnd w:id="102"/>
      <w:bookmarkEnd w:id="103"/>
    </w:p>
    <w:p w14:paraId="008C924B" w14:textId="2A9262BE" w:rsidR="00C875B6" w:rsidRDefault="00A6421D" w:rsidP="00E16D4F">
      <w:pPr>
        <w:pStyle w:val="Bodycopy"/>
      </w:pPr>
      <w:r w:rsidRPr="006634C3">
        <w:t>The VET workforce has a higher level of education than the wider Australian workforce. Almost half (49.4%) of the VET workforce holds a Bachelor</w:t>
      </w:r>
      <w:r w:rsidR="00863FE5">
        <w:t>’s</w:t>
      </w:r>
      <w:r w:rsidRPr="006634C3">
        <w:t xml:space="preserve"> degree or higher, compared to 35.4% of the Australian workforce (see </w:t>
      </w:r>
      <w:hyperlink w:anchor="Figure_2_7" w:history="1">
        <w:r w:rsidRPr="005D6A89">
          <w:rPr>
            <w:rStyle w:val="Hyperlink"/>
          </w:rPr>
          <w:t>Figure 2.7</w:t>
        </w:r>
      </w:hyperlink>
      <w:r w:rsidRPr="006634C3">
        <w:t xml:space="preserve">). The level of qualifications differ across the VET workforce segments, though these align to expectations. The Curriculum and Learning Design and Leadership segments of the VET workforce have larger proportions of workers with higher education (undergraduate and above) qualifications than the VET workforce itself (57.1% and 63.6% respectively). </w:t>
      </w:r>
    </w:p>
    <w:p w14:paraId="5EE77D83" w14:textId="1FC91738" w:rsidR="00A6421D" w:rsidRPr="006634C3" w:rsidRDefault="00A6421D" w:rsidP="00E16D4F">
      <w:pPr>
        <w:pStyle w:val="Bodycopy"/>
      </w:pPr>
      <w:r w:rsidRPr="006634C3">
        <w:t xml:space="preserve">The Administration and Operations segment has the lowest proportion of workers with an undergraduate or above qualification (39.1%), but this is still higher the Australian workforce. The remaining segments each have a similar proportion of higher education ranging from 51.5%-52.7%. </w:t>
      </w:r>
    </w:p>
    <w:p w14:paraId="71C6E0AE" w14:textId="20476B89" w:rsidR="00A6421D" w:rsidRPr="006634C3" w:rsidRDefault="00A6421D" w:rsidP="00E16D4F">
      <w:pPr>
        <w:pStyle w:val="Bodycopy"/>
      </w:pPr>
      <w:r w:rsidRPr="006634C3">
        <w:t>74.2% of the teaching segment of the VET workforce holds qualifications at Diploma or above. These Diploma or higher-level qualifications include both education and industry qualifications:</w:t>
      </w:r>
      <w:r w:rsidR="00505F1C" w:rsidRPr="006634C3">
        <w:t xml:space="preserve"> </w:t>
      </w:r>
      <w:r w:rsidRPr="006634C3">
        <w:t xml:space="preserve">this is a key limitation of Census data when analysing the VET workforce. In short, by asking about ‘highest’ educational level achieved, the Census does not capture the dual qualifications of many VET professionals. </w:t>
      </w:r>
    </w:p>
    <w:p w14:paraId="75A66819" w14:textId="2ADD124B" w:rsidR="00A6421D" w:rsidRPr="006634C3" w:rsidRDefault="00A6421D" w:rsidP="00E16D4F">
      <w:pPr>
        <w:pStyle w:val="Bodycopy"/>
      </w:pPr>
      <w:r w:rsidRPr="006634C3">
        <w:t xml:space="preserve">Of the </w:t>
      </w:r>
      <w:r w:rsidR="00CC6D50">
        <w:t>VET teachers</w:t>
      </w:r>
      <w:r w:rsidRPr="006634C3">
        <w:t xml:space="preserve"> holding a qualification at Diploma level or higher, the field of their highest qualification is often education related (35.9%), including around 4.8% that can be identified as Adult Education (Teacher Education: Vocational Education and Training (3.4%), English as a Second Language Teaching (0.9%), Teacher Education: Higher Education (0.4%) and Nursing Education Teacher Training (0.1%). </w:t>
      </w:r>
    </w:p>
    <w:p w14:paraId="0BF46EB6" w14:textId="4E696763" w:rsidR="00A6421D" w:rsidRPr="006634C3" w:rsidRDefault="00A6421D" w:rsidP="00E16D4F">
      <w:pPr>
        <w:pStyle w:val="Bodycopy"/>
      </w:pPr>
      <w:r w:rsidRPr="006634C3">
        <w:t xml:space="preserve">Outside of the Education fields, the most common is a combined 7.8% across Business and Management </w:t>
      </w:r>
      <w:r w:rsidR="00576300">
        <w:t>NFD</w:t>
      </w:r>
      <w:r w:rsidRPr="006634C3">
        <w:t xml:space="preserve">, Business Management and Business and Management NEC. Other fields are small (below 3.0%) and widely distributed. </w:t>
      </w:r>
    </w:p>
    <w:p w14:paraId="3B47F7B0" w14:textId="5560C610" w:rsidR="00AD1AC9" w:rsidRDefault="00A6421D" w:rsidP="00E16D4F">
      <w:pPr>
        <w:pStyle w:val="Bodycopy"/>
      </w:pPr>
      <w:r w:rsidRPr="006634C3">
        <w:t>The 2019 NCVER survey did collect (limited) separate information on trainers’ and assessors’ teaching and industry qualifications. It found</w:t>
      </w:r>
      <w:r w:rsidR="0002216F">
        <w:t xml:space="preserve"> </w:t>
      </w:r>
      <w:r w:rsidRPr="006634C3">
        <w:t xml:space="preserve">that 77.1% of trainers and assessors held a Certificate IV TAE </w:t>
      </w:r>
      <w:r w:rsidR="0002216F" w:rsidRPr="0002216F">
        <w:t xml:space="preserve">as their highest teaching qualification </w:t>
      </w:r>
      <w:r w:rsidRPr="006634C3">
        <w:t>and 16.2% of trainers and assessors had a diploma or higher-level teaching qualification, whereas 37.6% held Diploma level or higher qualifications related to vocational competence in their field or industry of expertise.</w:t>
      </w:r>
      <w:r w:rsidR="00D16E9F">
        <w:t xml:space="preserve"> </w:t>
      </w:r>
      <w:r w:rsidRPr="006634C3">
        <w:t xml:space="preserve">This, combined with the wide distribution of small fields of education in Census, implies that many of the diploma or higher-level qualifications held by </w:t>
      </w:r>
      <w:r w:rsidR="00CC6D50">
        <w:t>VET teachers</w:t>
      </w:r>
      <w:r w:rsidRPr="006634C3">
        <w:t xml:space="preserve"> in Census data are from their vocational qualification. </w:t>
      </w:r>
    </w:p>
    <w:p w14:paraId="17A9B737" w14:textId="77777777" w:rsidR="00AD1AC9" w:rsidRDefault="00AD1AC9">
      <w:pPr>
        <w:rPr>
          <w:spacing w:val="2"/>
        </w:rPr>
      </w:pPr>
      <w:r>
        <w:br w:type="page"/>
      </w:r>
    </w:p>
    <w:p w14:paraId="75914238" w14:textId="6A275446" w:rsidR="008E0B5B" w:rsidRDefault="00A6421D" w:rsidP="00C0131D">
      <w:pPr>
        <w:pStyle w:val="Caption"/>
        <w:keepNext/>
      </w:pPr>
      <w:bookmarkStart w:id="104" w:name="Figure_2_7"/>
      <w:r>
        <w:lastRenderedPageBreak/>
        <w:t xml:space="preserve">Figure </w:t>
      </w:r>
      <w:r w:rsidR="006558DC">
        <w:fldChar w:fldCharType="begin"/>
      </w:r>
      <w:r w:rsidR="006558DC">
        <w:instrText xml:space="preserve"> STYLEREF 1 \s </w:instrText>
      </w:r>
      <w:r w:rsidR="006558DC">
        <w:fldChar w:fldCharType="separate"/>
      </w:r>
      <w:r w:rsidR="00E7704E">
        <w:rPr>
          <w:noProof/>
        </w:rPr>
        <w:t>2</w:t>
      </w:r>
      <w:r w:rsidR="006558DC">
        <w:fldChar w:fldCharType="end"/>
      </w:r>
      <w:r w:rsidR="00EA1F63">
        <w:t>.</w:t>
      </w:r>
      <w:r w:rsidR="006558DC">
        <w:fldChar w:fldCharType="begin"/>
      </w:r>
      <w:r w:rsidR="006558DC">
        <w:instrText xml:space="preserve"> SEQ Figure \* ARABIC \s 1 </w:instrText>
      </w:r>
      <w:r w:rsidR="006558DC">
        <w:fldChar w:fldCharType="separate"/>
      </w:r>
      <w:r w:rsidR="00E7704E">
        <w:rPr>
          <w:noProof/>
        </w:rPr>
        <w:t>7</w:t>
      </w:r>
      <w:r w:rsidR="006558DC">
        <w:fldChar w:fldCharType="end"/>
      </w:r>
      <w:r>
        <w:t xml:space="preserve"> Highest qualification in VET segments, and VET and Australian </w:t>
      </w:r>
      <w:r w:rsidR="001D61E8">
        <w:t>workforce</w:t>
      </w:r>
    </w:p>
    <w:bookmarkEnd w:id="104"/>
    <w:p w14:paraId="7A92E7C2" w14:textId="2267FFC2" w:rsidR="00B14965" w:rsidRPr="00B14965" w:rsidRDefault="00B14965" w:rsidP="00B14965">
      <w:pPr>
        <w:rPr>
          <w:lang w:val="en-US"/>
        </w:rPr>
      </w:pPr>
    </w:p>
    <w:tbl>
      <w:tblPr>
        <w:tblW w:w="7603" w:type="dxa"/>
        <w:shd w:val="clear" w:color="auto" w:fill="FFFFFF" w:themeFill="background1"/>
        <w:tblCellMar>
          <w:left w:w="0" w:type="dxa"/>
          <w:right w:w="0" w:type="dxa"/>
        </w:tblCellMar>
        <w:tblLook w:val="04A0" w:firstRow="1" w:lastRow="0" w:firstColumn="1" w:lastColumn="0" w:noHBand="0" w:noVBand="1"/>
        <w:tblCaption w:val="Figure 2.7 Highest qualification in VET segments, and VET and Australian Workforce"/>
      </w:tblPr>
      <w:tblGrid>
        <w:gridCol w:w="2537"/>
        <w:gridCol w:w="978"/>
        <w:gridCol w:w="801"/>
        <w:gridCol w:w="801"/>
        <w:gridCol w:w="971"/>
        <w:gridCol w:w="801"/>
        <w:gridCol w:w="826"/>
      </w:tblGrid>
      <w:tr w:rsidR="008E0B5B" w:rsidRPr="008E0B5B" w14:paraId="37FEA13D" w14:textId="77777777" w:rsidTr="00BF0E8D">
        <w:trPr>
          <w:trHeight w:val="432"/>
          <w:tblHeader/>
        </w:trPr>
        <w:tc>
          <w:tcPr>
            <w:tcW w:w="2521" w:type="dxa"/>
            <w:shd w:val="clear" w:color="auto" w:fill="FFFFFF" w:themeFill="background1"/>
            <w:noWrap/>
            <w:vAlign w:val="bottom"/>
            <w:hideMark/>
          </w:tcPr>
          <w:p w14:paraId="79F2C873" w14:textId="5977BEED" w:rsidR="008E0B5B" w:rsidRPr="008E0B5B" w:rsidRDefault="00AD1AC9" w:rsidP="008E0B5B">
            <w:pPr>
              <w:spacing w:after="0" w:line="240" w:lineRule="auto"/>
              <w:rPr>
                <w:rFonts w:eastAsia="Times New Roman" w:cs="Arial"/>
                <w:color w:val="000000"/>
                <w:sz w:val="16"/>
                <w:szCs w:val="16"/>
                <w:lang w:eastAsia="en-AU"/>
              </w:rPr>
            </w:pPr>
            <w:r>
              <w:rPr>
                <w:noProof/>
              </w:rPr>
              <w:drawing>
                <wp:anchor distT="0" distB="0" distL="114300" distR="114300" simplePos="0" relativeHeight="251658244" behindDoc="0" locked="0" layoutInCell="1" allowOverlap="0" wp14:anchorId="64ABA2F4" wp14:editId="30893260">
                  <wp:simplePos x="0" y="0"/>
                  <wp:positionH relativeFrom="margin">
                    <wp:posOffset>8479</wp:posOffset>
                  </wp:positionH>
                  <wp:positionV relativeFrom="paragraph">
                    <wp:posOffset>-233823</wp:posOffset>
                  </wp:positionV>
                  <wp:extent cx="5652000" cy="7992000"/>
                  <wp:effectExtent l="19050" t="19050" r="25400" b="9525"/>
                  <wp:wrapNone/>
                  <wp:docPr id="11504518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45182" name="Picture 1">
                            <a:extLst>
                              <a:ext uri="{C183D7F6-B498-43B3-948B-1728B52AA6E4}">
                                <adec:decorative xmlns:adec="http://schemas.microsoft.com/office/drawing/2017/decorative" val="1"/>
                              </a:ext>
                            </a:extLst>
                          </pic:cNvPr>
                          <pic:cNvPicPr/>
                        </pic:nvPicPr>
                        <pic:blipFill rotWithShape="1">
                          <a:blip r:embed="rId26" cstate="print">
                            <a:extLst>
                              <a:ext uri="{28A0092B-C50C-407E-A947-70E740481C1C}">
                                <a14:useLocalDpi xmlns:a14="http://schemas.microsoft.com/office/drawing/2010/main" val="0"/>
                              </a:ext>
                            </a:extLst>
                          </a:blip>
                          <a:srcRect l="-3606" t="-348" r="-6402" b="-348"/>
                          <a:stretch/>
                        </pic:blipFill>
                        <pic:spPr bwMode="auto">
                          <a:xfrm>
                            <a:off x="0" y="0"/>
                            <a:ext cx="5652000" cy="7992000"/>
                          </a:xfrm>
                          <a:prstGeom prst="rect">
                            <a:avLst/>
                          </a:prstGeom>
                          <a:solidFill>
                            <a:schemeClr val="bg1"/>
                          </a:solidFill>
                          <a:ln w="635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0B5B" w:rsidRPr="008E0B5B">
              <w:rPr>
                <w:rFonts w:eastAsia="Times New Roman" w:cs="Arial"/>
                <w:color w:val="000000"/>
                <w:sz w:val="16"/>
                <w:szCs w:val="16"/>
                <w:lang w:eastAsia="en-AU"/>
              </w:rPr>
              <w:t> </w:t>
            </w:r>
          </w:p>
        </w:tc>
        <w:tc>
          <w:tcPr>
            <w:tcW w:w="962" w:type="dxa"/>
            <w:shd w:val="clear" w:color="auto" w:fill="FFFFFF" w:themeFill="background1"/>
            <w:noWrap/>
            <w:vAlign w:val="bottom"/>
            <w:hideMark/>
          </w:tcPr>
          <w:p w14:paraId="7200CBC6" w14:textId="414883BB" w:rsidR="008E0B5B" w:rsidRPr="008E0B5B" w:rsidRDefault="008E0B5B" w:rsidP="008E0B5B">
            <w:pPr>
              <w:spacing w:after="0" w:line="240" w:lineRule="auto"/>
              <w:rPr>
                <w:rFonts w:eastAsia="Times New Roman" w:cs="Arial"/>
                <w:color w:val="000000"/>
                <w:sz w:val="16"/>
                <w:szCs w:val="16"/>
                <w:lang w:eastAsia="en-AU"/>
              </w:rPr>
            </w:pPr>
            <w:r w:rsidRPr="008E0B5B">
              <w:rPr>
                <w:rFonts w:eastAsia="Times New Roman" w:cs="Arial"/>
                <w:color w:val="000000"/>
                <w:sz w:val="16"/>
                <w:szCs w:val="16"/>
                <w:lang w:eastAsia="en-AU"/>
              </w:rPr>
              <w:t>Postgraduate Degree Level</w:t>
            </w:r>
          </w:p>
        </w:tc>
        <w:tc>
          <w:tcPr>
            <w:tcW w:w="785" w:type="dxa"/>
            <w:shd w:val="clear" w:color="auto" w:fill="FFFFFF" w:themeFill="background1"/>
            <w:noWrap/>
            <w:vAlign w:val="bottom"/>
            <w:hideMark/>
          </w:tcPr>
          <w:p w14:paraId="23966FA1" w14:textId="646EAFF2" w:rsidR="008E0B5B" w:rsidRPr="008E0B5B" w:rsidRDefault="008E0B5B" w:rsidP="008E0B5B">
            <w:pPr>
              <w:spacing w:after="0" w:line="240" w:lineRule="auto"/>
              <w:rPr>
                <w:rFonts w:eastAsia="Times New Roman" w:cs="Arial"/>
                <w:color w:val="000000"/>
                <w:sz w:val="16"/>
                <w:szCs w:val="16"/>
                <w:lang w:eastAsia="en-AU"/>
              </w:rPr>
            </w:pPr>
            <w:r w:rsidRPr="008E0B5B">
              <w:rPr>
                <w:rFonts w:eastAsia="Times New Roman" w:cs="Arial"/>
                <w:color w:val="000000"/>
                <w:sz w:val="16"/>
                <w:szCs w:val="16"/>
                <w:lang w:eastAsia="en-AU"/>
              </w:rPr>
              <w:t>Graduate Diploma and Graduate Certificate Level</w:t>
            </w:r>
          </w:p>
        </w:tc>
        <w:tc>
          <w:tcPr>
            <w:tcW w:w="785" w:type="dxa"/>
            <w:shd w:val="clear" w:color="auto" w:fill="FFFFFF" w:themeFill="background1"/>
            <w:noWrap/>
            <w:vAlign w:val="bottom"/>
            <w:hideMark/>
          </w:tcPr>
          <w:p w14:paraId="5D454156" w14:textId="6109F082" w:rsidR="008E0B5B" w:rsidRPr="008E0B5B" w:rsidRDefault="008E0B5B" w:rsidP="008E0B5B">
            <w:pPr>
              <w:spacing w:after="0" w:line="240" w:lineRule="auto"/>
              <w:rPr>
                <w:rFonts w:eastAsia="Times New Roman" w:cs="Arial"/>
                <w:color w:val="000000"/>
                <w:sz w:val="16"/>
                <w:szCs w:val="16"/>
                <w:lang w:eastAsia="en-AU"/>
              </w:rPr>
            </w:pPr>
            <w:r w:rsidRPr="008E0B5B">
              <w:rPr>
                <w:rFonts w:eastAsia="Times New Roman" w:cs="Arial"/>
                <w:color w:val="000000"/>
                <w:sz w:val="16"/>
                <w:szCs w:val="16"/>
                <w:lang w:eastAsia="en-AU"/>
              </w:rPr>
              <w:t>Bachelor Degree Level</w:t>
            </w:r>
          </w:p>
        </w:tc>
        <w:tc>
          <w:tcPr>
            <w:tcW w:w="955" w:type="dxa"/>
            <w:shd w:val="clear" w:color="auto" w:fill="FFFFFF" w:themeFill="background1"/>
            <w:noWrap/>
            <w:vAlign w:val="bottom"/>
            <w:hideMark/>
          </w:tcPr>
          <w:p w14:paraId="44E875E1" w14:textId="5A59F9DA" w:rsidR="008E0B5B" w:rsidRPr="008E0B5B" w:rsidRDefault="008E0B5B" w:rsidP="008E0B5B">
            <w:pPr>
              <w:spacing w:after="0" w:line="240" w:lineRule="auto"/>
              <w:rPr>
                <w:rFonts w:eastAsia="Times New Roman" w:cs="Arial"/>
                <w:color w:val="000000"/>
                <w:sz w:val="16"/>
                <w:szCs w:val="16"/>
                <w:lang w:eastAsia="en-AU"/>
              </w:rPr>
            </w:pPr>
            <w:r w:rsidRPr="008E0B5B">
              <w:rPr>
                <w:rFonts w:eastAsia="Times New Roman" w:cs="Arial"/>
                <w:color w:val="000000"/>
                <w:sz w:val="16"/>
                <w:szCs w:val="16"/>
                <w:lang w:eastAsia="en-AU"/>
              </w:rPr>
              <w:t>Advanced Diploma and Diploma Level</w:t>
            </w:r>
          </w:p>
        </w:tc>
        <w:tc>
          <w:tcPr>
            <w:tcW w:w="785" w:type="dxa"/>
            <w:shd w:val="clear" w:color="auto" w:fill="FFFFFF" w:themeFill="background1"/>
            <w:noWrap/>
            <w:vAlign w:val="bottom"/>
            <w:hideMark/>
          </w:tcPr>
          <w:p w14:paraId="24FF1953" w14:textId="3494BA1C" w:rsidR="008E0B5B" w:rsidRPr="008E0B5B" w:rsidRDefault="008E0B5B" w:rsidP="008E0B5B">
            <w:pPr>
              <w:spacing w:after="0" w:line="240" w:lineRule="auto"/>
              <w:rPr>
                <w:rFonts w:eastAsia="Times New Roman" w:cs="Arial"/>
                <w:color w:val="000000"/>
                <w:sz w:val="16"/>
                <w:szCs w:val="16"/>
                <w:lang w:eastAsia="en-AU"/>
              </w:rPr>
            </w:pPr>
            <w:r w:rsidRPr="008E0B5B">
              <w:rPr>
                <w:rFonts w:eastAsia="Times New Roman" w:cs="Arial"/>
                <w:color w:val="000000"/>
                <w:sz w:val="16"/>
                <w:szCs w:val="16"/>
                <w:lang w:eastAsia="en-AU"/>
              </w:rPr>
              <w:t>Cert III &amp; IV Level</w:t>
            </w:r>
          </w:p>
        </w:tc>
        <w:tc>
          <w:tcPr>
            <w:tcW w:w="810" w:type="dxa"/>
            <w:shd w:val="clear" w:color="auto" w:fill="FFFFFF" w:themeFill="background1"/>
            <w:noWrap/>
            <w:vAlign w:val="bottom"/>
            <w:hideMark/>
          </w:tcPr>
          <w:p w14:paraId="697B3DCC" w14:textId="4A6A776B" w:rsidR="008E0B5B" w:rsidRPr="008E0B5B" w:rsidRDefault="008E0B5B" w:rsidP="008E0B5B">
            <w:pPr>
              <w:spacing w:after="0" w:line="240" w:lineRule="auto"/>
              <w:rPr>
                <w:rFonts w:eastAsia="Times New Roman" w:cs="Arial"/>
                <w:color w:val="000000"/>
                <w:sz w:val="16"/>
                <w:szCs w:val="16"/>
                <w:lang w:eastAsia="en-AU"/>
              </w:rPr>
            </w:pPr>
            <w:r w:rsidRPr="008E0B5B">
              <w:rPr>
                <w:rFonts w:eastAsia="Times New Roman" w:cs="Arial"/>
                <w:color w:val="000000"/>
                <w:sz w:val="16"/>
                <w:szCs w:val="16"/>
                <w:lang w:eastAsia="en-AU"/>
              </w:rPr>
              <w:t>Secondary Education and below (incl. Cert I &amp; II)</w:t>
            </w:r>
          </w:p>
        </w:tc>
      </w:tr>
      <w:tr w:rsidR="008E0B5B" w:rsidRPr="008E0B5B" w14:paraId="43D48FF7" w14:textId="77777777" w:rsidTr="00BF0E8D">
        <w:trPr>
          <w:trHeight w:val="432"/>
        </w:trPr>
        <w:tc>
          <w:tcPr>
            <w:tcW w:w="2521" w:type="dxa"/>
            <w:shd w:val="clear" w:color="auto" w:fill="FFFFFF" w:themeFill="background1"/>
            <w:noWrap/>
            <w:vAlign w:val="bottom"/>
            <w:hideMark/>
          </w:tcPr>
          <w:p w14:paraId="3E7C6ABD" w14:textId="59CB3A60" w:rsidR="008E0B5B" w:rsidRPr="008E0B5B" w:rsidRDefault="008E0B5B" w:rsidP="008E0B5B">
            <w:pPr>
              <w:spacing w:after="0" w:line="240" w:lineRule="auto"/>
              <w:rPr>
                <w:rFonts w:eastAsia="Times New Roman" w:cs="Arial"/>
                <w:color w:val="000000"/>
                <w:sz w:val="16"/>
                <w:szCs w:val="16"/>
                <w:lang w:eastAsia="en-AU"/>
              </w:rPr>
            </w:pPr>
            <w:r w:rsidRPr="008E0B5B">
              <w:rPr>
                <w:rFonts w:eastAsia="Times New Roman" w:cs="Arial"/>
                <w:color w:val="000000"/>
                <w:sz w:val="16"/>
                <w:szCs w:val="16"/>
                <w:lang w:eastAsia="en-AU"/>
              </w:rPr>
              <w:t>Total VET Workforce</w:t>
            </w:r>
          </w:p>
        </w:tc>
        <w:tc>
          <w:tcPr>
            <w:tcW w:w="962" w:type="dxa"/>
            <w:shd w:val="clear" w:color="auto" w:fill="FFFFFF" w:themeFill="background1"/>
            <w:noWrap/>
            <w:vAlign w:val="bottom"/>
            <w:hideMark/>
          </w:tcPr>
          <w:p w14:paraId="4617BCBC" w14:textId="70994270"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17.2%</w:t>
            </w:r>
          </w:p>
        </w:tc>
        <w:tc>
          <w:tcPr>
            <w:tcW w:w="785" w:type="dxa"/>
            <w:shd w:val="clear" w:color="auto" w:fill="FFFFFF" w:themeFill="background1"/>
            <w:noWrap/>
            <w:vAlign w:val="bottom"/>
            <w:hideMark/>
          </w:tcPr>
          <w:p w14:paraId="17B05D9A" w14:textId="0DDC1EED"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8.6%</w:t>
            </w:r>
          </w:p>
        </w:tc>
        <w:tc>
          <w:tcPr>
            <w:tcW w:w="785" w:type="dxa"/>
            <w:shd w:val="clear" w:color="auto" w:fill="FFFFFF" w:themeFill="background1"/>
            <w:noWrap/>
            <w:vAlign w:val="bottom"/>
            <w:hideMark/>
          </w:tcPr>
          <w:p w14:paraId="6403A699" w14:textId="0E67E971"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24.8%</w:t>
            </w:r>
          </w:p>
        </w:tc>
        <w:tc>
          <w:tcPr>
            <w:tcW w:w="955" w:type="dxa"/>
            <w:shd w:val="clear" w:color="auto" w:fill="FFFFFF" w:themeFill="background1"/>
            <w:noWrap/>
            <w:vAlign w:val="bottom"/>
            <w:hideMark/>
          </w:tcPr>
          <w:p w14:paraId="7B1B2A9F" w14:textId="684F425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19.4%</w:t>
            </w:r>
          </w:p>
        </w:tc>
        <w:tc>
          <w:tcPr>
            <w:tcW w:w="785" w:type="dxa"/>
            <w:shd w:val="clear" w:color="auto" w:fill="FFFFFF" w:themeFill="background1"/>
            <w:noWrap/>
            <w:vAlign w:val="bottom"/>
            <w:hideMark/>
          </w:tcPr>
          <w:p w14:paraId="5C3F1D4E"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17.9%</w:t>
            </w:r>
          </w:p>
        </w:tc>
        <w:tc>
          <w:tcPr>
            <w:tcW w:w="810" w:type="dxa"/>
            <w:shd w:val="clear" w:color="auto" w:fill="FFFFFF" w:themeFill="background1"/>
            <w:noWrap/>
            <w:vAlign w:val="bottom"/>
            <w:hideMark/>
          </w:tcPr>
          <w:p w14:paraId="7C5429CD"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9.6%</w:t>
            </w:r>
          </w:p>
        </w:tc>
      </w:tr>
      <w:tr w:rsidR="008E0B5B" w:rsidRPr="008E0B5B" w14:paraId="5588A139" w14:textId="77777777" w:rsidTr="00BF0E8D">
        <w:trPr>
          <w:trHeight w:val="432"/>
        </w:trPr>
        <w:tc>
          <w:tcPr>
            <w:tcW w:w="2521" w:type="dxa"/>
            <w:shd w:val="clear" w:color="auto" w:fill="FFFFFF" w:themeFill="background1"/>
            <w:noWrap/>
            <w:vAlign w:val="bottom"/>
            <w:hideMark/>
          </w:tcPr>
          <w:p w14:paraId="4CA3BF30" w14:textId="7B432EA2" w:rsidR="008E0B5B" w:rsidRPr="008E0B5B" w:rsidRDefault="00CB29F6" w:rsidP="008E0B5B">
            <w:pPr>
              <w:spacing w:after="0" w:line="240" w:lineRule="auto"/>
              <w:rPr>
                <w:rFonts w:eastAsia="Times New Roman" w:cs="Arial"/>
                <w:color w:val="000000"/>
                <w:sz w:val="16"/>
                <w:szCs w:val="16"/>
                <w:lang w:eastAsia="en-AU"/>
              </w:rPr>
            </w:pPr>
            <w:r>
              <w:rPr>
                <w:rFonts w:eastAsia="Times New Roman" w:cs="Arial"/>
                <w:color w:val="000000"/>
                <w:sz w:val="16"/>
                <w:szCs w:val="16"/>
                <w:lang w:eastAsia="en-AU"/>
              </w:rPr>
              <w:t>Teach, Train, and Assess</w:t>
            </w:r>
          </w:p>
        </w:tc>
        <w:tc>
          <w:tcPr>
            <w:tcW w:w="962" w:type="dxa"/>
            <w:shd w:val="clear" w:color="auto" w:fill="FFFFFF" w:themeFill="background1"/>
            <w:noWrap/>
            <w:vAlign w:val="bottom"/>
            <w:hideMark/>
          </w:tcPr>
          <w:p w14:paraId="40EA60B7" w14:textId="45A404B4"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18.2%</w:t>
            </w:r>
          </w:p>
        </w:tc>
        <w:tc>
          <w:tcPr>
            <w:tcW w:w="785" w:type="dxa"/>
            <w:shd w:val="clear" w:color="auto" w:fill="FFFFFF" w:themeFill="background1"/>
            <w:noWrap/>
            <w:vAlign w:val="bottom"/>
            <w:hideMark/>
          </w:tcPr>
          <w:p w14:paraId="7A8D22DF"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10.6%</w:t>
            </w:r>
          </w:p>
        </w:tc>
        <w:tc>
          <w:tcPr>
            <w:tcW w:w="785" w:type="dxa"/>
            <w:shd w:val="clear" w:color="auto" w:fill="FFFFFF" w:themeFill="background1"/>
            <w:noWrap/>
            <w:vAlign w:val="bottom"/>
            <w:hideMark/>
          </w:tcPr>
          <w:p w14:paraId="137FAF6A"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23.9%</w:t>
            </w:r>
          </w:p>
        </w:tc>
        <w:tc>
          <w:tcPr>
            <w:tcW w:w="955" w:type="dxa"/>
            <w:shd w:val="clear" w:color="auto" w:fill="FFFFFF" w:themeFill="background1"/>
            <w:noWrap/>
            <w:vAlign w:val="bottom"/>
            <w:hideMark/>
          </w:tcPr>
          <w:p w14:paraId="2479264A" w14:textId="1FED44CE"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21.5%</w:t>
            </w:r>
          </w:p>
        </w:tc>
        <w:tc>
          <w:tcPr>
            <w:tcW w:w="785" w:type="dxa"/>
            <w:shd w:val="clear" w:color="auto" w:fill="FFFFFF" w:themeFill="background1"/>
            <w:noWrap/>
            <w:vAlign w:val="bottom"/>
            <w:hideMark/>
          </w:tcPr>
          <w:p w14:paraId="56BEA1E0"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20.0%</w:t>
            </w:r>
          </w:p>
        </w:tc>
        <w:tc>
          <w:tcPr>
            <w:tcW w:w="810" w:type="dxa"/>
            <w:shd w:val="clear" w:color="auto" w:fill="FFFFFF" w:themeFill="background1"/>
            <w:noWrap/>
            <w:vAlign w:val="bottom"/>
            <w:hideMark/>
          </w:tcPr>
          <w:p w14:paraId="6A54E2AB"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3.5%</w:t>
            </w:r>
          </w:p>
        </w:tc>
      </w:tr>
      <w:tr w:rsidR="008E0B5B" w:rsidRPr="008E0B5B" w14:paraId="1FED6A92" w14:textId="77777777" w:rsidTr="00BF0E8D">
        <w:trPr>
          <w:trHeight w:val="432"/>
        </w:trPr>
        <w:tc>
          <w:tcPr>
            <w:tcW w:w="2521" w:type="dxa"/>
            <w:shd w:val="clear" w:color="auto" w:fill="FFFFFF" w:themeFill="background1"/>
            <w:noWrap/>
            <w:vAlign w:val="bottom"/>
            <w:hideMark/>
          </w:tcPr>
          <w:p w14:paraId="759DDF25" w14:textId="4F8FCB8E" w:rsidR="008E0B5B" w:rsidRPr="008E0B5B" w:rsidRDefault="008E0B5B" w:rsidP="008E0B5B">
            <w:pPr>
              <w:spacing w:after="0" w:line="240" w:lineRule="auto"/>
              <w:rPr>
                <w:rFonts w:eastAsia="Times New Roman" w:cs="Arial"/>
                <w:color w:val="000000"/>
                <w:sz w:val="16"/>
                <w:szCs w:val="16"/>
                <w:lang w:eastAsia="en-AU"/>
              </w:rPr>
            </w:pPr>
            <w:r w:rsidRPr="008E0B5B">
              <w:rPr>
                <w:rFonts w:eastAsia="Times New Roman" w:cs="Arial"/>
                <w:color w:val="000000"/>
                <w:sz w:val="16"/>
                <w:szCs w:val="16"/>
                <w:lang w:eastAsia="en-AU"/>
              </w:rPr>
              <w:t>Curriculum and Learning Design</w:t>
            </w:r>
          </w:p>
        </w:tc>
        <w:tc>
          <w:tcPr>
            <w:tcW w:w="962" w:type="dxa"/>
            <w:shd w:val="clear" w:color="auto" w:fill="FFFFFF" w:themeFill="background1"/>
            <w:noWrap/>
            <w:vAlign w:val="bottom"/>
            <w:hideMark/>
          </w:tcPr>
          <w:p w14:paraId="44868DAB"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18.7%</w:t>
            </w:r>
          </w:p>
        </w:tc>
        <w:tc>
          <w:tcPr>
            <w:tcW w:w="785" w:type="dxa"/>
            <w:shd w:val="clear" w:color="auto" w:fill="FFFFFF" w:themeFill="background1"/>
            <w:noWrap/>
            <w:vAlign w:val="bottom"/>
            <w:hideMark/>
          </w:tcPr>
          <w:p w14:paraId="78F5C371"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9.7%</w:t>
            </w:r>
          </w:p>
        </w:tc>
        <w:tc>
          <w:tcPr>
            <w:tcW w:w="785" w:type="dxa"/>
            <w:shd w:val="clear" w:color="auto" w:fill="FFFFFF" w:themeFill="background1"/>
            <w:noWrap/>
            <w:vAlign w:val="bottom"/>
            <w:hideMark/>
          </w:tcPr>
          <w:p w14:paraId="0757BC97" w14:textId="17340662"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28.6%</w:t>
            </w:r>
          </w:p>
        </w:tc>
        <w:tc>
          <w:tcPr>
            <w:tcW w:w="955" w:type="dxa"/>
            <w:shd w:val="clear" w:color="auto" w:fill="FFFFFF" w:themeFill="background1"/>
            <w:noWrap/>
            <w:vAlign w:val="bottom"/>
            <w:hideMark/>
          </w:tcPr>
          <w:p w14:paraId="4BEAAE1E"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18.5%</w:t>
            </w:r>
          </w:p>
        </w:tc>
        <w:tc>
          <w:tcPr>
            <w:tcW w:w="785" w:type="dxa"/>
            <w:shd w:val="clear" w:color="auto" w:fill="FFFFFF" w:themeFill="background1"/>
            <w:noWrap/>
            <w:vAlign w:val="bottom"/>
            <w:hideMark/>
          </w:tcPr>
          <w:p w14:paraId="052696C2" w14:textId="4F915E28"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14.6%</w:t>
            </w:r>
          </w:p>
        </w:tc>
        <w:tc>
          <w:tcPr>
            <w:tcW w:w="810" w:type="dxa"/>
            <w:shd w:val="clear" w:color="auto" w:fill="FFFFFF" w:themeFill="background1"/>
            <w:noWrap/>
            <w:vAlign w:val="bottom"/>
            <w:hideMark/>
          </w:tcPr>
          <w:p w14:paraId="34724C7F" w14:textId="60EBF243"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6.1%</w:t>
            </w:r>
          </w:p>
        </w:tc>
      </w:tr>
      <w:tr w:rsidR="008E0B5B" w:rsidRPr="008E0B5B" w14:paraId="616BF6E6" w14:textId="77777777" w:rsidTr="00BF0E8D">
        <w:trPr>
          <w:trHeight w:val="432"/>
        </w:trPr>
        <w:tc>
          <w:tcPr>
            <w:tcW w:w="2521" w:type="dxa"/>
            <w:shd w:val="clear" w:color="auto" w:fill="FFFFFF" w:themeFill="background1"/>
            <w:noWrap/>
            <w:vAlign w:val="bottom"/>
            <w:hideMark/>
          </w:tcPr>
          <w:p w14:paraId="721E32FC" w14:textId="3DCF9BED" w:rsidR="008E0B5B" w:rsidRPr="008E0B5B" w:rsidRDefault="008E0B5B" w:rsidP="008E0B5B">
            <w:pPr>
              <w:spacing w:after="0" w:line="240" w:lineRule="auto"/>
              <w:rPr>
                <w:rFonts w:eastAsia="Times New Roman" w:cs="Arial"/>
                <w:color w:val="000000"/>
                <w:sz w:val="16"/>
                <w:szCs w:val="16"/>
                <w:lang w:eastAsia="en-AU"/>
              </w:rPr>
            </w:pPr>
            <w:r w:rsidRPr="008E0B5B">
              <w:rPr>
                <w:rFonts w:eastAsia="Times New Roman" w:cs="Arial"/>
                <w:color w:val="000000"/>
                <w:sz w:val="16"/>
                <w:szCs w:val="16"/>
                <w:lang w:eastAsia="en-AU"/>
              </w:rPr>
              <w:t>Quality Assurance and Compliance</w:t>
            </w:r>
          </w:p>
        </w:tc>
        <w:tc>
          <w:tcPr>
            <w:tcW w:w="962" w:type="dxa"/>
            <w:shd w:val="clear" w:color="auto" w:fill="FFFFFF" w:themeFill="background1"/>
            <w:noWrap/>
            <w:vAlign w:val="bottom"/>
            <w:hideMark/>
          </w:tcPr>
          <w:p w14:paraId="0B96E67C"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17.3%</w:t>
            </w:r>
          </w:p>
        </w:tc>
        <w:tc>
          <w:tcPr>
            <w:tcW w:w="785" w:type="dxa"/>
            <w:shd w:val="clear" w:color="auto" w:fill="FFFFFF" w:themeFill="background1"/>
            <w:noWrap/>
            <w:vAlign w:val="bottom"/>
            <w:hideMark/>
          </w:tcPr>
          <w:p w14:paraId="3714DD1E" w14:textId="6787A2A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11.4%</w:t>
            </w:r>
          </w:p>
        </w:tc>
        <w:tc>
          <w:tcPr>
            <w:tcW w:w="785" w:type="dxa"/>
            <w:shd w:val="clear" w:color="auto" w:fill="FFFFFF" w:themeFill="background1"/>
            <w:noWrap/>
            <w:vAlign w:val="bottom"/>
            <w:hideMark/>
          </w:tcPr>
          <w:p w14:paraId="367398F9" w14:textId="23FD98B2"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23.5%</w:t>
            </w:r>
          </w:p>
        </w:tc>
        <w:tc>
          <w:tcPr>
            <w:tcW w:w="955" w:type="dxa"/>
            <w:shd w:val="clear" w:color="auto" w:fill="FFFFFF" w:themeFill="background1"/>
            <w:noWrap/>
            <w:vAlign w:val="bottom"/>
            <w:hideMark/>
          </w:tcPr>
          <w:p w14:paraId="0BC05077"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20.5%</w:t>
            </w:r>
          </w:p>
        </w:tc>
        <w:tc>
          <w:tcPr>
            <w:tcW w:w="785" w:type="dxa"/>
            <w:shd w:val="clear" w:color="auto" w:fill="FFFFFF" w:themeFill="background1"/>
            <w:noWrap/>
            <w:vAlign w:val="bottom"/>
            <w:hideMark/>
          </w:tcPr>
          <w:p w14:paraId="6BDBAE0F"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16.9%</w:t>
            </w:r>
          </w:p>
        </w:tc>
        <w:tc>
          <w:tcPr>
            <w:tcW w:w="810" w:type="dxa"/>
            <w:shd w:val="clear" w:color="auto" w:fill="FFFFFF" w:themeFill="background1"/>
            <w:noWrap/>
            <w:vAlign w:val="bottom"/>
            <w:hideMark/>
          </w:tcPr>
          <w:p w14:paraId="65B16491"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3.6%</w:t>
            </w:r>
          </w:p>
        </w:tc>
      </w:tr>
      <w:tr w:rsidR="008E0B5B" w:rsidRPr="008E0B5B" w14:paraId="56A7B89F" w14:textId="77777777" w:rsidTr="00BF0E8D">
        <w:trPr>
          <w:trHeight w:val="432"/>
        </w:trPr>
        <w:tc>
          <w:tcPr>
            <w:tcW w:w="2521" w:type="dxa"/>
            <w:shd w:val="clear" w:color="auto" w:fill="FFFFFF" w:themeFill="background1"/>
            <w:noWrap/>
            <w:vAlign w:val="bottom"/>
            <w:hideMark/>
          </w:tcPr>
          <w:p w14:paraId="05EBC8CC" w14:textId="1A863D3F" w:rsidR="008E0B5B" w:rsidRPr="008E0B5B" w:rsidRDefault="008E0B5B" w:rsidP="008E0B5B">
            <w:pPr>
              <w:spacing w:after="0" w:line="240" w:lineRule="auto"/>
              <w:rPr>
                <w:rFonts w:eastAsia="Times New Roman" w:cs="Arial"/>
                <w:color w:val="000000"/>
                <w:sz w:val="16"/>
                <w:szCs w:val="16"/>
                <w:lang w:eastAsia="en-AU"/>
              </w:rPr>
            </w:pPr>
            <w:r w:rsidRPr="008E0B5B">
              <w:rPr>
                <w:rFonts w:eastAsia="Times New Roman" w:cs="Arial"/>
                <w:color w:val="000000"/>
                <w:sz w:val="16"/>
                <w:szCs w:val="16"/>
                <w:lang w:eastAsia="en-AU"/>
              </w:rPr>
              <w:t>Leadership</w:t>
            </w:r>
          </w:p>
        </w:tc>
        <w:tc>
          <w:tcPr>
            <w:tcW w:w="962" w:type="dxa"/>
            <w:shd w:val="clear" w:color="auto" w:fill="FFFFFF" w:themeFill="background1"/>
            <w:noWrap/>
            <w:vAlign w:val="bottom"/>
            <w:hideMark/>
          </w:tcPr>
          <w:p w14:paraId="4182FB86"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24.1%</w:t>
            </w:r>
          </w:p>
        </w:tc>
        <w:tc>
          <w:tcPr>
            <w:tcW w:w="785" w:type="dxa"/>
            <w:shd w:val="clear" w:color="auto" w:fill="FFFFFF" w:themeFill="background1"/>
            <w:noWrap/>
            <w:vAlign w:val="bottom"/>
            <w:hideMark/>
          </w:tcPr>
          <w:p w14:paraId="58F80D1C" w14:textId="4382A33E"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10.9%</w:t>
            </w:r>
          </w:p>
        </w:tc>
        <w:tc>
          <w:tcPr>
            <w:tcW w:w="785" w:type="dxa"/>
            <w:shd w:val="clear" w:color="auto" w:fill="FFFFFF" w:themeFill="background1"/>
            <w:noWrap/>
            <w:vAlign w:val="bottom"/>
            <w:hideMark/>
          </w:tcPr>
          <w:p w14:paraId="3F1BC550"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28.7%</w:t>
            </w:r>
          </w:p>
        </w:tc>
        <w:tc>
          <w:tcPr>
            <w:tcW w:w="955" w:type="dxa"/>
            <w:shd w:val="clear" w:color="auto" w:fill="FFFFFF" w:themeFill="background1"/>
            <w:noWrap/>
            <w:vAlign w:val="bottom"/>
            <w:hideMark/>
          </w:tcPr>
          <w:p w14:paraId="276D553F"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18.4%</w:t>
            </w:r>
          </w:p>
        </w:tc>
        <w:tc>
          <w:tcPr>
            <w:tcW w:w="785" w:type="dxa"/>
            <w:shd w:val="clear" w:color="auto" w:fill="FFFFFF" w:themeFill="background1"/>
            <w:noWrap/>
            <w:vAlign w:val="bottom"/>
            <w:hideMark/>
          </w:tcPr>
          <w:p w14:paraId="286C1ACB"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9.2%</w:t>
            </w:r>
          </w:p>
        </w:tc>
        <w:tc>
          <w:tcPr>
            <w:tcW w:w="810" w:type="dxa"/>
            <w:shd w:val="clear" w:color="auto" w:fill="FFFFFF" w:themeFill="background1"/>
            <w:noWrap/>
            <w:vAlign w:val="bottom"/>
            <w:hideMark/>
          </w:tcPr>
          <w:p w14:paraId="564CAD78"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7.1%</w:t>
            </w:r>
          </w:p>
        </w:tc>
      </w:tr>
      <w:tr w:rsidR="008E0B5B" w:rsidRPr="008E0B5B" w14:paraId="380477A5" w14:textId="77777777" w:rsidTr="00BF0E8D">
        <w:trPr>
          <w:trHeight w:val="432"/>
        </w:trPr>
        <w:tc>
          <w:tcPr>
            <w:tcW w:w="2521" w:type="dxa"/>
            <w:shd w:val="clear" w:color="auto" w:fill="FFFFFF" w:themeFill="background1"/>
            <w:noWrap/>
            <w:vAlign w:val="bottom"/>
            <w:hideMark/>
          </w:tcPr>
          <w:p w14:paraId="7B629868" w14:textId="437F3273" w:rsidR="008E0B5B" w:rsidRPr="008E0B5B" w:rsidRDefault="008E0B5B" w:rsidP="008E0B5B">
            <w:pPr>
              <w:spacing w:after="0" w:line="240" w:lineRule="auto"/>
              <w:rPr>
                <w:rFonts w:eastAsia="Times New Roman" w:cs="Arial"/>
                <w:color w:val="000000"/>
                <w:sz w:val="16"/>
                <w:szCs w:val="16"/>
                <w:lang w:eastAsia="en-AU"/>
              </w:rPr>
            </w:pPr>
            <w:r w:rsidRPr="008E0B5B">
              <w:rPr>
                <w:rFonts w:eastAsia="Times New Roman" w:cs="Arial"/>
                <w:color w:val="000000"/>
                <w:sz w:val="16"/>
                <w:szCs w:val="16"/>
                <w:lang w:eastAsia="en-AU"/>
              </w:rPr>
              <w:t>Learning Support</w:t>
            </w:r>
          </w:p>
        </w:tc>
        <w:tc>
          <w:tcPr>
            <w:tcW w:w="962" w:type="dxa"/>
            <w:shd w:val="clear" w:color="auto" w:fill="FFFFFF" w:themeFill="background1"/>
            <w:noWrap/>
            <w:vAlign w:val="bottom"/>
            <w:hideMark/>
          </w:tcPr>
          <w:p w14:paraId="107DB629"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15.4%</w:t>
            </w:r>
          </w:p>
        </w:tc>
        <w:tc>
          <w:tcPr>
            <w:tcW w:w="785" w:type="dxa"/>
            <w:shd w:val="clear" w:color="auto" w:fill="FFFFFF" w:themeFill="background1"/>
            <w:noWrap/>
            <w:vAlign w:val="bottom"/>
            <w:hideMark/>
          </w:tcPr>
          <w:p w14:paraId="41C1F76B"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10.5%</w:t>
            </w:r>
          </w:p>
        </w:tc>
        <w:tc>
          <w:tcPr>
            <w:tcW w:w="785" w:type="dxa"/>
            <w:shd w:val="clear" w:color="auto" w:fill="FFFFFF" w:themeFill="background1"/>
            <w:noWrap/>
            <w:vAlign w:val="bottom"/>
            <w:hideMark/>
          </w:tcPr>
          <w:p w14:paraId="493DAA5F"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25.6%</w:t>
            </w:r>
          </w:p>
        </w:tc>
        <w:tc>
          <w:tcPr>
            <w:tcW w:w="955" w:type="dxa"/>
            <w:shd w:val="clear" w:color="auto" w:fill="FFFFFF" w:themeFill="background1"/>
            <w:noWrap/>
            <w:vAlign w:val="bottom"/>
            <w:hideMark/>
          </w:tcPr>
          <w:p w14:paraId="5DBDEAEE" w14:textId="10C76488"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19.0%</w:t>
            </w:r>
          </w:p>
        </w:tc>
        <w:tc>
          <w:tcPr>
            <w:tcW w:w="785" w:type="dxa"/>
            <w:shd w:val="clear" w:color="auto" w:fill="FFFFFF" w:themeFill="background1"/>
            <w:noWrap/>
            <w:vAlign w:val="bottom"/>
            <w:hideMark/>
          </w:tcPr>
          <w:p w14:paraId="59EAA64B" w14:textId="5AD14FC4"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16.2%</w:t>
            </w:r>
          </w:p>
        </w:tc>
        <w:tc>
          <w:tcPr>
            <w:tcW w:w="810" w:type="dxa"/>
            <w:shd w:val="clear" w:color="auto" w:fill="FFFFFF" w:themeFill="background1"/>
            <w:noWrap/>
            <w:vAlign w:val="bottom"/>
            <w:hideMark/>
          </w:tcPr>
          <w:p w14:paraId="19FA726D" w14:textId="524A3B4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11.0%</w:t>
            </w:r>
          </w:p>
        </w:tc>
      </w:tr>
      <w:tr w:rsidR="008E0B5B" w:rsidRPr="008E0B5B" w14:paraId="74F356EE" w14:textId="77777777" w:rsidTr="00BF0E8D">
        <w:trPr>
          <w:trHeight w:val="432"/>
        </w:trPr>
        <w:tc>
          <w:tcPr>
            <w:tcW w:w="2521" w:type="dxa"/>
            <w:shd w:val="clear" w:color="auto" w:fill="FFFFFF" w:themeFill="background1"/>
            <w:noWrap/>
            <w:vAlign w:val="bottom"/>
            <w:hideMark/>
          </w:tcPr>
          <w:p w14:paraId="1E6EC9B0" w14:textId="49C8BC60" w:rsidR="008E0B5B" w:rsidRPr="008E0B5B" w:rsidRDefault="008E0B5B" w:rsidP="008E0B5B">
            <w:pPr>
              <w:spacing w:after="0" w:line="240" w:lineRule="auto"/>
              <w:rPr>
                <w:rFonts w:eastAsia="Times New Roman" w:cs="Arial"/>
                <w:color w:val="000000"/>
                <w:sz w:val="16"/>
                <w:szCs w:val="16"/>
                <w:lang w:eastAsia="en-AU"/>
              </w:rPr>
            </w:pPr>
            <w:r w:rsidRPr="008E0B5B">
              <w:rPr>
                <w:rFonts w:eastAsia="Times New Roman" w:cs="Arial"/>
                <w:color w:val="000000"/>
                <w:sz w:val="16"/>
                <w:szCs w:val="16"/>
                <w:lang w:eastAsia="en-AU"/>
              </w:rPr>
              <w:t>Administration and Operations</w:t>
            </w:r>
          </w:p>
        </w:tc>
        <w:tc>
          <w:tcPr>
            <w:tcW w:w="962" w:type="dxa"/>
            <w:shd w:val="clear" w:color="auto" w:fill="FFFFFF" w:themeFill="background1"/>
            <w:noWrap/>
            <w:vAlign w:val="bottom"/>
            <w:hideMark/>
          </w:tcPr>
          <w:p w14:paraId="1B3C2920" w14:textId="2196391A"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12.3%</w:t>
            </w:r>
          </w:p>
        </w:tc>
        <w:tc>
          <w:tcPr>
            <w:tcW w:w="785" w:type="dxa"/>
            <w:shd w:val="clear" w:color="auto" w:fill="FFFFFF" w:themeFill="background1"/>
            <w:noWrap/>
            <w:vAlign w:val="bottom"/>
            <w:hideMark/>
          </w:tcPr>
          <w:p w14:paraId="6E026F56" w14:textId="01F47580"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3.6%</w:t>
            </w:r>
          </w:p>
        </w:tc>
        <w:tc>
          <w:tcPr>
            <w:tcW w:w="785" w:type="dxa"/>
            <w:shd w:val="clear" w:color="auto" w:fill="FFFFFF" w:themeFill="background1"/>
            <w:noWrap/>
            <w:vAlign w:val="bottom"/>
            <w:hideMark/>
          </w:tcPr>
          <w:p w14:paraId="6E7637B7" w14:textId="413B178B"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23.3%</w:t>
            </w:r>
          </w:p>
        </w:tc>
        <w:tc>
          <w:tcPr>
            <w:tcW w:w="955" w:type="dxa"/>
            <w:shd w:val="clear" w:color="auto" w:fill="FFFFFF" w:themeFill="background1"/>
            <w:noWrap/>
            <w:vAlign w:val="bottom"/>
            <w:hideMark/>
          </w:tcPr>
          <w:p w14:paraId="484462E3" w14:textId="504CF9B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16.3%</w:t>
            </w:r>
          </w:p>
        </w:tc>
        <w:tc>
          <w:tcPr>
            <w:tcW w:w="785" w:type="dxa"/>
            <w:shd w:val="clear" w:color="auto" w:fill="FFFFFF" w:themeFill="background1"/>
            <w:noWrap/>
            <w:vAlign w:val="bottom"/>
            <w:hideMark/>
          </w:tcPr>
          <w:p w14:paraId="02927E9A" w14:textId="5766224B"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18.3%</w:t>
            </w:r>
          </w:p>
        </w:tc>
        <w:tc>
          <w:tcPr>
            <w:tcW w:w="810" w:type="dxa"/>
            <w:shd w:val="clear" w:color="auto" w:fill="FFFFFF" w:themeFill="background1"/>
            <w:noWrap/>
            <w:vAlign w:val="bottom"/>
            <w:hideMark/>
          </w:tcPr>
          <w:p w14:paraId="490F8F25" w14:textId="31CB436E"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20.1%</w:t>
            </w:r>
          </w:p>
        </w:tc>
      </w:tr>
      <w:tr w:rsidR="008E0B5B" w:rsidRPr="008E0B5B" w14:paraId="7EF5E0C2" w14:textId="77777777" w:rsidTr="00BF0E8D">
        <w:trPr>
          <w:trHeight w:val="432"/>
        </w:trPr>
        <w:tc>
          <w:tcPr>
            <w:tcW w:w="2521" w:type="dxa"/>
            <w:shd w:val="clear" w:color="auto" w:fill="FFFFFF" w:themeFill="background1"/>
            <w:noWrap/>
            <w:vAlign w:val="bottom"/>
            <w:hideMark/>
          </w:tcPr>
          <w:p w14:paraId="365AED29" w14:textId="77777777" w:rsidR="008E0B5B" w:rsidRPr="008E0B5B" w:rsidRDefault="008E0B5B" w:rsidP="008E0B5B">
            <w:pPr>
              <w:spacing w:after="0" w:line="240" w:lineRule="auto"/>
              <w:rPr>
                <w:rFonts w:eastAsia="Times New Roman" w:cs="Arial"/>
                <w:color w:val="000000"/>
                <w:sz w:val="16"/>
                <w:szCs w:val="16"/>
                <w:lang w:eastAsia="en-AU"/>
              </w:rPr>
            </w:pPr>
            <w:r w:rsidRPr="008E0B5B">
              <w:rPr>
                <w:rFonts w:eastAsia="Times New Roman" w:cs="Arial"/>
                <w:color w:val="000000"/>
                <w:sz w:val="16"/>
                <w:szCs w:val="16"/>
                <w:lang w:eastAsia="en-AU"/>
              </w:rPr>
              <w:t>Australian Workforce</w:t>
            </w:r>
          </w:p>
        </w:tc>
        <w:tc>
          <w:tcPr>
            <w:tcW w:w="962" w:type="dxa"/>
            <w:shd w:val="clear" w:color="auto" w:fill="FFFFFF" w:themeFill="background1"/>
            <w:noWrap/>
            <w:vAlign w:val="bottom"/>
            <w:hideMark/>
          </w:tcPr>
          <w:p w14:paraId="59490BBE" w14:textId="2EB226FB"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9.10%</w:t>
            </w:r>
          </w:p>
        </w:tc>
        <w:tc>
          <w:tcPr>
            <w:tcW w:w="785" w:type="dxa"/>
            <w:shd w:val="clear" w:color="auto" w:fill="FFFFFF" w:themeFill="background1"/>
            <w:noWrap/>
            <w:vAlign w:val="bottom"/>
            <w:hideMark/>
          </w:tcPr>
          <w:p w14:paraId="62546DA9"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3.10%</w:t>
            </w:r>
          </w:p>
        </w:tc>
        <w:tc>
          <w:tcPr>
            <w:tcW w:w="785" w:type="dxa"/>
            <w:shd w:val="clear" w:color="auto" w:fill="FFFFFF" w:themeFill="background1"/>
            <w:noWrap/>
            <w:vAlign w:val="bottom"/>
            <w:hideMark/>
          </w:tcPr>
          <w:p w14:paraId="5BFFCCFA"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23.20%</w:t>
            </w:r>
          </w:p>
        </w:tc>
        <w:tc>
          <w:tcPr>
            <w:tcW w:w="955" w:type="dxa"/>
            <w:shd w:val="clear" w:color="auto" w:fill="FFFFFF" w:themeFill="background1"/>
            <w:noWrap/>
            <w:vAlign w:val="bottom"/>
            <w:hideMark/>
          </w:tcPr>
          <w:p w14:paraId="7F6771D3"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11.10%</w:t>
            </w:r>
          </w:p>
        </w:tc>
        <w:tc>
          <w:tcPr>
            <w:tcW w:w="785" w:type="dxa"/>
            <w:shd w:val="clear" w:color="auto" w:fill="FFFFFF" w:themeFill="background1"/>
            <w:noWrap/>
            <w:vAlign w:val="bottom"/>
            <w:hideMark/>
          </w:tcPr>
          <w:p w14:paraId="3E86B825"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19.50%</w:t>
            </w:r>
          </w:p>
        </w:tc>
        <w:tc>
          <w:tcPr>
            <w:tcW w:w="810" w:type="dxa"/>
            <w:shd w:val="clear" w:color="auto" w:fill="FFFFFF" w:themeFill="background1"/>
            <w:noWrap/>
            <w:vAlign w:val="bottom"/>
            <w:hideMark/>
          </w:tcPr>
          <w:p w14:paraId="51532D18" w14:textId="77777777" w:rsidR="008E0B5B" w:rsidRPr="008E0B5B" w:rsidRDefault="008E0B5B" w:rsidP="008E0B5B">
            <w:pPr>
              <w:spacing w:after="0" w:line="240" w:lineRule="auto"/>
              <w:jc w:val="right"/>
              <w:rPr>
                <w:rFonts w:eastAsia="Times New Roman" w:cs="Arial"/>
                <w:color w:val="000000"/>
                <w:sz w:val="16"/>
                <w:szCs w:val="16"/>
                <w:lang w:eastAsia="en-AU"/>
              </w:rPr>
            </w:pPr>
            <w:r w:rsidRPr="008E0B5B">
              <w:rPr>
                <w:rFonts w:eastAsia="Times New Roman" w:cs="Arial"/>
                <w:color w:val="000000"/>
                <w:sz w:val="16"/>
                <w:szCs w:val="16"/>
                <w:lang w:eastAsia="en-AU"/>
              </w:rPr>
              <w:t>29.70%</w:t>
            </w:r>
          </w:p>
        </w:tc>
      </w:tr>
    </w:tbl>
    <w:p w14:paraId="67D6C601" w14:textId="1AFE9A5A" w:rsidR="008E0B5B" w:rsidRPr="008E0B5B" w:rsidRDefault="008E0B5B" w:rsidP="008E0B5B">
      <w:pPr>
        <w:rPr>
          <w:lang w:val="en-US"/>
        </w:rPr>
      </w:pPr>
    </w:p>
    <w:p w14:paraId="53560EE7" w14:textId="02D26A58" w:rsidR="0004762E" w:rsidRPr="0004762E" w:rsidRDefault="0004762E" w:rsidP="0004762E">
      <w:pPr>
        <w:rPr>
          <w:lang w:val="en-US"/>
        </w:rPr>
      </w:pPr>
    </w:p>
    <w:p w14:paraId="710D8D09" w14:textId="06C0F155" w:rsidR="00BD00D7" w:rsidRDefault="00BD00D7" w:rsidP="00A6421D">
      <w:pPr>
        <w:pStyle w:val="Caption"/>
        <w:keepNext/>
      </w:pPr>
    </w:p>
    <w:p w14:paraId="3D4F8F69" w14:textId="6684EB49" w:rsidR="00A6421D" w:rsidRDefault="00A6421D" w:rsidP="00A6421D">
      <w:pPr>
        <w:pStyle w:val="Caption"/>
        <w:keepNext/>
      </w:pPr>
    </w:p>
    <w:p w14:paraId="1EE5C407" w14:textId="77777777" w:rsidR="00C0131D" w:rsidRDefault="00C0131D" w:rsidP="00C0131D">
      <w:pPr>
        <w:rPr>
          <w:lang w:val="en-US"/>
        </w:rPr>
      </w:pPr>
    </w:p>
    <w:p w14:paraId="1A1A3051" w14:textId="77777777" w:rsidR="00C0131D" w:rsidRDefault="00C0131D" w:rsidP="00C0131D">
      <w:pPr>
        <w:rPr>
          <w:lang w:val="en-US"/>
        </w:rPr>
      </w:pPr>
    </w:p>
    <w:p w14:paraId="4AF82F8D" w14:textId="77777777" w:rsidR="00C0131D" w:rsidRDefault="00C0131D" w:rsidP="00C0131D">
      <w:pPr>
        <w:rPr>
          <w:lang w:val="en-US"/>
        </w:rPr>
      </w:pPr>
    </w:p>
    <w:p w14:paraId="28C95E0A" w14:textId="77777777" w:rsidR="00C0131D" w:rsidRDefault="00C0131D" w:rsidP="00C0131D">
      <w:pPr>
        <w:rPr>
          <w:lang w:val="en-US"/>
        </w:rPr>
      </w:pPr>
    </w:p>
    <w:p w14:paraId="618AE7F5" w14:textId="77777777" w:rsidR="00C0131D" w:rsidRDefault="00C0131D" w:rsidP="00C0131D">
      <w:pPr>
        <w:rPr>
          <w:lang w:val="en-US"/>
        </w:rPr>
      </w:pPr>
    </w:p>
    <w:p w14:paraId="555C45CB" w14:textId="77777777" w:rsidR="00C0131D" w:rsidRDefault="00C0131D" w:rsidP="00C0131D">
      <w:pPr>
        <w:rPr>
          <w:lang w:val="en-US"/>
        </w:rPr>
      </w:pPr>
    </w:p>
    <w:p w14:paraId="051ACE91" w14:textId="77777777" w:rsidR="00C0131D" w:rsidRDefault="00C0131D" w:rsidP="00C0131D">
      <w:pPr>
        <w:rPr>
          <w:lang w:val="en-US"/>
        </w:rPr>
      </w:pPr>
    </w:p>
    <w:p w14:paraId="0EF975A4" w14:textId="77777777" w:rsidR="00C0131D" w:rsidRDefault="00C0131D" w:rsidP="00C0131D">
      <w:pPr>
        <w:rPr>
          <w:lang w:val="en-US"/>
        </w:rPr>
      </w:pPr>
    </w:p>
    <w:p w14:paraId="36FD22CC" w14:textId="77777777" w:rsidR="00C0131D" w:rsidRDefault="00C0131D" w:rsidP="00C0131D">
      <w:pPr>
        <w:rPr>
          <w:lang w:val="en-US"/>
        </w:rPr>
      </w:pPr>
    </w:p>
    <w:p w14:paraId="54B93ABB" w14:textId="77777777" w:rsidR="00C0131D" w:rsidRDefault="00C0131D" w:rsidP="00C0131D">
      <w:pPr>
        <w:rPr>
          <w:lang w:val="en-US"/>
        </w:rPr>
      </w:pPr>
    </w:p>
    <w:p w14:paraId="15750992" w14:textId="77777777" w:rsidR="00C0131D" w:rsidRDefault="00C0131D" w:rsidP="00C0131D">
      <w:pPr>
        <w:rPr>
          <w:lang w:val="en-US"/>
        </w:rPr>
      </w:pPr>
    </w:p>
    <w:p w14:paraId="10EF2618" w14:textId="77777777" w:rsidR="00C0131D" w:rsidRDefault="00C0131D" w:rsidP="00C0131D">
      <w:pPr>
        <w:rPr>
          <w:lang w:val="en-US"/>
        </w:rPr>
      </w:pPr>
    </w:p>
    <w:p w14:paraId="50E806E9" w14:textId="77777777" w:rsidR="00C0131D" w:rsidRPr="00C0131D" w:rsidRDefault="00C0131D" w:rsidP="00C0131D">
      <w:pPr>
        <w:rPr>
          <w:lang w:val="en-US"/>
        </w:rPr>
      </w:pPr>
    </w:p>
    <w:p w14:paraId="267D4089" w14:textId="77777777" w:rsidR="00105C3E" w:rsidRDefault="00105C3E" w:rsidP="007751C2">
      <w:pPr>
        <w:pStyle w:val="Source"/>
      </w:pPr>
    </w:p>
    <w:p w14:paraId="303D7F78" w14:textId="0A2E1F8E" w:rsidR="00A6421D" w:rsidRPr="007751C2" w:rsidRDefault="00A6421D" w:rsidP="007751C2">
      <w:pPr>
        <w:pStyle w:val="Source"/>
      </w:pPr>
      <w:r w:rsidRPr="007751C2">
        <w:t>Source: ABS (2021)</w:t>
      </w:r>
      <w:r w:rsidR="00474C79" w:rsidRPr="007751C2">
        <w:t xml:space="preserve"> Labour Force Status (LFSP),</w:t>
      </w:r>
      <w:r w:rsidRPr="007751C2">
        <w:t xml:space="preserve"> </w:t>
      </w:r>
      <w:r w:rsidR="00474C79" w:rsidRPr="007751C2">
        <w:t>Occupation (OCCP) and Industry of Employment (INDP)</w:t>
      </w:r>
      <w:r w:rsidR="00D35676" w:rsidRPr="007751C2">
        <w:t xml:space="preserve"> by Level of Highest Educational Attainment (</w:t>
      </w:r>
      <w:r w:rsidRPr="007751C2">
        <w:t>HEAP</w:t>
      </w:r>
      <w:r w:rsidR="00D35676" w:rsidRPr="007751C2">
        <w:t>),</w:t>
      </w:r>
      <w:r w:rsidRPr="007751C2">
        <w:t xml:space="preserve"> [Census TableBuilder], accessed 25 March 2024. Due to non-stated responses, not all categories equal 100%. </w:t>
      </w:r>
    </w:p>
    <w:p w14:paraId="424FEDA5" w14:textId="4498E74D" w:rsidR="00A6421D" w:rsidRDefault="00A6421D" w:rsidP="00E16D4F">
      <w:pPr>
        <w:pStyle w:val="Bodycopy"/>
      </w:pPr>
      <w:r w:rsidRPr="10621F33">
        <w:lastRenderedPageBreak/>
        <w:t xml:space="preserve">NCVER also found that </w:t>
      </w:r>
      <w:r>
        <w:t xml:space="preserve">public sector </w:t>
      </w:r>
      <w:r w:rsidR="00CC6D50">
        <w:t>VET teachers</w:t>
      </w:r>
      <w:r w:rsidRPr="10621F33">
        <w:t xml:space="preserve"> had higher rates of teaching qualifications than </w:t>
      </w:r>
      <w:r>
        <w:t>teachers at</w:t>
      </w:r>
      <w:r w:rsidRPr="10621F33">
        <w:t xml:space="preserve"> independent/private RTOs at both the Cert</w:t>
      </w:r>
      <w:r>
        <w:t>ificate</w:t>
      </w:r>
      <w:r w:rsidRPr="10621F33">
        <w:t xml:space="preserve"> IV TAE and diploma or higher qualification level (NCVER 2020).</w:t>
      </w:r>
      <w:r w:rsidRPr="10621F33">
        <w:rPr>
          <w:rStyle w:val="EndnoteReference"/>
        </w:rPr>
        <w:endnoteReference w:id="24"/>
      </w:r>
      <w:r w:rsidRPr="10621F33">
        <w:t xml:space="preserve"> For example, 19.3% of teachers in TAFE held a diploma or higher teaching qualification compare</w:t>
      </w:r>
      <w:r>
        <w:t>d</w:t>
      </w:r>
      <w:r w:rsidRPr="10621F33">
        <w:t xml:space="preserve"> to 15.0% in private/independent RTO</w:t>
      </w:r>
      <w:r w:rsidR="007F64CD">
        <w:t>s</w:t>
      </w:r>
      <w:r w:rsidRPr="10621F33">
        <w:t xml:space="preserve">. More recent data provided </w:t>
      </w:r>
      <w:r w:rsidR="009C1D0D">
        <w:t>by</w:t>
      </w:r>
      <w:r w:rsidRPr="10621F33">
        <w:t xml:space="preserve"> TAFE Victoria for this study shows Victorian TAFE employees </w:t>
      </w:r>
      <w:r>
        <w:t>are an even</w:t>
      </w:r>
      <w:r w:rsidRPr="10621F33">
        <w:t xml:space="preserve"> more </w:t>
      </w:r>
      <w:r>
        <w:t xml:space="preserve">highly </w:t>
      </w:r>
      <w:r w:rsidRPr="10621F33">
        <w:t>qualified</w:t>
      </w:r>
      <w:r>
        <w:t xml:space="preserve"> workforce,</w:t>
      </w:r>
      <w:r w:rsidRPr="10621F33">
        <w:t xml:space="preserve"> with 33.1% holding a diploma and above as their teaching qualification and 60.4% holding the Certificate IV TAE. </w:t>
      </w:r>
    </w:p>
    <w:p w14:paraId="3863B092" w14:textId="10F95D57" w:rsidR="00A6421D" w:rsidRPr="00C0131D" w:rsidRDefault="006730A7" w:rsidP="00E16D4F">
      <w:pPr>
        <w:pStyle w:val="Bodycopy"/>
        <w:rPr>
          <w:lang w:val="en-GB"/>
        </w:rPr>
      </w:pPr>
      <w:hyperlink w:anchor="Figure_2_8" w:history="1">
        <w:r w:rsidR="00A6421D" w:rsidRPr="005D6A89">
          <w:rPr>
            <w:rStyle w:val="Hyperlink"/>
          </w:rPr>
          <w:t>Figure 2.8</w:t>
        </w:r>
      </w:hyperlink>
      <w:r w:rsidR="00A6421D" w:rsidRPr="2FBCE803">
        <w:t xml:space="preserve"> shows</w:t>
      </w:r>
      <w:r w:rsidR="00A6421D">
        <w:t xml:space="preserve">, across </w:t>
      </w:r>
      <w:r w:rsidR="00A6421D" w:rsidRPr="4B5939E5">
        <w:t xml:space="preserve">all </w:t>
      </w:r>
      <w:r w:rsidR="00A6421D">
        <w:t>levels of qualifications,</w:t>
      </w:r>
      <w:r w:rsidR="00A6421D" w:rsidRPr="2FBCE803">
        <w:t xml:space="preserve"> 3</w:t>
      </w:r>
      <w:r w:rsidR="00A6421D">
        <w:t>5.7</w:t>
      </w:r>
      <w:r w:rsidR="00A6421D" w:rsidRPr="2FBCE803">
        <w:t>%</w:t>
      </w:r>
      <w:r w:rsidR="00A6421D">
        <w:t xml:space="preserve"> of Vocational Education Teachers</w:t>
      </w:r>
      <w:r w:rsidR="00A6421D" w:rsidRPr="2FBCE803">
        <w:t xml:space="preserve"> reported their field of study is Education, </w:t>
      </w:r>
      <w:r w:rsidR="00A6421D">
        <w:t xml:space="preserve">and remaining </w:t>
      </w:r>
      <w:r w:rsidR="00A6421D" w:rsidRPr="2FBCE803">
        <w:t xml:space="preserve">fields are spread across other industries that align with some of the common </w:t>
      </w:r>
      <w:r w:rsidR="00A6421D" w:rsidRPr="71A5BC0C">
        <w:t>qualifications.</w:t>
      </w:r>
      <w:r w:rsidR="00A6421D">
        <w:t xml:space="preserve"> </w:t>
      </w:r>
      <w:r w:rsidR="00A6421D" w:rsidRPr="151E15F1">
        <w:t>Later in the chapter</w:t>
      </w:r>
      <w:r w:rsidR="00A6421D" w:rsidRPr="6BBCE56A">
        <w:t xml:space="preserve">, we highlight the need for any future data collection to prioritise mapping and understanding </w:t>
      </w:r>
      <w:r w:rsidR="00A6421D" w:rsidRPr="6BBCE56A" w:rsidDel="0048204B">
        <w:t xml:space="preserve">the </w:t>
      </w:r>
      <w:r w:rsidR="00A6421D" w:rsidRPr="6BBCE56A">
        <w:t xml:space="preserve">VET workforce need for dual </w:t>
      </w:r>
      <w:r w:rsidR="00A6421D" w:rsidRPr="471FF558">
        <w:t xml:space="preserve">vocational and </w:t>
      </w:r>
      <w:r w:rsidR="00A6421D" w:rsidRPr="5FD95F5F">
        <w:t xml:space="preserve">educational competencies and </w:t>
      </w:r>
      <w:r w:rsidR="00A6421D" w:rsidRPr="696805A8">
        <w:t>qualifications</w:t>
      </w:r>
      <w:r w:rsidR="00A6421D" w:rsidRPr="471FF558">
        <w:t xml:space="preserve">. </w:t>
      </w:r>
    </w:p>
    <w:p w14:paraId="12DEFC31" w14:textId="77777777" w:rsidR="00D30370" w:rsidRDefault="00C0131D" w:rsidP="00D30370">
      <w:pPr>
        <w:pStyle w:val="Caption"/>
        <w:keepNext/>
        <w:spacing w:before="240" w:after="120"/>
      </w:pPr>
      <w:bookmarkStart w:id="105" w:name="Figure_2_8"/>
      <w:r>
        <w:t xml:space="preserve">Figure </w:t>
      </w:r>
      <w:r w:rsidR="006558DC">
        <w:fldChar w:fldCharType="begin"/>
      </w:r>
      <w:r w:rsidR="006558DC">
        <w:instrText xml:space="preserve"> STYLEREF 1 \s </w:instrText>
      </w:r>
      <w:r w:rsidR="006558DC">
        <w:fldChar w:fldCharType="separate"/>
      </w:r>
      <w:r w:rsidR="00E7704E">
        <w:rPr>
          <w:noProof/>
        </w:rPr>
        <w:t>2</w:t>
      </w:r>
      <w:r w:rsidR="006558DC">
        <w:fldChar w:fldCharType="end"/>
      </w:r>
      <w:r w:rsidR="00EA1F63">
        <w:t>.</w:t>
      </w:r>
      <w:r w:rsidR="006558DC">
        <w:fldChar w:fldCharType="begin"/>
      </w:r>
      <w:r w:rsidR="006558DC">
        <w:instrText xml:space="preserve"> SEQ Figure \* ARABIC \s 1 </w:instrText>
      </w:r>
      <w:r w:rsidR="006558DC">
        <w:fldChar w:fldCharType="separate"/>
      </w:r>
      <w:r w:rsidR="00E7704E">
        <w:rPr>
          <w:noProof/>
        </w:rPr>
        <w:t>8</w:t>
      </w:r>
      <w:r w:rsidR="006558DC">
        <w:fldChar w:fldCharType="end"/>
      </w:r>
      <w:r>
        <w:t xml:space="preserve"> Vocational Education Teachers' field of study of highest qualification</w:t>
      </w:r>
      <w:bookmarkEnd w:id="105"/>
    </w:p>
    <w:p w14:paraId="147F2A8C" w14:textId="6ECB934E" w:rsidR="00B879CA" w:rsidRPr="00B879CA" w:rsidRDefault="00D30370" w:rsidP="00A74801">
      <w:pPr>
        <w:rPr>
          <w:noProof/>
        </w:rPr>
      </w:pPr>
      <w:r>
        <w:rPr>
          <w:noProof/>
        </w:rPr>
        <w:drawing>
          <wp:inline distT="0" distB="0" distL="0" distR="0" wp14:anchorId="537C28BD" wp14:editId="34FB39EE">
            <wp:extent cx="5652000" cy="2592000"/>
            <wp:effectExtent l="19050" t="19050" r="25400" b="18415"/>
            <wp:docPr id="445011274" name="Picture 445011274" descr="Education - 35.7%&#10;Management and Commerce - 11.8%&#10;Society and Culture - 9.6%&#10;Engineering and Related Technologies - 8.5%&#10;Health - 7.1%&#10;Food, Hospitality and Personal Services - 5.7%&#10;Creative Arts - 4.4%&#10;Architecture and Building - 3.5%&#10;Not applicable - 3.3%&#10;Field of study inadequately described - 2.4%&#10;Natural and Physical Sciences - 2.2%&#10;Information Technology - 2.1%&#10;Agriculture, Environmental and Related Studies - 2.0%&#10;Field of study not stated - 1.1%&#10;Mixed Field Programmes - 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11274" name="Picture 445011274" descr="Education - 35.7%&#10;Management and Commerce - 11.8%&#10;Society and Culture - 9.6%&#10;Engineering and Related Technologies - 8.5%&#10;Health - 7.1%&#10;Food, Hospitality and Personal Services - 5.7%&#10;Creative Arts - 4.4%&#10;Architecture and Building - 3.5%&#10;Not applicable - 3.3%&#10;Field of study inadequately described - 2.4%&#10;Natural and Physical Sciences - 2.2%&#10;Information Technology - 2.1%&#10;Agriculture, Environmental and Related Studies - 2.0%&#10;Field of study not stated - 1.1%&#10;Mixed Field Programmes - 0.5%&#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52000" cy="2592000"/>
                    </a:xfrm>
                    <a:prstGeom prst="rect">
                      <a:avLst/>
                    </a:prstGeom>
                    <a:solidFill>
                      <a:schemeClr val="bg1"/>
                    </a:solidFill>
                    <a:ln w="6350">
                      <a:solidFill>
                        <a:schemeClr val="bg1">
                          <a:lumMod val="75000"/>
                        </a:schemeClr>
                      </a:solidFill>
                    </a:ln>
                  </pic:spPr>
                </pic:pic>
              </a:graphicData>
            </a:graphic>
          </wp:inline>
        </w:drawing>
      </w:r>
    </w:p>
    <w:p w14:paraId="06E757D4" w14:textId="666AC6CA" w:rsidR="00BA44CF" w:rsidRPr="00BA44CF" w:rsidRDefault="00A6421D" w:rsidP="002D5D1C">
      <w:pPr>
        <w:pStyle w:val="Source"/>
        <w:spacing w:before="0"/>
      </w:pPr>
      <w:r>
        <w:t xml:space="preserve">Source: ABS (2021) </w:t>
      </w:r>
      <w:r w:rsidR="00D35676">
        <w:t>Occupation (OCCP) and Industry of Employment (INDP) by</w:t>
      </w:r>
      <w:r w:rsidR="00E0140E">
        <w:t xml:space="preserve"> Field of Study of Non-School Qualification (</w:t>
      </w:r>
      <w:r>
        <w:t>QALFP</w:t>
      </w:r>
      <w:r w:rsidR="00E0140E">
        <w:t>),</w:t>
      </w:r>
      <w:r>
        <w:t xml:space="preserve"> [Census TableBuilder], accessed 20 December 2023. Note: Does not sum to 100% due</w:t>
      </w:r>
      <w:r w:rsidRPr="00DF200B">
        <w:t xml:space="preserve"> to non-stated responses</w:t>
      </w:r>
      <w:r>
        <w:t>.</w:t>
      </w:r>
    </w:p>
    <w:p w14:paraId="4CC2D53D" w14:textId="77777777" w:rsidR="00A6421D" w:rsidRDefault="00A6421D" w:rsidP="0015667E">
      <w:pPr>
        <w:pStyle w:val="Heading3"/>
        <w:spacing w:before="240"/>
      </w:pPr>
      <w:r>
        <w:t>Born Overseas and language other than English spoken at home</w:t>
      </w:r>
    </w:p>
    <w:p w14:paraId="697B64D7" w14:textId="1964F496" w:rsidR="00A6421D" w:rsidRDefault="00A6421D" w:rsidP="00956CBE">
      <w:pPr>
        <w:pStyle w:val="Bodycopy"/>
      </w:pPr>
      <w:r>
        <w:t xml:space="preserve">Around 33.0% of the VET workforce was born overseas, like 32.4% of the Australian </w:t>
      </w:r>
      <w:r w:rsidR="007D584E">
        <w:t>w</w:t>
      </w:r>
      <w:r>
        <w:t xml:space="preserve">orkforce. The highest proportions are from North-West Europe (8.3%) and Southern and Central Asia (6.3%). By VET workforce segment, the highest proportion of workers born overseas is in Administration and Operations (35.7%), followed by Quality Assurance and Compliance (35.5%), with the Leadership segment (34.7%) also higher than the general Australian workforce. The lowest proportions are in Curriculum and Learning Design (29.9%) and Learning Support (30.2%), with the </w:t>
      </w:r>
      <w:r w:rsidR="00CB29F6">
        <w:t>Teach, Train, and Assess</w:t>
      </w:r>
      <w:r>
        <w:t xml:space="preserve"> segment (31.4%) also lower than the general Australian workforce</w:t>
      </w:r>
      <w:r w:rsidR="00462071">
        <w:t xml:space="preserve"> (see </w:t>
      </w:r>
      <w:hyperlink w:anchor="Table_2_2" w:history="1">
        <w:r w:rsidR="00462071" w:rsidRPr="009014D1">
          <w:rPr>
            <w:rStyle w:val="Hyperlink"/>
          </w:rPr>
          <w:t>Table 2.2</w:t>
        </w:r>
      </w:hyperlink>
      <w:r w:rsidR="00462071">
        <w:t>)</w:t>
      </w:r>
      <w:r>
        <w:t xml:space="preserve">. </w:t>
      </w:r>
    </w:p>
    <w:p w14:paraId="3DD88A96" w14:textId="2F3719BD" w:rsidR="00A6421D" w:rsidRPr="00717A3F" w:rsidRDefault="00A6421D" w:rsidP="00956CBE">
      <w:pPr>
        <w:pStyle w:val="Bodycopy"/>
      </w:pPr>
      <w:r w:rsidRPr="00275B74">
        <w:rPr>
          <w:color w:val="auto"/>
        </w:rPr>
        <w:t>Compared to the wider economy where 10.9% of the workforce arrived from overseas in the decade 2011</w:t>
      </w:r>
      <w:r w:rsidRPr="00275B74">
        <w:rPr>
          <w:color w:val="auto"/>
        </w:rPr>
        <w:noBreakHyphen/>
        <w:t xml:space="preserve">2021, only 8.0% of the VET workforce migrated to Australia in that same period. </w:t>
      </w:r>
      <w:r>
        <w:t xml:space="preserve">The VET workforce is less likely to speak a language other than English at home (20.5% compared to Australian workforce proportion at 23.4%). The lowest proportions are </w:t>
      </w:r>
      <w:r w:rsidR="00B26DEA">
        <w:lastRenderedPageBreak/>
        <w:t xml:space="preserve">in those most heavily </w:t>
      </w:r>
      <w:r w:rsidR="0056421F">
        <w:t>connected to</w:t>
      </w:r>
      <w:r w:rsidR="00B26DEA">
        <w:t xml:space="preserve"> teaching: </w:t>
      </w:r>
      <w:r>
        <w:t xml:space="preserve">Curriculum Development and Learning Design at 16.8% and the </w:t>
      </w:r>
      <w:r w:rsidR="00CB29F6">
        <w:t>Teach, Train, and Assess</w:t>
      </w:r>
      <w:r>
        <w:t xml:space="preserve">ment segment at 18.2% while the Administration and Operations segment is a little more likely to speak a language other than English at home (24.5%). </w:t>
      </w:r>
    </w:p>
    <w:p w14:paraId="37496759" w14:textId="4F0C0DDE" w:rsidR="00A6421D" w:rsidRDefault="00A6421D" w:rsidP="00A6421D">
      <w:pPr>
        <w:pStyle w:val="Heading3"/>
      </w:pPr>
      <w:r>
        <w:t>First Nations</w:t>
      </w:r>
    </w:p>
    <w:p w14:paraId="7FD39EED" w14:textId="2EB66C8D" w:rsidR="00956CBE" w:rsidRDefault="00A6421D" w:rsidP="00956CBE">
      <w:pPr>
        <w:pStyle w:val="Bodycopy"/>
      </w:pPr>
      <w:r>
        <w:t xml:space="preserve">2021 Census data indicates that 2.1% of the VET workforce identifies as First Nations and only 1.8% in the </w:t>
      </w:r>
      <w:r w:rsidR="00CB29F6">
        <w:t>Teach, Train, and Assess</w:t>
      </w:r>
      <w:r>
        <w:t xml:space="preserve"> segment. Both are lower than the wider Australian workforce where 2.2% of workers identify as First Nations.  A lower proportion of </w:t>
      </w:r>
      <w:r w:rsidR="00F13473">
        <w:t>Secondary school teachers</w:t>
      </w:r>
      <w:r>
        <w:t xml:space="preserve"> identify as First Nations (1.2%) compared to </w:t>
      </w:r>
      <w:r w:rsidR="00CC6D50">
        <w:t>VET teachers</w:t>
      </w:r>
      <w:r>
        <w:t xml:space="preserve">. Only the Curriculum and Learning Design (2.3%) and Learning Support (6.0%) segments report a higher proportion of First Nations staff than either the total VET workforce or the Australian workforce figures. </w:t>
      </w:r>
    </w:p>
    <w:p w14:paraId="160E866B" w14:textId="722B3D17" w:rsidR="00A6421D" w:rsidRDefault="00A6421D" w:rsidP="00956CBE">
      <w:pPr>
        <w:pStyle w:val="Bodycopy"/>
      </w:pPr>
      <w:r>
        <w:t xml:space="preserve">The inclusion of all Aboriginal and Torres Strait Islander Educator Workers in the overall VET workforce in the Learning Support segment may explain this higher First Nations representation. Other segments are below the overall Australian or VET workforce average, most notably the Quality and Compliance segment which shows no First Nations workers at all. By contrast, PLIDA data shows that First Nations peoples make up 3.1% of the VET workforce in 2020/21. JSA does not currently have First Nations PLIDA data at Australian workforce level for comparison. </w:t>
      </w:r>
    </w:p>
    <w:p w14:paraId="46477C7B" w14:textId="45AE6835" w:rsidR="00A6421D" w:rsidRDefault="00A6421D" w:rsidP="00956CBE">
      <w:pPr>
        <w:pStyle w:val="Bodycopy"/>
      </w:pPr>
      <w:r>
        <w:t>The VET teaching segment shows a slightly lower but steady First Nations cohort over the decade from</w:t>
      </w:r>
      <w:r w:rsidR="006B4707">
        <w:rPr>
          <w:color w:val="FF0000"/>
        </w:rPr>
        <w:t xml:space="preserve"> </w:t>
      </w:r>
      <w:r w:rsidRPr="4E7A684B">
        <w:rPr>
          <w:color w:val="auto"/>
        </w:rPr>
        <w:t>201</w:t>
      </w:r>
      <w:r w:rsidR="09818CA0" w:rsidRPr="4E7A684B">
        <w:rPr>
          <w:color w:val="auto"/>
        </w:rPr>
        <w:t>0</w:t>
      </w:r>
      <w:r w:rsidRPr="4E7A684B">
        <w:rPr>
          <w:color w:val="auto"/>
        </w:rPr>
        <w:t>/1</w:t>
      </w:r>
      <w:r w:rsidR="092FAF2A" w:rsidRPr="4E7A684B">
        <w:rPr>
          <w:color w:val="auto"/>
        </w:rPr>
        <w:t>1</w:t>
      </w:r>
      <w:r w:rsidRPr="4E7A684B">
        <w:rPr>
          <w:color w:val="auto"/>
        </w:rPr>
        <w:t xml:space="preserve"> </w:t>
      </w:r>
      <w:r>
        <w:t xml:space="preserve">growing from 2.0% to 2.3% in 2020/21 (see </w:t>
      </w:r>
      <w:hyperlink w:anchor="Figure_2_9" w:history="1">
        <w:r w:rsidRPr="00E06A88">
          <w:rPr>
            <w:rStyle w:val="Hyperlink"/>
          </w:rPr>
          <w:t>Figure 2.9</w:t>
        </w:r>
      </w:hyperlink>
      <w:r>
        <w:t xml:space="preserve">), still higher than the Australian workforce at 2.2%, and on par with the Australian Labour Force overall at 2.3%. </w:t>
      </w:r>
    </w:p>
    <w:p w14:paraId="3F7F4AB5" w14:textId="79DDE5AB" w:rsidR="00A6421D" w:rsidRDefault="00745839" w:rsidP="00A6421D">
      <w:pPr>
        <w:pStyle w:val="Caption"/>
        <w:keepNext/>
      </w:pPr>
      <w:bookmarkStart w:id="106" w:name="Figure_2_9"/>
      <w:r>
        <w:rPr>
          <w:noProof/>
        </w:rPr>
        <w:drawing>
          <wp:anchor distT="0" distB="0" distL="114300" distR="114300" simplePos="0" relativeHeight="251658245" behindDoc="0" locked="0" layoutInCell="1" allowOverlap="0" wp14:anchorId="0623FC88" wp14:editId="5DDC64BE">
            <wp:simplePos x="0" y="0"/>
            <wp:positionH relativeFrom="margin">
              <wp:posOffset>-14605</wp:posOffset>
            </wp:positionH>
            <wp:positionV relativeFrom="paragraph">
              <wp:posOffset>351790</wp:posOffset>
            </wp:positionV>
            <wp:extent cx="5648325" cy="3563620"/>
            <wp:effectExtent l="19050" t="19050" r="28575" b="17780"/>
            <wp:wrapNone/>
            <wp:docPr id="1445295296"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295296" name="Picture 3">
                      <a:extLst>
                        <a:ext uri="{C183D7F6-B498-43B3-948B-1728B52AA6E4}">
                          <adec:decorative xmlns:adec="http://schemas.microsoft.com/office/drawing/2017/decorative" val="1"/>
                        </a:ext>
                      </a:extLst>
                    </pic:cNvPr>
                    <pic:cNvPicPr/>
                  </pic:nvPicPr>
                  <pic:blipFill rotWithShape="1">
                    <a:blip r:embed="rId28" cstate="print">
                      <a:extLst>
                        <a:ext uri="{28A0092B-C50C-407E-A947-70E740481C1C}">
                          <a14:useLocalDpi xmlns:a14="http://schemas.microsoft.com/office/drawing/2010/main" val="0"/>
                        </a:ext>
                      </a:extLst>
                    </a:blip>
                    <a:srcRect l="607" t="2261" r="1849" b="295"/>
                    <a:stretch/>
                  </pic:blipFill>
                  <pic:spPr bwMode="auto">
                    <a:xfrm>
                      <a:off x="0" y="0"/>
                      <a:ext cx="5648325" cy="3563620"/>
                    </a:xfrm>
                    <a:prstGeom prst="rect">
                      <a:avLst/>
                    </a:prstGeom>
                    <a:solidFill>
                      <a:schemeClr val="bg1"/>
                    </a:solidFill>
                    <a:ln w="635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421D">
        <w:t xml:space="preserve">Figure </w:t>
      </w:r>
      <w:r w:rsidR="006558DC">
        <w:fldChar w:fldCharType="begin"/>
      </w:r>
      <w:r w:rsidR="006558DC">
        <w:instrText xml:space="preserve"> STYLEREF 1 \s </w:instrText>
      </w:r>
      <w:r w:rsidR="006558DC">
        <w:fldChar w:fldCharType="separate"/>
      </w:r>
      <w:r w:rsidR="00E7704E">
        <w:rPr>
          <w:noProof/>
        </w:rPr>
        <w:t>2</w:t>
      </w:r>
      <w:r w:rsidR="006558DC">
        <w:fldChar w:fldCharType="end"/>
      </w:r>
      <w:r w:rsidR="00EA1F63">
        <w:t>.</w:t>
      </w:r>
      <w:r w:rsidR="006558DC">
        <w:fldChar w:fldCharType="begin"/>
      </w:r>
      <w:r w:rsidR="006558DC">
        <w:instrText xml:space="preserve"> SEQ Figure \* ARABIC \s 1 </w:instrText>
      </w:r>
      <w:r w:rsidR="006558DC">
        <w:fldChar w:fldCharType="separate"/>
      </w:r>
      <w:r w:rsidR="00E7704E">
        <w:rPr>
          <w:noProof/>
        </w:rPr>
        <w:t>9</w:t>
      </w:r>
      <w:r w:rsidR="006558DC">
        <w:fldChar w:fldCharType="end"/>
      </w:r>
      <w:r w:rsidR="00A6421D">
        <w:t xml:space="preserve"> Proportion of First Nations </w:t>
      </w:r>
      <w:r w:rsidR="00CC6D50">
        <w:t>VET teachers</w:t>
      </w:r>
      <w:r w:rsidR="00A6421D">
        <w:t xml:space="preserve"> and </w:t>
      </w:r>
      <w:r w:rsidR="001D61E8">
        <w:t>w</w:t>
      </w:r>
      <w:r w:rsidR="00A6421D">
        <w:t>orkforce betwe</w:t>
      </w:r>
      <w:r w:rsidR="00A6421D" w:rsidRPr="4E7A684B">
        <w:rPr>
          <w:color w:val="auto"/>
        </w:rPr>
        <w:t>en 2010/11-2</w:t>
      </w:r>
      <w:r w:rsidR="00A6421D">
        <w:t>020/21</w:t>
      </w:r>
    </w:p>
    <w:tbl>
      <w:tblPr>
        <w:tblpPr w:leftFromText="180" w:rightFromText="180" w:vertAnchor="text" w:horzAnchor="margin" w:tblpY="160"/>
        <w:tblW w:w="4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Figure 2.9 Proportion of First Nations VET Teachers and Workforce between 2010/11-2020/21"/>
      </w:tblPr>
      <w:tblGrid>
        <w:gridCol w:w="730"/>
        <w:gridCol w:w="648"/>
        <w:gridCol w:w="770"/>
        <w:gridCol w:w="596"/>
        <w:gridCol w:w="596"/>
        <w:gridCol w:w="770"/>
      </w:tblGrid>
      <w:tr w:rsidR="00537B13" w:rsidRPr="00537B13" w14:paraId="19BDDF97" w14:textId="77777777" w:rsidTr="00537B13">
        <w:trPr>
          <w:trHeight w:val="113"/>
        </w:trPr>
        <w:tc>
          <w:tcPr>
            <w:tcW w:w="730" w:type="dxa"/>
            <w:shd w:val="clear" w:color="auto" w:fill="auto"/>
            <w:noWrap/>
            <w:vAlign w:val="bottom"/>
            <w:hideMark/>
          </w:tcPr>
          <w:bookmarkEnd w:id="106"/>
          <w:p w14:paraId="766D4C51" w14:textId="77777777" w:rsidR="00B5251D" w:rsidRPr="00B5251D" w:rsidRDefault="00B5251D" w:rsidP="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VET Workforce</w:t>
            </w:r>
          </w:p>
        </w:tc>
        <w:tc>
          <w:tcPr>
            <w:tcW w:w="648" w:type="dxa"/>
            <w:shd w:val="clear" w:color="auto" w:fill="auto"/>
            <w:noWrap/>
            <w:vAlign w:val="bottom"/>
            <w:hideMark/>
          </w:tcPr>
          <w:p w14:paraId="5A15B271" w14:textId="62A1A523" w:rsidR="00B5251D" w:rsidRPr="00B5251D" w:rsidRDefault="00B5251D" w:rsidP="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 xml:space="preserve">Number of </w:t>
            </w:r>
            <w:r w:rsidR="00CC6D50">
              <w:rPr>
                <w:rFonts w:asciiTheme="minorHAnsi" w:eastAsia="Times New Roman" w:hAnsiTheme="minorHAnsi" w:cstheme="minorHAnsi"/>
                <w:color w:val="000000"/>
                <w:sz w:val="10"/>
                <w:szCs w:val="10"/>
                <w:lang w:eastAsia="en-AU"/>
              </w:rPr>
              <w:t>VET teachers</w:t>
            </w:r>
          </w:p>
        </w:tc>
        <w:tc>
          <w:tcPr>
            <w:tcW w:w="770" w:type="dxa"/>
            <w:shd w:val="clear" w:color="auto" w:fill="auto"/>
            <w:noWrap/>
            <w:vAlign w:val="bottom"/>
            <w:hideMark/>
          </w:tcPr>
          <w:p w14:paraId="0D6B778A" w14:textId="77777777" w:rsidR="00B5251D" w:rsidRPr="00B5251D" w:rsidRDefault="00B5251D" w:rsidP="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Non-Indigenous</w:t>
            </w:r>
          </w:p>
        </w:tc>
        <w:tc>
          <w:tcPr>
            <w:tcW w:w="596" w:type="dxa"/>
            <w:shd w:val="clear" w:color="auto" w:fill="auto"/>
            <w:noWrap/>
            <w:vAlign w:val="bottom"/>
            <w:hideMark/>
          </w:tcPr>
          <w:p w14:paraId="6ED59E7B" w14:textId="6334F345" w:rsidR="00B5251D" w:rsidRPr="00B5251D" w:rsidRDefault="00B5251D" w:rsidP="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First Nations</w:t>
            </w:r>
          </w:p>
        </w:tc>
        <w:tc>
          <w:tcPr>
            <w:tcW w:w="596" w:type="dxa"/>
            <w:shd w:val="clear" w:color="auto" w:fill="auto"/>
            <w:noWrap/>
            <w:vAlign w:val="bottom"/>
            <w:hideMark/>
          </w:tcPr>
          <w:p w14:paraId="142DBB1D" w14:textId="77777777" w:rsidR="00B5251D" w:rsidRPr="00B5251D" w:rsidRDefault="00B5251D" w:rsidP="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First Nations</w:t>
            </w:r>
          </w:p>
        </w:tc>
        <w:tc>
          <w:tcPr>
            <w:tcW w:w="770" w:type="dxa"/>
            <w:shd w:val="clear" w:color="auto" w:fill="auto"/>
            <w:noWrap/>
            <w:vAlign w:val="bottom"/>
            <w:hideMark/>
          </w:tcPr>
          <w:p w14:paraId="397006B3" w14:textId="77777777" w:rsidR="00B5251D" w:rsidRPr="00B5251D" w:rsidRDefault="00B5251D" w:rsidP="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Non-Indigenous</w:t>
            </w:r>
          </w:p>
        </w:tc>
      </w:tr>
      <w:tr w:rsidR="00537B13" w:rsidRPr="00537B13" w14:paraId="063581FB" w14:textId="77777777" w:rsidTr="00537B13">
        <w:trPr>
          <w:trHeight w:val="113"/>
        </w:trPr>
        <w:tc>
          <w:tcPr>
            <w:tcW w:w="730" w:type="dxa"/>
            <w:shd w:val="clear" w:color="auto" w:fill="auto"/>
            <w:noWrap/>
            <w:vAlign w:val="bottom"/>
            <w:hideMark/>
          </w:tcPr>
          <w:p w14:paraId="2437602D" w14:textId="77777777" w:rsidR="00B5251D" w:rsidRPr="00B5251D" w:rsidRDefault="00B5251D" w:rsidP="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2010/11</w:t>
            </w:r>
          </w:p>
        </w:tc>
        <w:tc>
          <w:tcPr>
            <w:tcW w:w="648" w:type="dxa"/>
            <w:shd w:val="clear" w:color="auto" w:fill="auto"/>
            <w:noWrap/>
            <w:vAlign w:val="bottom"/>
            <w:hideMark/>
          </w:tcPr>
          <w:p w14:paraId="7B715A49"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102181</w:t>
            </w:r>
          </w:p>
        </w:tc>
        <w:tc>
          <w:tcPr>
            <w:tcW w:w="770" w:type="dxa"/>
            <w:shd w:val="clear" w:color="auto" w:fill="auto"/>
            <w:noWrap/>
            <w:vAlign w:val="bottom"/>
            <w:hideMark/>
          </w:tcPr>
          <w:p w14:paraId="46A1AEB6" w14:textId="49FECF7B"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98974</w:t>
            </w:r>
          </w:p>
        </w:tc>
        <w:tc>
          <w:tcPr>
            <w:tcW w:w="596" w:type="dxa"/>
            <w:shd w:val="clear" w:color="auto" w:fill="auto"/>
            <w:noWrap/>
            <w:vAlign w:val="bottom"/>
            <w:hideMark/>
          </w:tcPr>
          <w:p w14:paraId="43B85043" w14:textId="5AF2EA95"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3207</w:t>
            </w:r>
          </w:p>
        </w:tc>
        <w:tc>
          <w:tcPr>
            <w:tcW w:w="596" w:type="dxa"/>
            <w:shd w:val="clear" w:color="auto" w:fill="auto"/>
            <w:noWrap/>
            <w:vAlign w:val="bottom"/>
            <w:hideMark/>
          </w:tcPr>
          <w:p w14:paraId="10EBF382"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3.1%</w:t>
            </w:r>
          </w:p>
        </w:tc>
        <w:tc>
          <w:tcPr>
            <w:tcW w:w="770" w:type="dxa"/>
            <w:shd w:val="clear" w:color="auto" w:fill="auto"/>
            <w:noWrap/>
            <w:vAlign w:val="bottom"/>
            <w:hideMark/>
          </w:tcPr>
          <w:p w14:paraId="46E97B8C"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96.9%</w:t>
            </w:r>
          </w:p>
        </w:tc>
      </w:tr>
      <w:tr w:rsidR="00537B13" w:rsidRPr="00537B13" w14:paraId="260FAEDC" w14:textId="77777777" w:rsidTr="00537B13">
        <w:trPr>
          <w:trHeight w:val="113"/>
        </w:trPr>
        <w:tc>
          <w:tcPr>
            <w:tcW w:w="730" w:type="dxa"/>
            <w:shd w:val="clear" w:color="auto" w:fill="auto"/>
            <w:noWrap/>
            <w:vAlign w:val="bottom"/>
            <w:hideMark/>
          </w:tcPr>
          <w:p w14:paraId="4DC81EAC" w14:textId="77777777" w:rsidR="00B5251D" w:rsidRPr="00B5251D" w:rsidRDefault="00B5251D" w:rsidP="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2011/12</w:t>
            </w:r>
          </w:p>
        </w:tc>
        <w:tc>
          <w:tcPr>
            <w:tcW w:w="648" w:type="dxa"/>
            <w:shd w:val="clear" w:color="auto" w:fill="auto"/>
            <w:noWrap/>
            <w:vAlign w:val="bottom"/>
            <w:hideMark/>
          </w:tcPr>
          <w:p w14:paraId="114D97EF"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110340</w:t>
            </w:r>
          </w:p>
        </w:tc>
        <w:tc>
          <w:tcPr>
            <w:tcW w:w="770" w:type="dxa"/>
            <w:shd w:val="clear" w:color="auto" w:fill="auto"/>
            <w:noWrap/>
            <w:vAlign w:val="bottom"/>
            <w:hideMark/>
          </w:tcPr>
          <w:p w14:paraId="68CA716E" w14:textId="3B4C5176"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106930</w:t>
            </w:r>
          </w:p>
        </w:tc>
        <w:tc>
          <w:tcPr>
            <w:tcW w:w="596" w:type="dxa"/>
            <w:shd w:val="clear" w:color="auto" w:fill="auto"/>
            <w:noWrap/>
            <w:vAlign w:val="bottom"/>
            <w:hideMark/>
          </w:tcPr>
          <w:p w14:paraId="396E7F59"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3410</w:t>
            </w:r>
          </w:p>
        </w:tc>
        <w:tc>
          <w:tcPr>
            <w:tcW w:w="596" w:type="dxa"/>
            <w:shd w:val="clear" w:color="auto" w:fill="auto"/>
            <w:noWrap/>
            <w:vAlign w:val="bottom"/>
            <w:hideMark/>
          </w:tcPr>
          <w:p w14:paraId="5F1852DF"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3.1%</w:t>
            </w:r>
          </w:p>
        </w:tc>
        <w:tc>
          <w:tcPr>
            <w:tcW w:w="770" w:type="dxa"/>
            <w:shd w:val="clear" w:color="auto" w:fill="auto"/>
            <w:noWrap/>
            <w:vAlign w:val="bottom"/>
            <w:hideMark/>
          </w:tcPr>
          <w:p w14:paraId="4330112C"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96.9%</w:t>
            </w:r>
          </w:p>
        </w:tc>
      </w:tr>
      <w:tr w:rsidR="00537B13" w:rsidRPr="00537B13" w14:paraId="3ED5DF42" w14:textId="77777777" w:rsidTr="00537B13">
        <w:trPr>
          <w:trHeight w:val="113"/>
        </w:trPr>
        <w:tc>
          <w:tcPr>
            <w:tcW w:w="730" w:type="dxa"/>
            <w:shd w:val="clear" w:color="auto" w:fill="auto"/>
            <w:noWrap/>
            <w:vAlign w:val="bottom"/>
            <w:hideMark/>
          </w:tcPr>
          <w:p w14:paraId="42B3FAA6" w14:textId="77777777" w:rsidR="00B5251D" w:rsidRPr="00B5251D" w:rsidRDefault="00B5251D" w:rsidP="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2012/13</w:t>
            </w:r>
          </w:p>
        </w:tc>
        <w:tc>
          <w:tcPr>
            <w:tcW w:w="648" w:type="dxa"/>
            <w:shd w:val="clear" w:color="auto" w:fill="auto"/>
            <w:noWrap/>
            <w:vAlign w:val="bottom"/>
            <w:hideMark/>
          </w:tcPr>
          <w:p w14:paraId="0DA38C26"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108549</w:t>
            </w:r>
          </w:p>
        </w:tc>
        <w:tc>
          <w:tcPr>
            <w:tcW w:w="770" w:type="dxa"/>
            <w:shd w:val="clear" w:color="auto" w:fill="auto"/>
            <w:noWrap/>
            <w:vAlign w:val="bottom"/>
            <w:hideMark/>
          </w:tcPr>
          <w:p w14:paraId="5644391D" w14:textId="43D0C5F4"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105496</w:t>
            </w:r>
          </w:p>
        </w:tc>
        <w:tc>
          <w:tcPr>
            <w:tcW w:w="596" w:type="dxa"/>
            <w:shd w:val="clear" w:color="auto" w:fill="auto"/>
            <w:noWrap/>
            <w:vAlign w:val="bottom"/>
            <w:hideMark/>
          </w:tcPr>
          <w:p w14:paraId="124FE6ED"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3053</w:t>
            </w:r>
          </w:p>
        </w:tc>
        <w:tc>
          <w:tcPr>
            <w:tcW w:w="596" w:type="dxa"/>
            <w:shd w:val="clear" w:color="auto" w:fill="auto"/>
            <w:noWrap/>
            <w:vAlign w:val="bottom"/>
            <w:hideMark/>
          </w:tcPr>
          <w:p w14:paraId="1E5AE053"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2.8%</w:t>
            </w:r>
          </w:p>
        </w:tc>
        <w:tc>
          <w:tcPr>
            <w:tcW w:w="770" w:type="dxa"/>
            <w:shd w:val="clear" w:color="auto" w:fill="auto"/>
            <w:noWrap/>
            <w:vAlign w:val="bottom"/>
            <w:hideMark/>
          </w:tcPr>
          <w:p w14:paraId="1F5C9BE8"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97.2%</w:t>
            </w:r>
          </w:p>
        </w:tc>
      </w:tr>
      <w:tr w:rsidR="00537B13" w:rsidRPr="00537B13" w14:paraId="51218B60" w14:textId="77777777" w:rsidTr="00537B13">
        <w:trPr>
          <w:trHeight w:val="113"/>
        </w:trPr>
        <w:tc>
          <w:tcPr>
            <w:tcW w:w="730" w:type="dxa"/>
            <w:shd w:val="clear" w:color="auto" w:fill="auto"/>
            <w:noWrap/>
            <w:vAlign w:val="bottom"/>
            <w:hideMark/>
          </w:tcPr>
          <w:p w14:paraId="2DE2C7DC" w14:textId="77777777" w:rsidR="00B5251D" w:rsidRPr="00B5251D" w:rsidRDefault="00B5251D" w:rsidP="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2013/14</w:t>
            </w:r>
          </w:p>
        </w:tc>
        <w:tc>
          <w:tcPr>
            <w:tcW w:w="648" w:type="dxa"/>
            <w:shd w:val="clear" w:color="auto" w:fill="auto"/>
            <w:noWrap/>
            <w:vAlign w:val="bottom"/>
            <w:hideMark/>
          </w:tcPr>
          <w:p w14:paraId="701A1770"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110651</w:t>
            </w:r>
          </w:p>
        </w:tc>
        <w:tc>
          <w:tcPr>
            <w:tcW w:w="770" w:type="dxa"/>
            <w:shd w:val="clear" w:color="auto" w:fill="auto"/>
            <w:noWrap/>
            <w:vAlign w:val="bottom"/>
            <w:hideMark/>
          </w:tcPr>
          <w:p w14:paraId="34021FB2" w14:textId="414CDE36"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107575</w:t>
            </w:r>
          </w:p>
        </w:tc>
        <w:tc>
          <w:tcPr>
            <w:tcW w:w="596" w:type="dxa"/>
            <w:shd w:val="clear" w:color="auto" w:fill="auto"/>
            <w:noWrap/>
            <w:vAlign w:val="bottom"/>
            <w:hideMark/>
          </w:tcPr>
          <w:p w14:paraId="5086BAD1"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3076</w:t>
            </w:r>
          </w:p>
        </w:tc>
        <w:tc>
          <w:tcPr>
            <w:tcW w:w="596" w:type="dxa"/>
            <w:shd w:val="clear" w:color="auto" w:fill="auto"/>
            <w:noWrap/>
            <w:vAlign w:val="bottom"/>
            <w:hideMark/>
          </w:tcPr>
          <w:p w14:paraId="5BB9C4E2"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2.8%</w:t>
            </w:r>
          </w:p>
        </w:tc>
        <w:tc>
          <w:tcPr>
            <w:tcW w:w="770" w:type="dxa"/>
            <w:shd w:val="clear" w:color="auto" w:fill="auto"/>
            <w:noWrap/>
            <w:vAlign w:val="bottom"/>
            <w:hideMark/>
          </w:tcPr>
          <w:p w14:paraId="00C2ED98" w14:textId="003B588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97.2%</w:t>
            </w:r>
          </w:p>
        </w:tc>
      </w:tr>
      <w:tr w:rsidR="00537B13" w:rsidRPr="00537B13" w14:paraId="72973B3A" w14:textId="77777777" w:rsidTr="00537B13">
        <w:trPr>
          <w:trHeight w:val="113"/>
        </w:trPr>
        <w:tc>
          <w:tcPr>
            <w:tcW w:w="730" w:type="dxa"/>
            <w:shd w:val="clear" w:color="auto" w:fill="auto"/>
            <w:noWrap/>
            <w:vAlign w:val="bottom"/>
            <w:hideMark/>
          </w:tcPr>
          <w:p w14:paraId="0EECD3B2" w14:textId="77777777" w:rsidR="00B5251D" w:rsidRPr="00B5251D" w:rsidRDefault="00B5251D" w:rsidP="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2014/15</w:t>
            </w:r>
          </w:p>
        </w:tc>
        <w:tc>
          <w:tcPr>
            <w:tcW w:w="648" w:type="dxa"/>
            <w:shd w:val="clear" w:color="auto" w:fill="auto"/>
            <w:noWrap/>
            <w:vAlign w:val="bottom"/>
            <w:hideMark/>
          </w:tcPr>
          <w:p w14:paraId="2E820F3C"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110729</w:t>
            </w:r>
          </w:p>
        </w:tc>
        <w:tc>
          <w:tcPr>
            <w:tcW w:w="770" w:type="dxa"/>
            <w:shd w:val="clear" w:color="auto" w:fill="auto"/>
            <w:noWrap/>
            <w:vAlign w:val="bottom"/>
            <w:hideMark/>
          </w:tcPr>
          <w:p w14:paraId="4E8F33C8"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107660</w:t>
            </w:r>
          </w:p>
        </w:tc>
        <w:tc>
          <w:tcPr>
            <w:tcW w:w="596" w:type="dxa"/>
            <w:shd w:val="clear" w:color="auto" w:fill="auto"/>
            <w:noWrap/>
            <w:vAlign w:val="bottom"/>
            <w:hideMark/>
          </w:tcPr>
          <w:p w14:paraId="66C26854"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3069</w:t>
            </w:r>
          </w:p>
        </w:tc>
        <w:tc>
          <w:tcPr>
            <w:tcW w:w="596" w:type="dxa"/>
            <w:shd w:val="clear" w:color="auto" w:fill="auto"/>
            <w:noWrap/>
            <w:vAlign w:val="bottom"/>
            <w:hideMark/>
          </w:tcPr>
          <w:p w14:paraId="4B295534"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2.8%</w:t>
            </w:r>
          </w:p>
        </w:tc>
        <w:tc>
          <w:tcPr>
            <w:tcW w:w="770" w:type="dxa"/>
            <w:shd w:val="clear" w:color="auto" w:fill="auto"/>
            <w:noWrap/>
            <w:vAlign w:val="bottom"/>
            <w:hideMark/>
          </w:tcPr>
          <w:p w14:paraId="0BB67AF2" w14:textId="6070B2C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97.2%</w:t>
            </w:r>
          </w:p>
        </w:tc>
      </w:tr>
      <w:tr w:rsidR="00537B13" w:rsidRPr="00537B13" w14:paraId="07451F5A" w14:textId="77777777" w:rsidTr="00537B13">
        <w:trPr>
          <w:trHeight w:val="113"/>
        </w:trPr>
        <w:tc>
          <w:tcPr>
            <w:tcW w:w="730" w:type="dxa"/>
            <w:shd w:val="clear" w:color="auto" w:fill="auto"/>
            <w:noWrap/>
            <w:vAlign w:val="bottom"/>
            <w:hideMark/>
          </w:tcPr>
          <w:p w14:paraId="2EC80B72" w14:textId="77777777" w:rsidR="00B5251D" w:rsidRPr="00B5251D" w:rsidRDefault="00B5251D" w:rsidP="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2015/16</w:t>
            </w:r>
          </w:p>
        </w:tc>
        <w:tc>
          <w:tcPr>
            <w:tcW w:w="648" w:type="dxa"/>
            <w:shd w:val="clear" w:color="auto" w:fill="auto"/>
            <w:noWrap/>
            <w:vAlign w:val="bottom"/>
            <w:hideMark/>
          </w:tcPr>
          <w:p w14:paraId="4B6BD321"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109396</w:t>
            </w:r>
          </w:p>
        </w:tc>
        <w:tc>
          <w:tcPr>
            <w:tcW w:w="770" w:type="dxa"/>
            <w:shd w:val="clear" w:color="auto" w:fill="auto"/>
            <w:noWrap/>
            <w:vAlign w:val="bottom"/>
            <w:hideMark/>
          </w:tcPr>
          <w:p w14:paraId="028F741B" w14:textId="56A235D8"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106194</w:t>
            </w:r>
          </w:p>
        </w:tc>
        <w:tc>
          <w:tcPr>
            <w:tcW w:w="596" w:type="dxa"/>
            <w:shd w:val="clear" w:color="auto" w:fill="auto"/>
            <w:noWrap/>
            <w:vAlign w:val="bottom"/>
            <w:hideMark/>
          </w:tcPr>
          <w:p w14:paraId="5465DE7D"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3202</w:t>
            </w:r>
          </w:p>
        </w:tc>
        <w:tc>
          <w:tcPr>
            <w:tcW w:w="596" w:type="dxa"/>
            <w:shd w:val="clear" w:color="auto" w:fill="auto"/>
            <w:noWrap/>
            <w:vAlign w:val="bottom"/>
            <w:hideMark/>
          </w:tcPr>
          <w:p w14:paraId="63154178"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2.9%</w:t>
            </w:r>
          </w:p>
        </w:tc>
        <w:tc>
          <w:tcPr>
            <w:tcW w:w="770" w:type="dxa"/>
            <w:shd w:val="clear" w:color="auto" w:fill="auto"/>
            <w:noWrap/>
            <w:vAlign w:val="bottom"/>
            <w:hideMark/>
          </w:tcPr>
          <w:p w14:paraId="417D8431"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97.1%</w:t>
            </w:r>
          </w:p>
        </w:tc>
      </w:tr>
      <w:tr w:rsidR="00537B13" w:rsidRPr="00537B13" w14:paraId="32995092" w14:textId="77777777" w:rsidTr="00537B13">
        <w:trPr>
          <w:trHeight w:val="113"/>
        </w:trPr>
        <w:tc>
          <w:tcPr>
            <w:tcW w:w="730" w:type="dxa"/>
            <w:shd w:val="clear" w:color="auto" w:fill="auto"/>
            <w:noWrap/>
            <w:vAlign w:val="bottom"/>
            <w:hideMark/>
          </w:tcPr>
          <w:p w14:paraId="01D0611E" w14:textId="77777777" w:rsidR="00B5251D" w:rsidRPr="00B5251D" w:rsidRDefault="00B5251D" w:rsidP="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2016/17</w:t>
            </w:r>
          </w:p>
        </w:tc>
        <w:tc>
          <w:tcPr>
            <w:tcW w:w="648" w:type="dxa"/>
            <w:shd w:val="clear" w:color="auto" w:fill="auto"/>
            <w:noWrap/>
            <w:vAlign w:val="bottom"/>
            <w:hideMark/>
          </w:tcPr>
          <w:p w14:paraId="322A6FD3"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108616</w:t>
            </w:r>
          </w:p>
        </w:tc>
        <w:tc>
          <w:tcPr>
            <w:tcW w:w="770" w:type="dxa"/>
            <w:shd w:val="clear" w:color="auto" w:fill="auto"/>
            <w:noWrap/>
            <w:vAlign w:val="bottom"/>
            <w:hideMark/>
          </w:tcPr>
          <w:p w14:paraId="2110C6C7"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105343</w:t>
            </w:r>
          </w:p>
        </w:tc>
        <w:tc>
          <w:tcPr>
            <w:tcW w:w="596" w:type="dxa"/>
            <w:shd w:val="clear" w:color="auto" w:fill="auto"/>
            <w:noWrap/>
            <w:vAlign w:val="bottom"/>
            <w:hideMark/>
          </w:tcPr>
          <w:p w14:paraId="1BA67199" w14:textId="669531AE"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3273</w:t>
            </w:r>
          </w:p>
        </w:tc>
        <w:tc>
          <w:tcPr>
            <w:tcW w:w="596" w:type="dxa"/>
            <w:shd w:val="clear" w:color="auto" w:fill="auto"/>
            <w:noWrap/>
            <w:vAlign w:val="bottom"/>
            <w:hideMark/>
          </w:tcPr>
          <w:p w14:paraId="5B60C1FD"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3.0%</w:t>
            </w:r>
          </w:p>
        </w:tc>
        <w:tc>
          <w:tcPr>
            <w:tcW w:w="770" w:type="dxa"/>
            <w:shd w:val="clear" w:color="auto" w:fill="auto"/>
            <w:noWrap/>
            <w:vAlign w:val="bottom"/>
            <w:hideMark/>
          </w:tcPr>
          <w:p w14:paraId="29FEE4B9"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97.0%</w:t>
            </w:r>
          </w:p>
        </w:tc>
      </w:tr>
      <w:tr w:rsidR="00537B13" w:rsidRPr="00537B13" w14:paraId="52F97033" w14:textId="77777777" w:rsidTr="00537B13">
        <w:trPr>
          <w:trHeight w:val="113"/>
        </w:trPr>
        <w:tc>
          <w:tcPr>
            <w:tcW w:w="730" w:type="dxa"/>
            <w:shd w:val="clear" w:color="auto" w:fill="auto"/>
            <w:noWrap/>
            <w:vAlign w:val="bottom"/>
            <w:hideMark/>
          </w:tcPr>
          <w:p w14:paraId="3EB4AFD4" w14:textId="77777777" w:rsidR="00B5251D" w:rsidRPr="00B5251D" w:rsidRDefault="00B5251D" w:rsidP="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2017/18</w:t>
            </w:r>
          </w:p>
        </w:tc>
        <w:tc>
          <w:tcPr>
            <w:tcW w:w="648" w:type="dxa"/>
            <w:shd w:val="clear" w:color="auto" w:fill="auto"/>
            <w:noWrap/>
            <w:vAlign w:val="bottom"/>
            <w:hideMark/>
          </w:tcPr>
          <w:p w14:paraId="34CA3A19"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108251</w:t>
            </w:r>
          </w:p>
        </w:tc>
        <w:tc>
          <w:tcPr>
            <w:tcW w:w="770" w:type="dxa"/>
            <w:shd w:val="clear" w:color="auto" w:fill="auto"/>
            <w:noWrap/>
            <w:vAlign w:val="bottom"/>
            <w:hideMark/>
          </w:tcPr>
          <w:p w14:paraId="4D23A201"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104996</w:t>
            </w:r>
          </w:p>
        </w:tc>
        <w:tc>
          <w:tcPr>
            <w:tcW w:w="596" w:type="dxa"/>
            <w:shd w:val="clear" w:color="auto" w:fill="auto"/>
            <w:noWrap/>
            <w:vAlign w:val="bottom"/>
            <w:hideMark/>
          </w:tcPr>
          <w:p w14:paraId="6B0AE0CB"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3255</w:t>
            </w:r>
          </w:p>
        </w:tc>
        <w:tc>
          <w:tcPr>
            <w:tcW w:w="596" w:type="dxa"/>
            <w:shd w:val="clear" w:color="auto" w:fill="auto"/>
            <w:noWrap/>
            <w:vAlign w:val="bottom"/>
            <w:hideMark/>
          </w:tcPr>
          <w:p w14:paraId="1B5EC32F"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3.0%</w:t>
            </w:r>
          </w:p>
        </w:tc>
        <w:tc>
          <w:tcPr>
            <w:tcW w:w="770" w:type="dxa"/>
            <w:shd w:val="clear" w:color="auto" w:fill="auto"/>
            <w:noWrap/>
            <w:vAlign w:val="bottom"/>
            <w:hideMark/>
          </w:tcPr>
          <w:p w14:paraId="1D72AA3C"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97.0%</w:t>
            </w:r>
          </w:p>
        </w:tc>
      </w:tr>
      <w:tr w:rsidR="00537B13" w:rsidRPr="00537B13" w14:paraId="76768A4C" w14:textId="77777777" w:rsidTr="00537B13">
        <w:trPr>
          <w:trHeight w:val="113"/>
        </w:trPr>
        <w:tc>
          <w:tcPr>
            <w:tcW w:w="730" w:type="dxa"/>
            <w:shd w:val="clear" w:color="auto" w:fill="auto"/>
            <w:noWrap/>
            <w:vAlign w:val="bottom"/>
            <w:hideMark/>
          </w:tcPr>
          <w:p w14:paraId="46523B67" w14:textId="77777777" w:rsidR="00B5251D" w:rsidRPr="00B5251D" w:rsidRDefault="00B5251D" w:rsidP="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2018/19</w:t>
            </w:r>
          </w:p>
        </w:tc>
        <w:tc>
          <w:tcPr>
            <w:tcW w:w="648" w:type="dxa"/>
            <w:shd w:val="clear" w:color="auto" w:fill="auto"/>
            <w:noWrap/>
            <w:vAlign w:val="bottom"/>
            <w:hideMark/>
          </w:tcPr>
          <w:p w14:paraId="5BBDC751"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111100</w:t>
            </w:r>
          </w:p>
        </w:tc>
        <w:tc>
          <w:tcPr>
            <w:tcW w:w="770" w:type="dxa"/>
            <w:shd w:val="clear" w:color="auto" w:fill="auto"/>
            <w:noWrap/>
            <w:vAlign w:val="bottom"/>
            <w:hideMark/>
          </w:tcPr>
          <w:p w14:paraId="1A9453A8"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107704</w:t>
            </w:r>
          </w:p>
        </w:tc>
        <w:tc>
          <w:tcPr>
            <w:tcW w:w="596" w:type="dxa"/>
            <w:shd w:val="clear" w:color="auto" w:fill="auto"/>
            <w:noWrap/>
            <w:vAlign w:val="bottom"/>
            <w:hideMark/>
          </w:tcPr>
          <w:p w14:paraId="475A16B8"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3396</w:t>
            </w:r>
          </w:p>
        </w:tc>
        <w:tc>
          <w:tcPr>
            <w:tcW w:w="596" w:type="dxa"/>
            <w:shd w:val="clear" w:color="auto" w:fill="auto"/>
            <w:noWrap/>
            <w:vAlign w:val="bottom"/>
            <w:hideMark/>
          </w:tcPr>
          <w:p w14:paraId="66265DA5"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3.1%</w:t>
            </w:r>
          </w:p>
        </w:tc>
        <w:tc>
          <w:tcPr>
            <w:tcW w:w="770" w:type="dxa"/>
            <w:shd w:val="clear" w:color="auto" w:fill="auto"/>
            <w:noWrap/>
            <w:vAlign w:val="bottom"/>
            <w:hideMark/>
          </w:tcPr>
          <w:p w14:paraId="68E363BF"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96.9%</w:t>
            </w:r>
          </w:p>
        </w:tc>
      </w:tr>
      <w:tr w:rsidR="00537B13" w:rsidRPr="00537B13" w14:paraId="1F64DF4B" w14:textId="77777777" w:rsidTr="00537B13">
        <w:trPr>
          <w:trHeight w:val="113"/>
        </w:trPr>
        <w:tc>
          <w:tcPr>
            <w:tcW w:w="730" w:type="dxa"/>
            <w:shd w:val="clear" w:color="auto" w:fill="auto"/>
            <w:noWrap/>
            <w:vAlign w:val="bottom"/>
            <w:hideMark/>
          </w:tcPr>
          <w:p w14:paraId="3CA485BD" w14:textId="77777777" w:rsidR="00B5251D" w:rsidRPr="00B5251D" w:rsidRDefault="00B5251D" w:rsidP="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2019/20</w:t>
            </w:r>
          </w:p>
        </w:tc>
        <w:tc>
          <w:tcPr>
            <w:tcW w:w="648" w:type="dxa"/>
            <w:shd w:val="clear" w:color="auto" w:fill="auto"/>
            <w:noWrap/>
            <w:vAlign w:val="bottom"/>
            <w:hideMark/>
          </w:tcPr>
          <w:p w14:paraId="0EAB6E84"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111872</w:t>
            </w:r>
          </w:p>
        </w:tc>
        <w:tc>
          <w:tcPr>
            <w:tcW w:w="770" w:type="dxa"/>
            <w:shd w:val="clear" w:color="auto" w:fill="auto"/>
            <w:noWrap/>
            <w:vAlign w:val="bottom"/>
            <w:hideMark/>
          </w:tcPr>
          <w:p w14:paraId="61BB8309"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108588</w:t>
            </w:r>
          </w:p>
        </w:tc>
        <w:tc>
          <w:tcPr>
            <w:tcW w:w="596" w:type="dxa"/>
            <w:shd w:val="clear" w:color="auto" w:fill="auto"/>
            <w:noWrap/>
            <w:vAlign w:val="bottom"/>
            <w:hideMark/>
          </w:tcPr>
          <w:p w14:paraId="719EDC3D"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3284</w:t>
            </w:r>
          </w:p>
        </w:tc>
        <w:tc>
          <w:tcPr>
            <w:tcW w:w="596" w:type="dxa"/>
            <w:shd w:val="clear" w:color="auto" w:fill="auto"/>
            <w:noWrap/>
            <w:vAlign w:val="bottom"/>
            <w:hideMark/>
          </w:tcPr>
          <w:p w14:paraId="7674068B"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2.9%</w:t>
            </w:r>
          </w:p>
        </w:tc>
        <w:tc>
          <w:tcPr>
            <w:tcW w:w="770" w:type="dxa"/>
            <w:shd w:val="clear" w:color="auto" w:fill="auto"/>
            <w:noWrap/>
            <w:vAlign w:val="bottom"/>
            <w:hideMark/>
          </w:tcPr>
          <w:p w14:paraId="5C2C0266" w14:textId="156CD0C4"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97.1%</w:t>
            </w:r>
          </w:p>
        </w:tc>
      </w:tr>
      <w:tr w:rsidR="00537B13" w:rsidRPr="00537B13" w14:paraId="15776C1A" w14:textId="77777777" w:rsidTr="00537B13">
        <w:trPr>
          <w:trHeight w:val="113"/>
        </w:trPr>
        <w:tc>
          <w:tcPr>
            <w:tcW w:w="730" w:type="dxa"/>
            <w:shd w:val="clear" w:color="auto" w:fill="auto"/>
            <w:noWrap/>
            <w:vAlign w:val="bottom"/>
            <w:hideMark/>
          </w:tcPr>
          <w:p w14:paraId="7BD70AB9" w14:textId="77777777" w:rsidR="00B5251D" w:rsidRPr="00B5251D" w:rsidRDefault="00B5251D" w:rsidP="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2020/21</w:t>
            </w:r>
          </w:p>
        </w:tc>
        <w:tc>
          <w:tcPr>
            <w:tcW w:w="648" w:type="dxa"/>
            <w:shd w:val="clear" w:color="auto" w:fill="auto"/>
            <w:noWrap/>
            <w:vAlign w:val="bottom"/>
            <w:hideMark/>
          </w:tcPr>
          <w:p w14:paraId="03C34A2E"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111142</w:t>
            </w:r>
          </w:p>
        </w:tc>
        <w:tc>
          <w:tcPr>
            <w:tcW w:w="770" w:type="dxa"/>
            <w:shd w:val="clear" w:color="auto" w:fill="auto"/>
            <w:noWrap/>
            <w:vAlign w:val="bottom"/>
            <w:hideMark/>
          </w:tcPr>
          <w:p w14:paraId="76017AA2"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107739</w:t>
            </w:r>
          </w:p>
        </w:tc>
        <w:tc>
          <w:tcPr>
            <w:tcW w:w="596" w:type="dxa"/>
            <w:shd w:val="clear" w:color="auto" w:fill="auto"/>
            <w:noWrap/>
            <w:vAlign w:val="bottom"/>
            <w:hideMark/>
          </w:tcPr>
          <w:p w14:paraId="31CA9456"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3402</w:t>
            </w:r>
          </w:p>
        </w:tc>
        <w:tc>
          <w:tcPr>
            <w:tcW w:w="596" w:type="dxa"/>
            <w:shd w:val="clear" w:color="auto" w:fill="auto"/>
            <w:noWrap/>
            <w:vAlign w:val="bottom"/>
            <w:hideMark/>
          </w:tcPr>
          <w:p w14:paraId="43A967E8"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3.1%</w:t>
            </w:r>
          </w:p>
        </w:tc>
        <w:tc>
          <w:tcPr>
            <w:tcW w:w="770" w:type="dxa"/>
            <w:shd w:val="clear" w:color="auto" w:fill="auto"/>
            <w:noWrap/>
            <w:vAlign w:val="bottom"/>
            <w:hideMark/>
          </w:tcPr>
          <w:p w14:paraId="5503FFC1" w14:textId="77777777" w:rsidR="00B5251D" w:rsidRPr="00B5251D" w:rsidRDefault="00B5251D" w:rsidP="00537B13">
            <w:pPr>
              <w:spacing w:after="0" w:line="240" w:lineRule="auto"/>
              <w:jc w:val="right"/>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96.9%</w:t>
            </w:r>
          </w:p>
        </w:tc>
      </w:tr>
    </w:tbl>
    <w:p w14:paraId="7693BF9C" w14:textId="507123A2" w:rsidR="00B5251D" w:rsidRDefault="00B5251D" w:rsidP="00B5251D">
      <w:pPr>
        <w:rPr>
          <w:lang w:val="en-US"/>
        </w:rPr>
      </w:pPr>
    </w:p>
    <w:p w14:paraId="7C834DEB" w14:textId="55AA9791" w:rsidR="00537B13" w:rsidRDefault="00537B13" w:rsidP="00B5251D">
      <w:pPr>
        <w:rPr>
          <w:lang w:val="en-US"/>
        </w:rPr>
      </w:pPr>
    </w:p>
    <w:p w14:paraId="49346F90" w14:textId="77777777" w:rsidR="00537B13" w:rsidRDefault="00537B13" w:rsidP="00B5251D">
      <w:pPr>
        <w:rPr>
          <w:lang w:val="en-US"/>
        </w:rPr>
      </w:pPr>
    </w:p>
    <w:p w14:paraId="11D08052" w14:textId="14274CCF" w:rsidR="00537B13" w:rsidRDefault="00537B13" w:rsidP="00B5251D">
      <w:pPr>
        <w:rPr>
          <w:lang w:val="en-US"/>
        </w:rPr>
      </w:pPr>
    </w:p>
    <w:p w14:paraId="14CDA14A" w14:textId="3AD25C63" w:rsidR="00537B13" w:rsidRDefault="00537B13" w:rsidP="00B5251D">
      <w:pPr>
        <w:rPr>
          <w:lang w:val="en-US"/>
        </w:rPr>
      </w:pPr>
    </w:p>
    <w:tbl>
      <w:tblPr>
        <w:tblpPr w:leftFromText="180" w:rightFromText="180" w:vertAnchor="text" w:horzAnchor="margin" w:tblpY="160"/>
        <w:tblW w:w="4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Caption w:val="Figure 2.9 Proportion of First Nations VET Teachers and Workforce between 2010/11-2020/21"/>
      </w:tblPr>
      <w:tblGrid>
        <w:gridCol w:w="1012"/>
        <w:gridCol w:w="828"/>
        <w:gridCol w:w="828"/>
        <w:gridCol w:w="596"/>
        <w:gridCol w:w="718"/>
        <w:gridCol w:w="770"/>
      </w:tblGrid>
      <w:tr w:rsidR="00537B13" w:rsidRPr="00537B13" w14:paraId="24F25635" w14:textId="77777777" w:rsidTr="00537B13">
        <w:trPr>
          <w:trHeight w:val="113"/>
          <w:tblHeader/>
        </w:trPr>
        <w:tc>
          <w:tcPr>
            <w:tcW w:w="1012" w:type="dxa"/>
            <w:shd w:val="clear" w:color="auto" w:fill="auto"/>
            <w:noWrap/>
            <w:vAlign w:val="bottom"/>
            <w:hideMark/>
          </w:tcPr>
          <w:p w14:paraId="19298DFF" w14:textId="03A9F6A2" w:rsidR="00537B13" w:rsidRPr="00B5251D" w:rsidRDefault="00CC6D50">
            <w:pPr>
              <w:spacing w:after="0" w:line="240" w:lineRule="auto"/>
              <w:rPr>
                <w:rFonts w:asciiTheme="minorHAnsi" w:eastAsia="Times New Roman" w:hAnsiTheme="minorHAnsi" w:cstheme="minorHAnsi"/>
                <w:color w:val="000000"/>
                <w:sz w:val="10"/>
                <w:szCs w:val="10"/>
                <w:lang w:eastAsia="en-AU"/>
              </w:rPr>
            </w:pPr>
            <w:r>
              <w:rPr>
                <w:rFonts w:asciiTheme="minorHAnsi" w:eastAsia="Times New Roman" w:hAnsiTheme="minorHAnsi" w:cstheme="minorHAnsi"/>
                <w:color w:val="000000"/>
                <w:sz w:val="10"/>
                <w:szCs w:val="10"/>
                <w:lang w:eastAsia="en-AU"/>
              </w:rPr>
              <w:t>VET teachers</w:t>
            </w:r>
          </w:p>
        </w:tc>
        <w:tc>
          <w:tcPr>
            <w:tcW w:w="828" w:type="dxa"/>
            <w:shd w:val="clear" w:color="auto" w:fill="auto"/>
            <w:noWrap/>
            <w:vAlign w:val="bottom"/>
            <w:hideMark/>
          </w:tcPr>
          <w:p w14:paraId="6A393FA8" w14:textId="57B4B735" w:rsidR="00537B13" w:rsidRPr="00B5251D" w:rsidRDefault="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 xml:space="preserve">Number of </w:t>
            </w:r>
            <w:r w:rsidR="00CC6D50">
              <w:rPr>
                <w:rFonts w:asciiTheme="minorHAnsi" w:eastAsia="Times New Roman" w:hAnsiTheme="minorHAnsi" w:cstheme="minorHAnsi"/>
                <w:color w:val="000000"/>
                <w:sz w:val="10"/>
                <w:szCs w:val="10"/>
                <w:lang w:eastAsia="en-AU"/>
              </w:rPr>
              <w:t>VET teachers</w:t>
            </w:r>
          </w:p>
        </w:tc>
        <w:tc>
          <w:tcPr>
            <w:tcW w:w="828" w:type="dxa"/>
            <w:shd w:val="clear" w:color="auto" w:fill="auto"/>
            <w:noWrap/>
            <w:vAlign w:val="bottom"/>
            <w:hideMark/>
          </w:tcPr>
          <w:p w14:paraId="314C0FEF" w14:textId="7E6DD30D" w:rsidR="00537B13" w:rsidRPr="00B5251D" w:rsidRDefault="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Non-Indigenous</w:t>
            </w:r>
          </w:p>
        </w:tc>
        <w:tc>
          <w:tcPr>
            <w:tcW w:w="596" w:type="dxa"/>
            <w:shd w:val="clear" w:color="auto" w:fill="auto"/>
            <w:noWrap/>
            <w:vAlign w:val="bottom"/>
            <w:hideMark/>
          </w:tcPr>
          <w:p w14:paraId="4E0C1FFC" w14:textId="77777777" w:rsidR="00537B13" w:rsidRPr="00B5251D" w:rsidRDefault="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First Nations</w:t>
            </w:r>
          </w:p>
        </w:tc>
        <w:tc>
          <w:tcPr>
            <w:tcW w:w="718" w:type="dxa"/>
            <w:shd w:val="clear" w:color="auto" w:fill="auto"/>
            <w:noWrap/>
            <w:vAlign w:val="bottom"/>
            <w:hideMark/>
          </w:tcPr>
          <w:p w14:paraId="4233F06C" w14:textId="77777777" w:rsidR="00537B13" w:rsidRPr="00B5251D" w:rsidRDefault="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First Nations</w:t>
            </w:r>
          </w:p>
        </w:tc>
        <w:tc>
          <w:tcPr>
            <w:tcW w:w="770" w:type="dxa"/>
            <w:shd w:val="clear" w:color="auto" w:fill="auto"/>
            <w:noWrap/>
            <w:vAlign w:val="bottom"/>
            <w:hideMark/>
          </w:tcPr>
          <w:p w14:paraId="5D9B2BF6" w14:textId="77777777" w:rsidR="00537B13" w:rsidRPr="00B5251D" w:rsidRDefault="00537B13">
            <w:pPr>
              <w:spacing w:after="0" w:line="240" w:lineRule="auto"/>
              <w:rPr>
                <w:rFonts w:asciiTheme="minorHAnsi" w:eastAsia="Times New Roman" w:hAnsiTheme="minorHAnsi" w:cstheme="minorHAnsi"/>
                <w:color w:val="000000"/>
                <w:sz w:val="10"/>
                <w:szCs w:val="10"/>
                <w:lang w:eastAsia="en-AU"/>
              </w:rPr>
            </w:pPr>
            <w:r w:rsidRPr="00B5251D">
              <w:rPr>
                <w:rFonts w:asciiTheme="minorHAnsi" w:eastAsia="Times New Roman" w:hAnsiTheme="minorHAnsi" w:cstheme="minorHAnsi"/>
                <w:color w:val="000000"/>
                <w:sz w:val="10"/>
                <w:szCs w:val="10"/>
                <w:lang w:eastAsia="en-AU"/>
              </w:rPr>
              <w:t>Non-Indigenous</w:t>
            </w:r>
          </w:p>
        </w:tc>
      </w:tr>
      <w:tr w:rsidR="00537B13" w:rsidRPr="00537B13" w14:paraId="488C721F" w14:textId="77777777" w:rsidTr="00537B13">
        <w:trPr>
          <w:trHeight w:val="113"/>
        </w:trPr>
        <w:tc>
          <w:tcPr>
            <w:tcW w:w="1012" w:type="dxa"/>
            <w:shd w:val="clear" w:color="auto" w:fill="auto"/>
            <w:noWrap/>
            <w:hideMark/>
          </w:tcPr>
          <w:p w14:paraId="7FE200EC" w14:textId="2B843862" w:rsidR="00537B13" w:rsidRPr="00B5251D" w:rsidRDefault="00537B13" w:rsidP="00537B13">
            <w:pPr>
              <w:spacing w:after="0" w:line="240" w:lineRule="auto"/>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2010/11</w:t>
            </w:r>
          </w:p>
        </w:tc>
        <w:tc>
          <w:tcPr>
            <w:tcW w:w="828" w:type="dxa"/>
            <w:shd w:val="clear" w:color="auto" w:fill="auto"/>
            <w:noWrap/>
            <w:hideMark/>
          </w:tcPr>
          <w:p w14:paraId="1C4A5D7D" w14:textId="462AAAD5"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29492</w:t>
            </w:r>
          </w:p>
        </w:tc>
        <w:tc>
          <w:tcPr>
            <w:tcW w:w="828" w:type="dxa"/>
            <w:shd w:val="clear" w:color="auto" w:fill="auto"/>
            <w:noWrap/>
            <w:hideMark/>
          </w:tcPr>
          <w:p w14:paraId="6BF152B5" w14:textId="0B5BAED4"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28914</w:t>
            </w:r>
          </w:p>
        </w:tc>
        <w:tc>
          <w:tcPr>
            <w:tcW w:w="596" w:type="dxa"/>
            <w:shd w:val="clear" w:color="auto" w:fill="auto"/>
            <w:noWrap/>
            <w:hideMark/>
          </w:tcPr>
          <w:p w14:paraId="23FEE2D7" w14:textId="444DAAFC"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578</w:t>
            </w:r>
          </w:p>
        </w:tc>
        <w:tc>
          <w:tcPr>
            <w:tcW w:w="718" w:type="dxa"/>
            <w:shd w:val="clear" w:color="auto" w:fill="auto"/>
            <w:noWrap/>
            <w:hideMark/>
          </w:tcPr>
          <w:p w14:paraId="045119F7" w14:textId="18F058F1"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2.0%</w:t>
            </w:r>
          </w:p>
        </w:tc>
        <w:tc>
          <w:tcPr>
            <w:tcW w:w="770" w:type="dxa"/>
            <w:shd w:val="clear" w:color="auto" w:fill="auto"/>
            <w:noWrap/>
            <w:hideMark/>
          </w:tcPr>
          <w:p w14:paraId="365DD3A0" w14:textId="07107830"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98.0%</w:t>
            </w:r>
          </w:p>
        </w:tc>
      </w:tr>
      <w:tr w:rsidR="00537B13" w:rsidRPr="00537B13" w14:paraId="18AEC7BE" w14:textId="77777777" w:rsidTr="00537B13">
        <w:trPr>
          <w:trHeight w:val="113"/>
        </w:trPr>
        <w:tc>
          <w:tcPr>
            <w:tcW w:w="1012" w:type="dxa"/>
            <w:shd w:val="clear" w:color="auto" w:fill="auto"/>
            <w:noWrap/>
            <w:hideMark/>
          </w:tcPr>
          <w:p w14:paraId="4F02F6AA" w14:textId="196EAB4E" w:rsidR="00537B13" w:rsidRPr="00B5251D" w:rsidRDefault="00537B13" w:rsidP="00537B13">
            <w:pPr>
              <w:spacing w:after="0" w:line="240" w:lineRule="auto"/>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2011/12</w:t>
            </w:r>
          </w:p>
        </w:tc>
        <w:tc>
          <w:tcPr>
            <w:tcW w:w="828" w:type="dxa"/>
            <w:shd w:val="clear" w:color="auto" w:fill="auto"/>
            <w:noWrap/>
            <w:hideMark/>
          </w:tcPr>
          <w:p w14:paraId="3FBDA4B6" w14:textId="0CFCDC7E"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29523</w:t>
            </w:r>
          </w:p>
        </w:tc>
        <w:tc>
          <w:tcPr>
            <w:tcW w:w="828" w:type="dxa"/>
            <w:shd w:val="clear" w:color="auto" w:fill="auto"/>
            <w:noWrap/>
            <w:hideMark/>
          </w:tcPr>
          <w:p w14:paraId="6964A27F" w14:textId="23D38FE5"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28944</w:t>
            </w:r>
          </w:p>
        </w:tc>
        <w:tc>
          <w:tcPr>
            <w:tcW w:w="596" w:type="dxa"/>
            <w:shd w:val="clear" w:color="auto" w:fill="auto"/>
            <w:noWrap/>
            <w:hideMark/>
          </w:tcPr>
          <w:p w14:paraId="54BACDCF" w14:textId="50068B15"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579</w:t>
            </w:r>
          </w:p>
        </w:tc>
        <w:tc>
          <w:tcPr>
            <w:tcW w:w="718" w:type="dxa"/>
            <w:shd w:val="clear" w:color="auto" w:fill="auto"/>
            <w:noWrap/>
            <w:hideMark/>
          </w:tcPr>
          <w:p w14:paraId="1D7658B7" w14:textId="6A6B4CF8"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2.0%</w:t>
            </w:r>
          </w:p>
        </w:tc>
        <w:tc>
          <w:tcPr>
            <w:tcW w:w="770" w:type="dxa"/>
            <w:shd w:val="clear" w:color="auto" w:fill="auto"/>
            <w:noWrap/>
            <w:hideMark/>
          </w:tcPr>
          <w:p w14:paraId="60362824" w14:textId="1F63AA3A"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98.0%</w:t>
            </w:r>
          </w:p>
        </w:tc>
      </w:tr>
      <w:tr w:rsidR="00537B13" w:rsidRPr="00537B13" w14:paraId="13682BEF" w14:textId="77777777" w:rsidTr="00537B13">
        <w:trPr>
          <w:trHeight w:val="113"/>
        </w:trPr>
        <w:tc>
          <w:tcPr>
            <w:tcW w:w="1012" w:type="dxa"/>
            <w:shd w:val="clear" w:color="auto" w:fill="auto"/>
            <w:noWrap/>
            <w:hideMark/>
          </w:tcPr>
          <w:p w14:paraId="043195A0" w14:textId="54670584" w:rsidR="00537B13" w:rsidRPr="00B5251D" w:rsidRDefault="00537B13" w:rsidP="00537B13">
            <w:pPr>
              <w:spacing w:after="0" w:line="240" w:lineRule="auto"/>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2012/13</w:t>
            </w:r>
          </w:p>
        </w:tc>
        <w:tc>
          <w:tcPr>
            <w:tcW w:w="828" w:type="dxa"/>
            <w:shd w:val="clear" w:color="auto" w:fill="auto"/>
            <w:noWrap/>
            <w:hideMark/>
          </w:tcPr>
          <w:p w14:paraId="7D45C72E" w14:textId="2BF576AA"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28984</w:t>
            </w:r>
          </w:p>
        </w:tc>
        <w:tc>
          <w:tcPr>
            <w:tcW w:w="828" w:type="dxa"/>
            <w:shd w:val="clear" w:color="auto" w:fill="auto"/>
            <w:noWrap/>
            <w:hideMark/>
          </w:tcPr>
          <w:p w14:paraId="78F7286B" w14:textId="7D18D7E5"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28415</w:t>
            </w:r>
          </w:p>
        </w:tc>
        <w:tc>
          <w:tcPr>
            <w:tcW w:w="596" w:type="dxa"/>
            <w:shd w:val="clear" w:color="auto" w:fill="auto"/>
            <w:noWrap/>
            <w:hideMark/>
          </w:tcPr>
          <w:p w14:paraId="3CD682B0" w14:textId="2D48A1C0"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569</w:t>
            </w:r>
          </w:p>
        </w:tc>
        <w:tc>
          <w:tcPr>
            <w:tcW w:w="718" w:type="dxa"/>
            <w:shd w:val="clear" w:color="auto" w:fill="auto"/>
            <w:noWrap/>
            <w:hideMark/>
          </w:tcPr>
          <w:p w14:paraId="0C60707C" w14:textId="6519839C"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2.0%</w:t>
            </w:r>
          </w:p>
        </w:tc>
        <w:tc>
          <w:tcPr>
            <w:tcW w:w="770" w:type="dxa"/>
            <w:shd w:val="clear" w:color="auto" w:fill="auto"/>
            <w:noWrap/>
            <w:hideMark/>
          </w:tcPr>
          <w:p w14:paraId="6AC7F0A7" w14:textId="3380C0FB"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98.0%</w:t>
            </w:r>
          </w:p>
        </w:tc>
      </w:tr>
      <w:tr w:rsidR="00537B13" w:rsidRPr="00537B13" w14:paraId="6D0FA014" w14:textId="77777777" w:rsidTr="00537B13">
        <w:trPr>
          <w:trHeight w:val="113"/>
        </w:trPr>
        <w:tc>
          <w:tcPr>
            <w:tcW w:w="1012" w:type="dxa"/>
            <w:shd w:val="clear" w:color="auto" w:fill="auto"/>
            <w:noWrap/>
            <w:hideMark/>
          </w:tcPr>
          <w:p w14:paraId="1E6A2DA4" w14:textId="5E0F3571" w:rsidR="00537B13" w:rsidRPr="00B5251D" w:rsidRDefault="00537B13" w:rsidP="00537B13">
            <w:pPr>
              <w:spacing w:after="0" w:line="240" w:lineRule="auto"/>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2013/14</w:t>
            </w:r>
          </w:p>
        </w:tc>
        <w:tc>
          <w:tcPr>
            <w:tcW w:w="828" w:type="dxa"/>
            <w:shd w:val="clear" w:color="auto" w:fill="auto"/>
            <w:noWrap/>
            <w:hideMark/>
          </w:tcPr>
          <w:p w14:paraId="6A65C0CC" w14:textId="6A45B9C6"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28410</w:t>
            </w:r>
          </w:p>
        </w:tc>
        <w:tc>
          <w:tcPr>
            <w:tcW w:w="828" w:type="dxa"/>
            <w:shd w:val="clear" w:color="auto" w:fill="auto"/>
            <w:noWrap/>
            <w:hideMark/>
          </w:tcPr>
          <w:p w14:paraId="5CA2323E" w14:textId="79DBCD05"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27856</w:t>
            </w:r>
          </w:p>
        </w:tc>
        <w:tc>
          <w:tcPr>
            <w:tcW w:w="596" w:type="dxa"/>
            <w:shd w:val="clear" w:color="auto" w:fill="auto"/>
            <w:noWrap/>
            <w:hideMark/>
          </w:tcPr>
          <w:p w14:paraId="556E5016" w14:textId="72DC5D3B"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544</w:t>
            </w:r>
          </w:p>
        </w:tc>
        <w:tc>
          <w:tcPr>
            <w:tcW w:w="718" w:type="dxa"/>
            <w:shd w:val="clear" w:color="auto" w:fill="auto"/>
            <w:noWrap/>
            <w:hideMark/>
          </w:tcPr>
          <w:p w14:paraId="0403347D" w14:textId="507E2864"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1.9%</w:t>
            </w:r>
          </w:p>
        </w:tc>
        <w:tc>
          <w:tcPr>
            <w:tcW w:w="770" w:type="dxa"/>
            <w:shd w:val="clear" w:color="auto" w:fill="auto"/>
            <w:noWrap/>
            <w:hideMark/>
          </w:tcPr>
          <w:p w14:paraId="0A014062" w14:textId="38F4C691"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98.0%</w:t>
            </w:r>
          </w:p>
        </w:tc>
      </w:tr>
      <w:tr w:rsidR="00537B13" w:rsidRPr="00537B13" w14:paraId="33E53B03" w14:textId="77777777" w:rsidTr="00537B13">
        <w:trPr>
          <w:trHeight w:val="113"/>
        </w:trPr>
        <w:tc>
          <w:tcPr>
            <w:tcW w:w="1012" w:type="dxa"/>
            <w:shd w:val="clear" w:color="auto" w:fill="auto"/>
            <w:noWrap/>
            <w:hideMark/>
          </w:tcPr>
          <w:p w14:paraId="0B7D0D1D" w14:textId="00159DC1" w:rsidR="00537B13" w:rsidRPr="00B5251D" w:rsidRDefault="00537B13" w:rsidP="00537B13">
            <w:pPr>
              <w:spacing w:after="0" w:line="240" w:lineRule="auto"/>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2014/15</w:t>
            </w:r>
          </w:p>
        </w:tc>
        <w:tc>
          <w:tcPr>
            <w:tcW w:w="828" w:type="dxa"/>
            <w:shd w:val="clear" w:color="auto" w:fill="auto"/>
            <w:noWrap/>
            <w:hideMark/>
          </w:tcPr>
          <w:p w14:paraId="576CD019" w14:textId="3F488B38"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26644</w:t>
            </w:r>
          </w:p>
        </w:tc>
        <w:tc>
          <w:tcPr>
            <w:tcW w:w="828" w:type="dxa"/>
            <w:shd w:val="clear" w:color="auto" w:fill="auto"/>
            <w:noWrap/>
            <w:hideMark/>
          </w:tcPr>
          <w:p w14:paraId="047842A0" w14:textId="5D518AFA"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26091</w:t>
            </w:r>
          </w:p>
        </w:tc>
        <w:tc>
          <w:tcPr>
            <w:tcW w:w="596" w:type="dxa"/>
            <w:shd w:val="clear" w:color="auto" w:fill="auto"/>
            <w:noWrap/>
            <w:hideMark/>
          </w:tcPr>
          <w:p w14:paraId="14A0AB0D" w14:textId="722DE4A6"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553</w:t>
            </w:r>
          </w:p>
        </w:tc>
        <w:tc>
          <w:tcPr>
            <w:tcW w:w="718" w:type="dxa"/>
            <w:shd w:val="clear" w:color="auto" w:fill="auto"/>
            <w:noWrap/>
            <w:hideMark/>
          </w:tcPr>
          <w:p w14:paraId="72CECAAA" w14:textId="47E202C1"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2.1%</w:t>
            </w:r>
          </w:p>
        </w:tc>
        <w:tc>
          <w:tcPr>
            <w:tcW w:w="770" w:type="dxa"/>
            <w:shd w:val="clear" w:color="auto" w:fill="auto"/>
            <w:noWrap/>
            <w:hideMark/>
          </w:tcPr>
          <w:p w14:paraId="0241DDC3" w14:textId="3FC9A1DA"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97.9%</w:t>
            </w:r>
          </w:p>
        </w:tc>
      </w:tr>
      <w:tr w:rsidR="00537B13" w:rsidRPr="00537B13" w14:paraId="13FB1E7D" w14:textId="77777777" w:rsidTr="00537B13">
        <w:trPr>
          <w:trHeight w:val="113"/>
        </w:trPr>
        <w:tc>
          <w:tcPr>
            <w:tcW w:w="1012" w:type="dxa"/>
            <w:shd w:val="clear" w:color="auto" w:fill="auto"/>
            <w:noWrap/>
            <w:hideMark/>
          </w:tcPr>
          <w:p w14:paraId="7C15AC45" w14:textId="4F02A2EF" w:rsidR="00537B13" w:rsidRPr="00B5251D" w:rsidRDefault="00537B13" w:rsidP="00537B13">
            <w:pPr>
              <w:spacing w:after="0" w:line="240" w:lineRule="auto"/>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2015/16</w:t>
            </w:r>
          </w:p>
        </w:tc>
        <w:tc>
          <w:tcPr>
            <w:tcW w:w="828" w:type="dxa"/>
            <w:shd w:val="clear" w:color="auto" w:fill="auto"/>
            <w:noWrap/>
            <w:hideMark/>
          </w:tcPr>
          <w:p w14:paraId="667EBD2A" w14:textId="0AE73905"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25663</w:t>
            </w:r>
          </w:p>
        </w:tc>
        <w:tc>
          <w:tcPr>
            <w:tcW w:w="828" w:type="dxa"/>
            <w:shd w:val="clear" w:color="auto" w:fill="auto"/>
            <w:noWrap/>
            <w:hideMark/>
          </w:tcPr>
          <w:p w14:paraId="272BD5E4" w14:textId="654B19E3"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25122</w:t>
            </w:r>
          </w:p>
        </w:tc>
        <w:tc>
          <w:tcPr>
            <w:tcW w:w="596" w:type="dxa"/>
            <w:shd w:val="clear" w:color="auto" w:fill="auto"/>
            <w:noWrap/>
            <w:hideMark/>
          </w:tcPr>
          <w:p w14:paraId="57B9594E" w14:textId="39E657E7"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541</w:t>
            </w:r>
          </w:p>
        </w:tc>
        <w:tc>
          <w:tcPr>
            <w:tcW w:w="718" w:type="dxa"/>
            <w:shd w:val="clear" w:color="auto" w:fill="auto"/>
            <w:noWrap/>
            <w:hideMark/>
          </w:tcPr>
          <w:p w14:paraId="7CA3D821" w14:textId="766706DD"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2.1%</w:t>
            </w:r>
          </w:p>
        </w:tc>
        <w:tc>
          <w:tcPr>
            <w:tcW w:w="770" w:type="dxa"/>
            <w:shd w:val="clear" w:color="auto" w:fill="auto"/>
            <w:noWrap/>
            <w:hideMark/>
          </w:tcPr>
          <w:p w14:paraId="34A75F2D" w14:textId="4B6271E0"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97.9%</w:t>
            </w:r>
          </w:p>
        </w:tc>
      </w:tr>
      <w:tr w:rsidR="00537B13" w:rsidRPr="00537B13" w14:paraId="299EF0F6" w14:textId="77777777" w:rsidTr="00537B13">
        <w:trPr>
          <w:trHeight w:val="113"/>
        </w:trPr>
        <w:tc>
          <w:tcPr>
            <w:tcW w:w="1012" w:type="dxa"/>
            <w:shd w:val="clear" w:color="auto" w:fill="auto"/>
            <w:noWrap/>
            <w:hideMark/>
          </w:tcPr>
          <w:p w14:paraId="23CD4C6C" w14:textId="0F9B49D6" w:rsidR="00537B13" w:rsidRPr="00B5251D" w:rsidRDefault="00537B13" w:rsidP="00537B13">
            <w:pPr>
              <w:spacing w:after="0" w:line="240" w:lineRule="auto"/>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2016/17</w:t>
            </w:r>
          </w:p>
        </w:tc>
        <w:tc>
          <w:tcPr>
            <w:tcW w:w="828" w:type="dxa"/>
            <w:shd w:val="clear" w:color="auto" w:fill="auto"/>
            <w:noWrap/>
            <w:hideMark/>
          </w:tcPr>
          <w:p w14:paraId="15F988C1" w14:textId="39A4F74E"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24923</w:t>
            </w:r>
          </w:p>
        </w:tc>
        <w:tc>
          <w:tcPr>
            <w:tcW w:w="828" w:type="dxa"/>
            <w:shd w:val="clear" w:color="auto" w:fill="auto"/>
            <w:noWrap/>
            <w:hideMark/>
          </w:tcPr>
          <w:p w14:paraId="21000C76" w14:textId="125913AC"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24388</w:t>
            </w:r>
          </w:p>
        </w:tc>
        <w:tc>
          <w:tcPr>
            <w:tcW w:w="596" w:type="dxa"/>
            <w:shd w:val="clear" w:color="auto" w:fill="auto"/>
            <w:noWrap/>
            <w:hideMark/>
          </w:tcPr>
          <w:p w14:paraId="19EAD520" w14:textId="74698B2C"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535</w:t>
            </w:r>
          </w:p>
        </w:tc>
        <w:tc>
          <w:tcPr>
            <w:tcW w:w="718" w:type="dxa"/>
            <w:shd w:val="clear" w:color="auto" w:fill="auto"/>
            <w:noWrap/>
            <w:hideMark/>
          </w:tcPr>
          <w:p w14:paraId="60FEE053" w14:textId="4F7E9902"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2.1%</w:t>
            </w:r>
          </w:p>
        </w:tc>
        <w:tc>
          <w:tcPr>
            <w:tcW w:w="770" w:type="dxa"/>
            <w:shd w:val="clear" w:color="auto" w:fill="auto"/>
            <w:noWrap/>
            <w:hideMark/>
          </w:tcPr>
          <w:p w14:paraId="2CF0B6BB" w14:textId="09FEF981"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97.9%</w:t>
            </w:r>
          </w:p>
        </w:tc>
      </w:tr>
      <w:tr w:rsidR="00537B13" w:rsidRPr="00537B13" w14:paraId="4D1EE700" w14:textId="77777777" w:rsidTr="00537B13">
        <w:trPr>
          <w:trHeight w:val="113"/>
        </w:trPr>
        <w:tc>
          <w:tcPr>
            <w:tcW w:w="1012" w:type="dxa"/>
            <w:shd w:val="clear" w:color="auto" w:fill="auto"/>
            <w:noWrap/>
            <w:hideMark/>
          </w:tcPr>
          <w:p w14:paraId="518EDCB7" w14:textId="7CAFF4C7" w:rsidR="00537B13" w:rsidRPr="00B5251D" w:rsidRDefault="00537B13" w:rsidP="00537B13">
            <w:pPr>
              <w:spacing w:after="0" w:line="240" w:lineRule="auto"/>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2017/18</w:t>
            </w:r>
          </w:p>
        </w:tc>
        <w:tc>
          <w:tcPr>
            <w:tcW w:w="828" w:type="dxa"/>
            <w:shd w:val="clear" w:color="auto" w:fill="auto"/>
            <w:noWrap/>
            <w:hideMark/>
          </w:tcPr>
          <w:p w14:paraId="70B64007" w14:textId="6F23AC74"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23742</w:t>
            </w:r>
          </w:p>
        </w:tc>
        <w:tc>
          <w:tcPr>
            <w:tcW w:w="828" w:type="dxa"/>
            <w:shd w:val="clear" w:color="auto" w:fill="auto"/>
            <w:noWrap/>
            <w:hideMark/>
          </w:tcPr>
          <w:p w14:paraId="1AC34DCC" w14:textId="079C9D95"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23229</w:t>
            </w:r>
          </w:p>
        </w:tc>
        <w:tc>
          <w:tcPr>
            <w:tcW w:w="596" w:type="dxa"/>
            <w:shd w:val="clear" w:color="auto" w:fill="auto"/>
            <w:noWrap/>
            <w:hideMark/>
          </w:tcPr>
          <w:p w14:paraId="518C4B52" w14:textId="5E795E0D"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513</w:t>
            </w:r>
          </w:p>
        </w:tc>
        <w:tc>
          <w:tcPr>
            <w:tcW w:w="718" w:type="dxa"/>
            <w:shd w:val="clear" w:color="auto" w:fill="auto"/>
            <w:noWrap/>
            <w:hideMark/>
          </w:tcPr>
          <w:p w14:paraId="0E327C2F" w14:textId="6A6CE0E8"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2.2%</w:t>
            </w:r>
          </w:p>
        </w:tc>
        <w:tc>
          <w:tcPr>
            <w:tcW w:w="770" w:type="dxa"/>
            <w:shd w:val="clear" w:color="auto" w:fill="auto"/>
            <w:noWrap/>
            <w:hideMark/>
          </w:tcPr>
          <w:p w14:paraId="41D2C00F" w14:textId="13DF50B2"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97.8%</w:t>
            </w:r>
          </w:p>
        </w:tc>
      </w:tr>
      <w:tr w:rsidR="00537B13" w:rsidRPr="00537B13" w14:paraId="59BD5346" w14:textId="77777777" w:rsidTr="00537B13">
        <w:trPr>
          <w:trHeight w:val="113"/>
        </w:trPr>
        <w:tc>
          <w:tcPr>
            <w:tcW w:w="1012" w:type="dxa"/>
            <w:shd w:val="clear" w:color="auto" w:fill="auto"/>
            <w:noWrap/>
            <w:hideMark/>
          </w:tcPr>
          <w:p w14:paraId="3590C5E4" w14:textId="2FE243EA" w:rsidR="00537B13" w:rsidRPr="00B5251D" w:rsidRDefault="00537B13" w:rsidP="00537B13">
            <w:pPr>
              <w:spacing w:after="0" w:line="240" w:lineRule="auto"/>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2018/19</w:t>
            </w:r>
          </w:p>
        </w:tc>
        <w:tc>
          <w:tcPr>
            <w:tcW w:w="828" w:type="dxa"/>
            <w:shd w:val="clear" w:color="auto" w:fill="auto"/>
            <w:noWrap/>
            <w:hideMark/>
          </w:tcPr>
          <w:p w14:paraId="0E047BF8" w14:textId="64268DB8"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23854</w:t>
            </w:r>
          </w:p>
        </w:tc>
        <w:tc>
          <w:tcPr>
            <w:tcW w:w="828" w:type="dxa"/>
            <w:shd w:val="clear" w:color="auto" w:fill="auto"/>
            <w:noWrap/>
            <w:hideMark/>
          </w:tcPr>
          <w:p w14:paraId="5D149F26" w14:textId="69967BA6"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23320</w:t>
            </w:r>
          </w:p>
        </w:tc>
        <w:tc>
          <w:tcPr>
            <w:tcW w:w="596" w:type="dxa"/>
            <w:shd w:val="clear" w:color="auto" w:fill="auto"/>
            <w:noWrap/>
            <w:hideMark/>
          </w:tcPr>
          <w:p w14:paraId="7B2A6EA3" w14:textId="0E7ACD75"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534</w:t>
            </w:r>
          </w:p>
        </w:tc>
        <w:tc>
          <w:tcPr>
            <w:tcW w:w="718" w:type="dxa"/>
            <w:shd w:val="clear" w:color="auto" w:fill="auto"/>
            <w:noWrap/>
            <w:hideMark/>
          </w:tcPr>
          <w:p w14:paraId="25E34A65" w14:textId="212BB4B7"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2.2%</w:t>
            </w:r>
          </w:p>
        </w:tc>
        <w:tc>
          <w:tcPr>
            <w:tcW w:w="770" w:type="dxa"/>
            <w:shd w:val="clear" w:color="auto" w:fill="auto"/>
            <w:noWrap/>
            <w:hideMark/>
          </w:tcPr>
          <w:p w14:paraId="1BA9BCD1" w14:textId="7AC092D5"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97.8%</w:t>
            </w:r>
          </w:p>
        </w:tc>
      </w:tr>
      <w:tr w:rsidR="00537B13" w:rsidRPr="00537B13" w14:paraId="299E86EF" w14:textId="77777777" w:rsidTr="00537B13">
        <w:trPr>
          <w:trHeight w:val="113"/>
        </w:trPr>
        <w:tc>
          <w:tcPr>
            <w:tcW w:w="1012" w:type="dxa"/>
            <w:shd w:val="clear" w:color="auto" w:fill="auto"/>
            <w:noWrap/>
            <w:hideMark/>
          </w:tcPr>
          <w:p w14:paraId="4F308ADB" w14:textId="37B7274B" w:rsidR="00537B13" w:rsidRPr="00B5251D" w:rsidRDefault="00537B13" w:rsidP="00537B13">
            <w:pPr>
              <w:spacing w:after="0" w:line="240" w:lineRule="auto"/>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2019/20</w:t>
            </w:r>
          </w:p>
        </w:tc>
        <w:tc>
          <w:tcPr>
            <w:tcW w:w="828" w:type="dxa"/>
            <w:shd w:val="clear" w:color="auto" w:fill="auto"/>
            <w:noWrap/>
            <w:hideMark/>
          </w:tcPr>
          <w:p w14:paraId="144BD904" w14:textId="447299CA"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23834</w:t>
            </w:r>
          </w:p>
        </w:tc>
        <w:tc>
          <w:tcPr>
            <w:tcW w:w="828" w:type="dxa"/>
            <w:shd w:val="clear" w:color="auto" w:fill="auto"/>
            <w:noWrap/>
            <w:hideMark/>
          </w:tcPr>
          <w:p w14:paraId="3CD11FAE" w14:textId="571BF951"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23284</w:t>
            </w:r>
          </w:p>
        </w:tc>
        <w:tc>
          <w:tcPr>
            <w:tcW w:w="596" w:type="dxa"/>
            <w:shd w:val="clear" w:color="auto" w:fill="auto"/>
            <w:noWrap/>
            <w:hideMark/>
          </w:tcPr>
          <w:p w14:paraId="3DB93D03" w14:textId="6E79FE6B"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550</w:t>
            </w:r>
          </w:p>
        </w:tc>
        <w:tc>
          <w:tcPr>
            <w:tcW w:w="718" w:type="dxa"/>
            <w:shd w:val="clear" w:color="auto" w:fill="auto"/>
            <w:noWrap/>
            <w:hideMark/>
          </w:tcPr>
          <w:p w14:paraId="06667E06" w14:textId="0BEBB924"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2.3%</w:t>
            </w:r>
          </w:p>
        </w:tc>
        <w:tc>
          <w:tcPr>
            <w:tcW w:w="770" w:type="dxa"/>
            <w:shd w:val="clear" w:color="auto" w:fill="auto"/>
            <w:noWrap/>
            <w:hideMark/>
          </w:tcPr>
          <w:p w14:paraId="24FD6F2B" w14:textId="1D22CB9B"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97.7%</w:t>
            </w:r>
          </w:p>
        </w:tc>
      </w:tr>
      <w:tr w:rsidR="00537B13" w:rsidRPr="00537B13" w14:paraId="469F7D3B" w14:textId="77777777" w:rsidTr="00537B13">
        <w:trPr>
          <w:trHeight w:val="113"/>
        </w:trPr>
        <w:tc>
          <w:tcPr>
            <w:tcW w:w="1012" w:type="dxa"/>
            <w:shd w:val="clear" w:color="auto" w:fill="auto"/>
            <w:noWrap/>
            <w:hideMark/>
          </w:tcPr>
          <w:p w14:paraId="41AB4F26" w14:textId="12831DD1" w:rsidR="00537B13" w:rsidRPr="00B5251D" w:rsidRDefault="00537B13" w:rsidP="00537B13">
            <w:pPr>
              <w:spacing w:after="0" w:line="240" w:lineRule="auto"/>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2020/21</w:t>
            </w:r>
          </w:p>
        </w:tc>
        <w:tc>
          <w:tcPr>
            <w:tcW w:w="828" w:type="dxa"/>
            <w:shd w:val="clear" w:color="auto" w:fill="auto"/>
            <w:noWrap/>
            <w:hideMark/>
          </w:tcPr>
          <w:p w14:paraId="640833DA" w14:textId="5FFB23DE"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23799</w:t>
            </w:r>
          </w:p>
        </w:tc>
        <w:tc>
          <w:tcPr>
            <w:tcW w:w="828" w:type="dxa"/>
            <w:shd w:val="clear" w:color="auto" w:fill="auto"/>
            <w:noWrap/>
            <w:hideMark/>
          </w:tcPr>
          <w:p w14:paraId="29BA243D" w14:textId="7F727F1B"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23246</w:t>
            </w:r>
          </w:p>
        </w:tc>
        <w:tc>
          <w:tcPr>
            <w:tcW w:w="596" w:type="dxa"/>
            <w:shd w:val="clear" w:color="auto" w:fill="auto"/>
            <w:noWrap/>
            <w:hideMark/>
          </w:tcPr>
          <w:p w14:paraId="650CFD2B" w14:textId="14575C9E"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553</w:t>
            </w:r>
          </w:p>
        </w:tc>
        <w:tc>
          <w:tcPr>
            <w:tcW w:w="718" w:type="dxa"/>
            <w:shd w:val="clear" w:color="auto" w:fill="auto"/>
            <w:noWrap/>
            <w:hideMark/>
          </w:tcPr>
          <w:p w14:paraId="3E593FA0" w14:textId="0ACB93D0"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2.3%</w:t>
            </w:r>
          </w:p>
        </w:tc>
        <w:tc>
          <w:tcPr>
            <w:tcW w:w="770" w:type="dxa"/>
            <w:shd w:val="clear" w:color="auto" w:fill="auto"/>
            <w:noWrap/>
            <w:hideMark/>
          </w:tcPr>
          <w:p w14:paraId="00EAB146" w14:textId="557BDFD0" w:rsidR="00537B13" w:rsidRPr="00B5251D" w:rsidRDefault="00537B13" w:rsidP="00537B13">
            <w:pPr>
              <w:spacing w:after="0" w:line="240" w:lineRule="auto"/>
              <w:jc w:val="right"/>
              <w:rPr>
                <w:rFonts w:asciiTheme="minorHAnsi" w:eastAsia="Times New Roman" w:hAnsiTheme="minorHAnsi" w:cstheme="minorHAnsi"/>
                <w:color w:val="000000"/>
                <w:sz w:val="10"/>
                <w:szCs w:val="10"/>
                <w:lang w:eastAsia="en-AU"/>
              </w:rPr>
            </w:pPr>
            <w:r w:rsidRPr="00537B13">
              <w:rPr>
                <w:rFonts w:asciiTheme="minorHAnsi" w:hAnsiTheme="minorHAnsi" w:cstheme="minorHAnsi"/>
                <w:sz w:val="10"/>
                <w:szCs w:val="10"/>
              </w:rPr>
              <w:t>97.7%</w:t>
            </w:r>
          </w:p>
        </w:tc>
      </w:tr>
    </w:tbl>
    <w:p w14:paraId="428C3DBF" w14:textId="77777777" w:rsidR="00537B13" w:rsidRDefault="00537B13" w:rsidP="00B5251D">
      <w:pPr>
        <w:rPr>
          <w:lang w:val="en-US"/>
        </w:rPr>
      </w:pPr>
    </w:p>
    <w:p w14:paraId="0FE6865B" w14:textId="77777777" w:rsidR="008D619E" w:rsidRDefault="008D619E" w:rsidP="00B5251D">
      <w:pPr>
        <w:rPr>
          <w:lang w:val="en-US"/>
        </w:rPr>
      </w:pPr>
    </w:p>
    <w:p w14:paraId="05101A2D" w14:textId="77777777" w:rsidR="008D619E" w:rsidRDefault="008D619E" w:rsidP="00B5251D">
      <w:pPr>
        <w:rPr>
          <w:lang w:val="en-US"/>
        </w:rPr>
      </w:pPr>
    </w:p>
    <w:p w14:paraId="16BF087E" w14:textId="77777777" w:rsidR="008D619E" w:rsidRDefault="008D619E" w:rsidP="00B5251D">
      <w:pPr>
        <w:rPr>
          <w:lang w:val="en-US"/>
        </w:rPr>
      </w:pPr>
    </w:p>
    <w:p w14:paraId="0250B4E7" w14:textId="77777777" w:rsidR="008D619E" w:rsidRDefault="008D619E" w:rsidP="00B5251D">
      <w:pPr>
        <w:rPr>
          <w:lang w:val="en-US"/>
        </w:rPr>
      </w:pPr>
    </w:p>
    <w:p w14:paraId="30777931" w14:textId="1649C1ED" w:rsidR="008D619E" w:rsidRPr="00B5251D" w:rsidRDefault="008D619E" w:rsidP="00B5251D">
      <w:pPr>
        <w:rPr>
          <w:lang w:val="en-US"/>
        </w:rPr>
      </w:pPr>
    </w:p>
    <w:p w14:paraId="3F4A96B0" w14:textId="77777777" w:rsidR="008D619E" w:rsidRDefault="008D619E" w:rsidP="008B2387">
      <w:pPr>
        <w:pStyle w:val="Source"/>
      </w:pPr>
      <w:bookmarkStart w:id="107" w:name="_Toc519674415"/>
      <w:bookmarkStart w:id="108" w:name="_Toc1628731087"/>
    </w:p>
    <w:p w14:paraId="77423E0E" w14:textId="77777777" w:rsidR="008D619E" w:rsidRDefault="008D619E" w:rsidP="008B2387">
      <w:pPr>
        <w:pStyle w:val="Source"/>
      </w:pPr>
    </w:p>
    <w:p w14:paraId="7B6E7BE7" w14:textId="77777777" w:rsidR="008D619E" w:rsidRDefault="008D619E" w:rsidP="008B2387">
      <w:pPr>
        <w:pStyle w:val="Source"/>
      </w:pPr>
    </w:p>
    <w:p w14:paraId="7226A868" w14:textId="4353A85B" w:rsidR="00A6421D" w:rsidRDefault="00A6421D" w:rsidP="008B2387">
      <w:pPr>
        <w:pStyle w:val="Source"/>
      </w:pPr>
      <w:r>
        <w:t>Source: ABS (2023) Microdata: Personal Income Tax Return [Datalab] accessed 1 December 2023</w:t>
      </w:r>
    </w:p>
    <w:p w14:paraId="501787A7" w14:textId="77777777" w:rsidR="00A6421D" w:rsidRDefault="00A6421D" w:rsidP="00A6421D">
      <w:pPr>
        <w:pStyle w:val="Heading3"/>
        <w:rPr>
          <w:rFonts w:cs="Arial"/>
          <w:color w:val="012749"/>
        </w:rPr>
      </w:pPr>
      <w:r>
        <w:lastRenderedPageBreak/>
        <w:t xml:space="preserve">Disability </w:t>
      </w:r>
      <w:bookmarkEnd w:id="107"/>
      <w:bookmarkEnd w:id="108"/>
    </w:p>
    <w:p w14:paraId="10E8FC75" w14:textId="6AD55100" w:rsidR="00023F51" w:rsidRDefault="00A6421D" w:rsidP="00023F51">
      <w:pPr>
        <w:pStyle w:val="Bodycopy"/>
      </w:pPr>
      <w:r>
        <w:t xml:space="preserve">This report is unable to directly estimate the proportion of the VET workforce that is with disability due to limitations in how Census collects this data, but </w:t>
      </w:r>
      <w:hyperlink w:anchor="Table_2_3" w:history="1">
        <w:r w:rsidRPr="009014D1">
          <w:rPr>
            <w:rStyle w:val="Hyperlink"/>
          </w:rPr>
          <w:t>Table 2.3</w:t>
        </w:r>
      </w:hyperlink>
      <w:r>
        <w:t xml:space="preserve"> does show the proportion of the workforce with one or more long-term health conditions. This proportion is a significant overestimate of disability compared to the ABS Disability, Ageing and Carers survey which shows 8.0% of the Australian </w:t>
      </w:r>
      <w:r w:rsidR="001D61E8">
        <w:t>w</w:t>
      </w:r>
      <w:r>
        <w:t xml:space="preserve">orkforce with disability (ABS 2019). </w:t>
      </w:r>
      <w:hyperlink w:anchor="Table_2_3" w:history="1">
        <w:r w:rsidRPr="009014D1">
          <w:rPr>
            <w:rStyle w:val="Hyperlink"/>
          </w:rPr>
          <w:t>Table 2.3</w:t>
        </w:r>
      </w:hyperlink>
      <w:r>
        <w:t xml:space="preserve"> also shows the proportion requiring assistance with core activities, which is a significant underestimate of disability compared to the same survey.</w:t>
      </w:r>
      <w:r>
        <w:rPr>
          <w:rStyle w:val="FootnoteReference"/>
        </w:rPr>
        <w:footnoteReference w:id="5"/>
      </w:r>
      <w:r w:rsidRPr="31E5FB58" w:rsidDel="00773F93">
        <w:rPr>
          <w:rStyle w:val="FootnoteReference"/>
        </w:rPr>
        <w:t xml:space="preserve"> </w:t>
      </w:r>
    </w:p>
    <w:p w14:paraId="31BC04D5" w14:textId="56BC4D29" w:rsidR="00A6421D" w:rsidRDefault="00A6421D" w:rsidP="00023F51">
      <w:pPr>
        <w:pStyle w:val="Bodycopy"/>
      </w:pPr>
      <w:r>
        <w:t>The TAFE workforce profile shows that the number of TAFE workers reporting that they live with a disability is generally around 3% which is also lower than the comparable ABS disability, ageing and carers survey.</w:t>
      </w:r>
    </w:p>
    <w:p w14:paraId="15124030" w14:textId="6658D885" w:rsidR="00A6421D" w:rsidRDefault="007E7EAD" w:rsidP="00023F51">
      <w:pPr>
        <w:pStyle w:val="Bodycopy"/>
      </w:pPr>
      <w:r>
        <w:t xml:space="preserve">By contrast, </w:t>
      </w:r>
      <w:r w:rsidR="00A6421D">
        <w:t>people with a disability are more likely than the general population to hold a Certificate III/IV (27.1% compared to 20.6%) and much less likely than the general population to hold a Bachelor degree or above (18.4% compared to 32.8%), indicating greater reliance on VET for educational attainment.</w:t>
      </w:r>
    </w:p>
    <w:p w14:paraId="78353EFC" w14:textId="0F6FD7D7" w:rsidR="00A6421D" w:rsidRDefault="00A6421D" w:rsidP="00A6421D">
      <w:pPr>
        <w:pStyle w:val="Caption"/>
        <w:keepNext/>
      </w:pPr>
      <w:bookmarkStart w:id="109" w:name="Table_2_3"/>
      <w:r>
        <w:t xml:space="preserve">Table </w:t>
      </w:r>
      <w:r w:rsidR="004B692A">
        <w:fldChar w:fldCharType="begin"/>
      </w:r>
      <w:r w:rsidR="004B692A">
        <w:instrText xml:space="preserve"> STYLEREF 1 \s </w:instrText>
      </w:r>
      <w:r w:rsidR="004B692A">
        <w:fldChar w:fldCharType="separate"/>
      </w:r>
      <w:r w:rsidR="00E7704E">
        <w:rPr>
          <w:noProof/>
        </w:rPr>
        <w:t>2</w:t>
      </w:r>
      <w:r w:rsidR="004B692A">
        <w:fldChar w:fldCharType="end"/>
      </w:r>
      <w:r w:rsidR="004B692A">
        <w:t>.</w:t>
      </w:r>
      <w:r w:rsidR="004B692A">
        <w:fldChar w:fldCharType="begin"/>
      </w:r>
      <w:r w:rsidR="004B692A">
        <w:instrText xml:space="preserve"> SEQ Table \* ARABIC \s 1 </w:instrText>
      </w:r>
      <w:r w:rsidR="004B692A">
        <w:fldChar w:fldCharType="separate"/>
      </w:r>
      <w:r w:rsidR="00E7704E">
        <w:rPr>
          <w:noProof/>
        </w:rPr>
        <w:t>3</w:t>
      </w:r>
      <w:r w:rsidR="004B692A">
        <w:fldChar w:fldCharType="end"/>
      </w:r>
      <w:r>
        <w:t xml:space="preserve"> </w:t>
      </w:r>
      <w:r w:rsidRPr="00993BAB">
        <w:t xml:space="preserve">VET </w:t>
      </w:r>
      <w:r w:rsidR="001D61E8">
        <w:t>w</w:t>
      </w:r>
      <w:r w:rsidRPr="00993BAB">
        <w:t xml:space="preserve">orkforce – </w:t>
      </w:r>
      <w:r w:rsidR="001D61E8">
        <w:t>p</w:t>
      </w:r>
      <w:r w:rsidRPr="00993BAB">
        <w:t>eople with long-term health conditions or need for assistance with core activities 2021 (%</w:t>
      </w:r>
      <w:r>
        <w:t xml:space="preserve"> of segment</w:t>
      </w:r>
      <w:r w:rsidRPr="00993BAB">
        <w:t>)</w:t>
      </w:r>
    </w:p>
    <w:tbl>
      <w:tblPr>
        <w:tblStyle w:val="JSATable1"/>
        <w:tblW w:w="8902" w:type="dxa"/>
        <w:tblLayout w:type="fixed"/>
        <w:tblLook w:val="04A0" w:firstRow="1" w:lastRow="0" w:firstColumn="1" w:lastColumn="0" w:noHBand="0" w:noVBand="1"/>
        <w:tblDescription w:val="VET Workforce – People with long-term health conditions or need for assistance with core activities 2021 (% of segment)"/>
      </w:tblPr>
      <w:tblGrid>
        <w:gridCol w:w="4199"/>
        <w:gridCol w:w="2421"/>
        <w:gridCol w:w="2282"/>
      </w:tblGrid>
      <w:tr w:rsidR="00A6421D" w14:paraId="07033015" w14:textId="77777777" w:rsidTr="007F5487">
        <w:trPr>
          <w:cnfStyle w:val="100000000000" w:firstRow="1" w:lastRow="0" w:firstColumn="0" w:lastColumn="0" w:oddVBand="0" w:evenVBand="0" w:oddHBand="0" w:evenHBand="0" w:firstRowFirstColumn="0" w:firstRowLastColumn="0" w:lastRowFirstColumn="0" w:lastRowLastColumn="0"/>
          <w:trHeight w:val="1173"/>
          <w:tblHeader/>
        </w:trPr>
        <w:tc>
          <w:tcPr>
            <w:cnfStyle w:val="001000000100" w:firstRow="0" w:lastRow="0" w:firstColumn="1" w:lastColumn="0" w:oddVBand="0" w:evenVBand="0" w:oddHBand="0" w:evenHBand="0" w:firstRowFirstColumn="1" w:firstRowLastColumn="0" w:lastRowFirstColumn="0" w:lastRowLastColumn="0"/>
            <w:tcW w:w="4253" w:type="dxa"/>
          </w:tcPr>
          <w:bookmarkEnd w:id="109"/>
          <w:p w14:paraId="2DBE49AD" w14:textId="77777777" w:rsidR="00A6421D" w:rsidRPr="007D584E" w:rsidRDefault="00A6421D" w:rsidP="00D2208E">
            <w:pPr>
              <w:pStyle w:val="Tableheader"/>
              <w:ind w:left="177"/>
              <w:jc w:val="left"/>
              <w:rPr>
                <w:sz w:val="20"/>
                <w:szCs w:val="20"/>
              </w:rPr>
            </w:pPr>
            <w:r w:rsidRPr="007D584E">
              <w:rPr>
                <w:sz w:val="20"/>
                <w:szCs w:val="20"/>
              </w:rPr>
              <w:t>Workforce Segment</w:t>
            </w:r>
          </w:p>
        </w:tc>
        <w:tc>
          <w:tcPr>
            <w:tcW w:w="2452" w:type="dxa"/>
          </w:tcPr>
          <w:p w14:paraId="781D3CB3" w14:textId="24E4740A" w:rsidR="00A6421D" w:rsidRPr="007D584E" w:rsidRDefault="00A6421D" w:rsidP="00D84A3A">
            <w:pPr>
              <w:pStyle w:val="Tableheader"/>
              <w:cnfStyle w:val="100000000000" w:firstRow="1" w:lastRow="0" w:firstColumn="0" w:lastColumn="0" w:oddVBand="0" w:evenVBand="0" w:oddHBand="0" w:evenHBand="0" w:firstRowFirstColumn="0" w:firstRowLastColumn="0" w:lastRowFirstColumn="0" w:lastRowLastColumn="0"/>
              <w:rPr>
                <w:szCs w:val="20"/>
              </w:rPr>
            </w:pPr>
            <w:r w:rsidRPr="007D584E">
              <w:rPr>
                <w:szCs w:val="20"/>
              </w:rPr>
              <w:t xml:space="preserve">Long-term </w:t>
            </w:r>
            <w:r w:rsidR="00AA00E3">
              <w:rPr>
                <w:szCs w:val="20"/>
              </w:rPr>
              <w:br/>
            </w:r>
            <w:r w:rsidRPr="007D584E">
              <w:rPr>
                <w:szCs w:val="20"/>
              </w:rPr>
              <w:t xml:space="preserve">health </w:t>
            </w:r>
            <w:r w:rsidR="00D2208E" w:rsidRPr="007D584E">
              <w:rPr>
                <w:szCs w:val="20"/>
              </w:rPr>
              <w:br/>
            </w:r>
            <w:r w:rsidRPr="007D584E">
              <w:rPr>
                <w:szCs w:val="20"/>
              </w:rPr>
              <w:t>condition</w:t>
            </w:r>
          </w:p>
        </w:tc>
        <w:tc>
          <w:tcPr>
            <w:tcW w:w="2311" w:type="dxa"/>
          </w:tcPr>
          <w:p w14:paraId="14AE8A7A" w14:textId="23F1385C" w:rsidR="00A6421D" w:rsidRPr="007D584E" w:rsidRDefault="00A6421D" w:rsidP="00D84A3A">
            <w:pPr>
              <w:pStyle w:val="Tableheader"/>
              <w:cnfStyle w:val="100000000000" w:firstRow="1" w:lastRow="0" w:firstColumn="0" w:lastColumn="0" w:oddVBand="0" w:evenVBand="0" w:oddHBand="0" w:evenHBand="0" w:firstRowFirstColumn="0" w:firstRowLastColumn="0" w:lastRowFirstColumn="0" w:lastRowLastColumn="0"/>
              <w:rPr>
                <w:szCs w:val="20"/>
              </w:rPr>
            </w:pPr>
            <w:r w:rsidRPr="007D584E">
              <w:rPr>
                <w:szCs w:val="20"/>
              </w:rPr>
              <w:t xml:space="preserve">Need for </w:t>
            </w:r>
            <w:r w:rsidR="00AA00E3">
              <w:rPr>
                <w:szCs w:val="20"/>
              </w:rPr>
              <w:br/>
            </w:r>
            <w:r w:rsidRPr="007D584E">
              <w:rPr>
                <w:szCs w:val="20"/>
              </w:rPr>
              <w:t xml:space="preserve">assistance with </w:t>
            </w:r>
            <w:r w:rsidR="00AA00E3">
              <w:rPr>
                <w:szCs w:val="20"/>
              </w:rPr>
              <w:br/>
            </w:r>
            <w:r w:rsidRPr="007D584E">
              <w:rPr>
                <w:szCs w:val="20"/>
              </w:rPr>
              <w:t>core activities</w:t>
            </w:r>
          </w:p>
        </w:tc>
      </w:tr>
      <w:tr w:rsidR="00A6421D" w14:paraId="2BA9FC48" w14:textId="77777777" w:rsidTr="00D2208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20584D3A" w14:textId="77777777" w:rsidR="00A6421D" w:rsidRPr="00966208" w:rsidRDefault="00A6421D" w:rsidP="00D2208E">
            <w:pPr>
              <w:pStyle w:val="Tablebodycopy"/>
              <w:ind w:left="177"/>
              <w:rPr>
                <w:b/>
                <w:bCs/>
              </w:rPr>
            </w:pPr>
            <w:r w:rsidRPr="00F839B0">
              <w:rPr>
                <w:b/>
                <w:bCs/>
              </w:rPr>
              <w:t>VET Workforce</w:t>
            </w:r>
          </w:p>
        </w:tc>
        <w:tc>
          <w:tcPr>
            <w:tcW w:w="2452" w:type="dxa"/>
            <w:vAlign w:val="center"/>
          </w:tcPr>
          <w:p w14:paraId="76977B5D" w14:textId="77777777" w:rsidR="00A6421D" w:rsidRPr="001A5303" w:rsidRDefault="00A6421D" w:rsidP="00D2208E">
            <w:pPr>
              <w:pStyle w:val="Tablebodycopy"/>
              <w:jc w:val="center"/>
              <w:cnfStyle w:val="000000100000" w:firstRow="0" w:lastRow="0" w:firstColumn="0" w:lastColumn="0" w:oddVBand="0" w:evenVBand="0" w:oddHBand="1" w:evenHBand="0" w:firstRowFirstColumn="0" w:firstRowLastColumn="0" w:lastRowFirstColumn="0" w:lastRowLastColumn="0"/>
            </w:pPr>
            <w:r w:rsidRPr="00F839B0">
              <w:rPr>
                <w:b/>
                <w:bCs/>
              </w:rPr>
              <w:t>36.0</w:t>
            </w:r>
            <w:r>
              <w:rPr>
                <w:b/>
                <w:bCs/>
              </w:rPr>
              <w:t>%</w:t>
            </w:r>
          </w:p>
        </w:tc>
        <w:tc>
          <w:tcPr>
            <w:tcW w:w="2311" w:type="dxa"/>
            <w:vAlign w:val="center"/>
          </w:tcPr>
          <w:p w14:paraId="2C64A210" w14:textId="77777777" w:rsidR="00A6421D" w:rsidRPr="001A5303" w:rsidRDefault="00A6421D" w:rsidP="00D2208E">
            <w:pPr>
              <w:pStyle w:val="Tablebodycopy"/>
              <w:jc w:val="center"/>
              <w:cnfStyle w:val="000000100000" w:firstRow="0" w:lastRow="0" w:firstColumn="0" w:lastColumn="0" w:oddVBand="0" w:evenVBand="0" w:oddHBand="1" w:evenHBand="0" w:firstRowFirstColumn="0" w:firstRowLastColumn="0" w:lastRowFirstColumn="0" w:lastRowLastColumn="0"/>
            </w:pPr>
            <w:r w:rsidRPr="00F839B0">
              <w:rPr>
                <w:b/>
                <w:bCs/>
              </w:rPr>
              <w:t>1.2</w:t>
            </w:r>
            <w:r>
              <w:rPr>
                <w:b/>
                <w:bCs/>
              </w:rPr>
              <w:t>%</w:t>
            </w:r>
          </w:p>
        </w:tc>
      </w:tr>
      <w:tr w:rsidR="00A6421D" w14:paraId="409BA864" w14:textId="77777777" w:rsidTr="00D2208E">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33402009" w14:textId="6F6400B5" w:rsidR="00A6421D" w:rsidRDefault="00CB29F6" w:rsidP="00D2208E">
            <w:pPr>
              <w:pStyle w:val="Tablebodycopy"/>
              <w:ind w:left="177"/>
            </w:pPr>
            <w:r>
              <w:t>Teach, Train, and Assess</w:t>
            </w:r>
          </w:p>
        </w:tc>
        <w:tc>
          <w:tcPr>
            <w:tcW w:w="2452" w:type="dxa"/>
            <w:vAlign w:val="center"/>
          </w:tcPr>
          <w:p w14:paraId="3E19D6DB" w14:textId="77777777" w:rsidR="00A6421D" w:rsidRDefault="00A6421D" w:rsidP="00D2208E">
            <w:pPr>
              <w:pStyle w:val="Tablebodycopy"/>
              <w:jc w:val="center"/>
              <w:cnfStyle w:val="000000010000" w:firstRow="0" w:lastRow="0" w:firstColumn="0" w:lastColumn="0" w:oddVBand="0" w:evenVBand="0" w:oddHBand="0" w:evenHBand="1" w:firstRowFirstColumn="0" w:firstRowLastColumn="0" w:lastRowFirstColumn="0" w:lastRowLastColumn="0"/>
            </w:pPr>
            <w:r w:rsidRPr="001A5303">
              <w:t>38.1</w:t>
            </w:r>
            <w:r>
              <w:t>%</w:t>
            </w:r>
          </w:p>
        </w:tc>
        <w:tc>
          <w:tcPr>
            <w:tcW w:w="2311" w:type="dxa"/>
            <w:vAlign w:val="center"/>
          </w:tcPr>
          <w:p w14:paraId="00546462" w14:textId="77777777" w:rsidR="00A6421D" w:rsidRDefault="00A6421D" w:rsidP="00D2208E">
            <w:pPr>
              <w:pStyle w:val="Tablebodycopy"/>
              <w:jc w:val="center"/>
              <w:cnfStyle w:val="000000010000" w:firstRow="0" w:lastRow="0" w:firstColumn="0" w:lastColumn="0" w:oddVBand="0" w:evenVBand="0" w:oddHBand="0" w:evenHBand="1" w:firstRowFirstColumn="0" w:firstRowLastColumn="0" w:lastRowFirstColumn="0" w:lastRowLastColumn="0"/>
            </w:pPr>
            <w:r w:rsidRPr="001A5303">
              <w:t>1.3</w:t>
            </w:r>
            <w:r>
              <w:t>%</w:t>
            </w:r>
          </w:p>
        </w:tc>
      </w:tr>
      <w:tr w:rsidR="00A6421D" w14:paraId="744858B5" w14:textId="77777777" w:rsidTr="00D2208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2E97E54A" w14:textId="77777777" w:rsidR="00A6421D" w:rsidRDefault="00A6421D" w:rsidP="00D2208E">
            <w:pPr>
              <w:pStyle w:val="Tablebodycopy"/>
              <w:ind w:left="177"/>
            </w:pPr>
            <w:r w:rsidRPr="001A5303">
              <w:t>Curriculum and Learning Design</w:t>
            </w:r>
          </w:p>
        </w:tc>
        <w:tc>
          <w:tcPr>
            <w:tcW w:w="2452" w:type="dxa"/>
            <w:vAlign w:val="center"/>
          </w:tcPr>
          <w:p w14:paraId="14440B65" w14:textId="77777777" w:rsidR="00A6421D" w:rsidRDefault="00A6421D" w:rsidP="00D2208E">
            <w:pPr>
              <w:pStyle w:val="Tablebodycopy"/>
              <w:jc w:val="center"/>
              <w:cnfStyle w:val="000000100000" w:firstRow="0" w:lastRow="0" w:firstColumn="0" w:lastColumn="0" w:oddVBand="0" w:evenVBand="0" w:oddHBand="1" w:evenHBand="0" w:firstRowFirstColumn="0" w:firstRowLastColumn="0" w:lastRowFirstColumn="0" w:lastRowLastColumn="0"/>
            </w:pPr>
            <w:r w:rsidRPr="001A5303">
              <w:t>37.9</w:t>
            </w:r>
            <w:r>
              <w:t>%</w:t>
            </w:r>
          </w:p>
        </w:tc>
        <w:tc>
          <w:tcPr>
            <w:tcW w:w="2311" w:type="dxa"/>
            <w:vAlign w:val="center"/>
          </w:tcPr>
          <w:p w14:paraId="1175EE6C" w14:textId="77777777" w:rsidR="00A6421D" w:rsidRDefault="00A6421D" w:rsidP="00D2208E">
            <w:pPr>
              <w:pStyle w:val="Tablebodycopy"/>
              <w:jc w:val="center"/>
              <w:cnfStyle w:val="000000100000" w:firstRow="0" w:lastRow="0" w:firstColumn="0" w:lastColumn="0" w:oddVBand="0" w:evenVBand="0" w:oddHBand="1" w:evenHBand="0" w:firstRowFirstColumn="0" w:firstRowLastColumn="0" w:lastRowFirstColumn="0" w:lastRowLastColumn="0"/>
            </w:pPr>
            <w:r w:rsidRPr="001A5303">
              <w:t>1.0</w:t>
            </w:r>
            <w:r>
              <w:t>%</w:t>
            </w:r>
          </w:p>
        </w:tc>
      </w:tr>
      <w:tr w:rsidR="00A6421D" w14:paraId="0962C912" w14:textId="77777777" w:rsidTr="00D2208E">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16800FCB" w14:textId="77777777" w:rsidR="00A6421D" w:rsidRDefault="00A6421D" w:rsidP="00D2208E">
            <w:pPr>
              <w:pStyle w:val="Tablebodycopy"/>
              <w:ind w:left="177"/>
            </w:pPr>
            <w:r w:rsidRPr="001A5303">
              <w:t>Quality Assurance and Compliance</w:t>
            </w:r>
          </w:p>
        </w:tc>
        <w:tc>
          <w:tcPr>
            <w:tcW w:w="2452" w:type="dxa"/>
            <w:vAlign w:val="center"/>
          </w:tcPr>
          <w:p w14:paraId="49EA91EC" w14:textId="77777777" w:rsidR="00A6421D" w:rsidRDefault="00A6421D" w:rsidP="00D2208E">
            <w:pPr>
              <w:pStyle w:val="Tablebodycopy"/>
              <w:jc w:val="center"/>
              <w:cnfStyle w:val="000000010000" w:firstRow="0" w:lastRow="0" w:firstColumn="0" w:lastColumn="0" w:oddVBand="0" w:evenVBand="0" w:oddHBand="0" w:evenHBand="1" w:firstRowFirstColumn="0" w:firstRowLastColumn="0" w:lastRowFirstColumn="0" w:lastRowLastColumn="0"/>
            </w:pPr>
            <w:r w:rsidRPr="001A5303">
              <w:t>39.7</w:t>
            </w:r>
            <w:r>
              <w:t>%</w:t>
            </w:r>
          </w:p>
        </w:tc>
        <w:tc>
          <w:tcPr>
            <w:tcW w:w="2311" w:type="dxa"/>
            <w:vAlign w:val="center"/>
          </w:tcPr>
          <w:p w14:paraId="46ECE6E5" w14:textId="77777777" w:rsidR="00A6421D" w:rsidRDefault="00A6421D" w:rsidP="00D2208E">
            <w:pPr>
              <w:pStyle w:val="Tablebodycopy"/>
              <w:jc w:val="center"/>
              <w:cnfStyle w:val="000000010000" w:firstRow="0" w:lastRow="0" w:firstColumn="0" w:lastColumn="0" w:oddVBand="0" w:evenVBand="0" w:oddHBand="0" w:evenHBand="1" w:firstRowFirstColumn="0" w:firstRowLastColumn="0" w:lastRowFirstColumn="0" w:lastRowLastColumn="0"/>
            </w:pPr>
            <w:r w:rsidRPr="001A5303">
              <w:t>1.0</w:t>
            </w:r>
            <w:r>
              <w:t>%</w:t>
            </w:r>
          </w:p>
        </w:tc>
      </w:tr>
      <w:tr w:rsidR="00A6421D" w14:paraId="71D39F57" w14:textId="77777777" w:rsidTr="00D2208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2DC85DE7" w14:textId="77777777" w:rsidR="00A6421D" w:rsidRDefault="00A6421D" w:rsidP="00D2208E">
            <w:pPr>
              <w:pStyle w:val="Tablebodycopy"/>
              <w:ind w:left="177"/>
            </w:pPr>
            <w:r w:rsidRPr="001A5303">
              <w:t>Leadership</w:t>
            </w:r>
          </w:p>
        </w:tc>
        <w:tc>
          <w:tcPr>
            <w:tcW w:w="2452" w:type="dxa"/>
            <w:vAlign w:val="center"/>
          </w:tcPr>
          <w:p w14:paraId="7AC740C1" w14:textId="77777777" w:rsidR="00A6421D" w:rsidRDefault="00A6421D" w:rsidP="00D2208E">
            <w:pPr>
              <w:pStyle w:val="Tablebodycopy"/>
              <w:jc w:val="center"/>
              <w:cnfStyle w:val="000000100000" w:firstRow="0" w:lastRow="0" w:firstColumn="0" w:lastColumn="0" w:oddVBand="0" w:evenVBand="0" w:oddHBand="1" w:evenHBand="0" w:firstRowFirstColumn="0" w:firstRowLastColumn="0" w:lastRowFirstColumn="0" w:lastRowLastColumn="0"/>
            </w:pPr>
            <w:r w:rsidRPr="001A5303">
              <w:t>32.9</w:t>
            </w:r>
            <w:r>
              <w:t>%</w:t>
            </w:r>
          </w:p>
        </w:tc>
        <w:tc>
          <w:tcPr>
            <w:tcW w:w="2311" w:type="dxa"/>
            <w:vAlign w:val="center"/>
          </w:tcPr>
          <w:p w14:paraId="490C2426" w14:textId="77777777" w:rsidR="00A6421D" w:rsidRDefault="00A6421D" w:rsidP="00D2208E">
            <w:pPr>
              <w:pStyle w:val="Tablebodycopy"/>
              <w:jc w:val="center"/>
              <w:cnfStyle w:val="000000100000" w:firstRow="0" w:lastRow="0" w:firstColumn="0" w:lastColumn="0" w:oddVBand="0" w:evenVBand="0" w:oddHBand="1" w:evenHBand="0" w:firstRowFirstColumn="0" w:firstRowLastColumn="0" w:lastRowFirstColumn="0" w:lastRowLastColumn="0"/>
            </w:pPr>
            <w:r w:rsidRPr="001A5303">
              <w:t>0.9</w:t>
            </w:r>
            <w:r>
              <w:t>%</w:t>
            </w:r>
          </w:p>
        </w:tc>
      </w:tr>
      <w:tr w:rsidR="00A6421D" w14:paraId="347E7DB6" w14:textId="77777777" w:rsidTr="00D2208E">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E94CF21" w14:textId="77777777" w:rsidR="00A6421D" w:rsidRDefault="00A6421D" w:rsidP="00D2208E">
            <w:pPr>
              <w:pStyle w:val="Tablebodycopy"/>
              <w:ind w:left="177"/>
            </w:pPr>
            <w:r w:rsidRPr="001A5303">
              <w:t>Learning Support</w:t>
            </w:r>
          </w:p>
        </w:tc>
        <w:tc>
          <w:tcPr>
            <w:tcW w:w="2452" w:type="dxa"/>
            <w:vAlign w:val="center"/>
          </w:tcPr>
          <w:p w14:paraId="0DDB0F04" w14:textId="77777777" w:rsidR="00A6421D" w:rsidRDefault="00A6421D" w:rsidP="00D2208E">
            <w:pPr>
              <w:pStyle w:val="Tablebodycopy"/>
              <w:jc w:val="center"/>
              <w:cnfStyle w:val="000000010000" w:firstRow="0" w:lastRow="0" w:firstColumn="0" w:lastColumn="0" w:oddVBand="0" w:evenVBand="0" w:oddHBand="0" w:evenHBand="1" w:firstRowFirstColumn="0" w:firstRowLastColumn="0" w:lastRowFirstColumn="0" w:lastRowLastColumn="0"/>
            </w:pPr>
            <w:r w:rsidRPr="001A5303">
              <w:t>41.7</w:t>
            </w:r>
            <w:r>
              <w:t>%</w:t>
            </w:r>
          </w:p>
        </w:tc>
        <w:tc>
          <w:tcPr>
            <w:tcW w:w="2311" w:type="dxa"/>
            <w:vAlign w:val="center"/>
          </w:tcPr>
          <w:p w14:paraId="27DBC0C1" w14:textId="77777777" w:rsidR="00A6421D" w:rsidRDefault="00A6421D" w:rsidP="00D2208E">
            <w:pPr>
              <w:pStyle w:val="Tablebodycopy"/>
              <w:jc w:val="center"/>
              <w:cnfStyle w:val="000000010000" w:firstRow="0" w:lastRow="0" w:firstColumn="0" w:lastColumn="0" w:oddVBand="0" w:evenVBand="0" w:oddHBand="0" w:evenHBand="1" w:firstRowFirstColumn="0" w:firstRowLastColumn="0" w:lastRowFirstColumn="0" w:lastRowLastColumn="0"/>
            </w:pPr>
            <w:r w:rsidRPr="001A5303">
              <w:t>1.7</w:t>
            </w:r>
            <w:r>
              <w:t>%</w:t>
            </w:r>
          </w:p>
        </w:tc>
      </w:tr>
      <w:tr w:rsidR="00A6421D" w14:paraId="22EB2C2F" w14:textId="77777777" w:rsidTr="0020761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53" w:type="dxa"/>
            <w:tcBorders>
              <w:bottom w:val="nil"/>
            </w:tcBorders>
            <w:vAlign w:val="center"/>
          </w:tcPr>
          <w:p w14:paraId="73A98189" w14:textId="77777777" w:rsidR="00A6421D" w:rsidRDefault="00A6421D" w:rsidP="00D2208E">
            <w:pPr>
              <w:pStyle w:val="Tablebodycopy"/>
              <w:ind w:left="177"/>
            </w:pPr>
            <w:r w:rsidRPr="001A5303">
              <w:t>Administration and Operations</w:t>
            </w:r>
          </w:p>
        </w:tc>
        <w:tc>
          <w:tcPr>
            <w:tcW w:w="2452" w:type="dxa"/>
            <w:tcBorders>
              <w:bottom w:val="nil"/>
            </w:tcBorders>
            <w:vAlign w:val="center"/>
          </w:tcPr>
          <w:p w14:paraId="48DB5D7B" w14:textId="77777777" w:rsidR="00A6421D" w:rsidRDefault="00A6421D" w:rsidP="00D2208E">
            <w:pPr>
              <w:pStyle w:val="Tablebodycopy"/>
              <w:jc w:val="center"/>
              <w:cnfStyle w:val="000000100000" w:firstRow="0" w:lastRow="0" w:firstColumn="0" w:lastColumn="0" w:oddVBand="0" w:evenVBand="0" w:oddHBand="1" w:evenHBand="0" w:firstRowFirstColumn="0" w:firstRowLastColumn="0" w:lastRowFirstColumn="0" w:lastRowLastColumn="0"/>
            </w:pPr>
            <w:r w:rsidRPr="001A5303">
              <w:t>32.4</w:t>
            </w:r>
            <w:r>
              <w:t>%</w:t>
            </w:r>
          </w:p>
        </w:tc>
        <w:tc>
          <w:tcPr>
            <w:tcW w:w="2311" w:type="dxa"/>
            <w:tcBorders>
              <w:bottom w:val="nil"/>
            </w:tcBorders>
            <w:vAlign w:val="center"/>
          </w:tcPr>
          <w:p w14:paraId="229E0323" w14:textId="77777777" w:rsidR="00A6421D" w:rsidRDefault="00A6421D" w:rsidP="00D2208E">
            <w:pPr>
              <w:pStyle w:val="Tablebodycopy"/>
              <w:jc w:val="center"/>
              <w:cnfStyle w:val="000000100000" w:firstRow="0" w:lastRow="0" w:firstColumn="0" w:lastColumn="0" w:oddVBand="0" w:evenVBand="0" w:oddHBand="1" w:evenHBand="0" w:firstRowFirstColumn="0" w:firstRowLastColumn="0" w:lastRowFirstColumn="0" w:lastRowLastColumn="0"/>
            </w:pPr>
            <w:r w:rsidRPr="001A5303">
              <w:t>1.0</w:t>
            </w:r>
            <w:r>
              <w:t>%</w:t>
            </w:r>
          </w:p>
        </w:tc>
      </w:tr>
      <w:tr w:rsidR="00A6421D" w14:paraId="20F26806" w14:textId="77777777" w:rsidTr="00207618">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53" w:type="dxa"/>
            <w:tcBorders>
              <w:bottom w:val="single" w:sz="8" w:space="0" w:color="2F005F"/>
            </w:tcBorders>
            <w:vAlign w:val="center"/>
          </w:tcPr>
          <w:p w14:paraId="330AD214" w14:textId="77777777" w:rsidR="00A6421D" w:rsidRPr="00966208" w:rsidRDefault="00A6421D" w:rsidP="00D2208E">
            <w:pPr>
              <w:pStyle w:val="Tablebodycopy"/>
              <w:ind w:left="177"/>
              <w:rPr>
                <w:b/>
                <w:bCs/>
              </w:rPr>
            </w:pPr>
            <w:r w:rsidRPr="00966208">
              <w:rPr>
                <w:b/>
                <w:bCs/>
              </w:rPr>
              <w:t>Australian Workforce</w:t>
            </w:r>
          </w:p>
        </w:tc>
        <w:tc>
          <w:tcPr>
            <w:tcW w:w="2452" w:type="dxa"/>
            <w:tcBorders>
              <w:bottom w:val="single" w:sz="8" w:space="0" w:color="2F005F"/>
            </w:tcBorders>
            <w:vAlign w:val="center"/>
          </w:tcPr>
          <w:p w14:paraId="412A1C49" w14:textId="77777777" w:rsidR="00A6421D" w:rsidRPr="00966208" w:rsidRDefault="00A6421D" w:rsidP="00D2208E">
            <w:pPr>
              <w:pStyle w:val="Tablebodycopy"/>
              <w:jc w:val="center"/>
              <w:cnfStyle w:val="000000010000" w:firstRow="0" w:lastRow="0" w:firstColumn="0" w:lastColumn="0" w:oddVBand="0" w:evenVBand="0" w:oddHBand="0" w:evenHBand="1" w:firstRowFirstColumn="0" w:firstRowLastColumn="0" w:lastRowFirstColumn="0" w:lastRowLastColumn="0"/>
              <w:rPr>
                <w:b/>
                <w:bCs/>
              </w:rPr>
            </w:pPr>
            <w:r w:rsidRPr="00966208">
              <w:rPr>
                <w:b/>
                <w:bCs/>
              </w:rPr>
              <w:t>36.0</w:t>
            </w:r>
            <w:r>
              <w:rPr>
                <w:b/>
                <w:bCs/>
              </w:rPr>
              <w:t>%</w:t>
            </w:r>
          </w:p>
        </w:tc>
        <w:tc>
          <w:tcPr>
            <w:tcW w:w="2311" w:type="dxa"/>
            <w:tcBorders>
              <w:bottom w:val="single" w:sz="8" w:space="0" w:color="2F005F"/>
            </w:tcBorders>
            <w:vAlign w:val="center"/>
          </w:tcPr>
          <w:p w14:paraId="078C0041" w14:textId="77777777" w:rsidR="00A6421D" w:rsidRPr="00966208" w:rsidRDefault="00A6421D" w:rsidP="00D2208E">
            <w:pPr>
              <w:pStyle w:val="Tablebodycopy"/>
              <w:jc w:val="center"/>
              <w:cnfStyle w:val="000000010000" w:firstRow="0" w:lastRow="0" w:firstColumn="0" w:lastColumn="0" w:oddVBand="0" w:evenVBand="0" w:oddHBand="0" w:evenHBand="1" w:firstRowFirstColumn="0" w:firstRowLastColumn="0" w:lastRowFirstColumn="0" w:lastRowLastColumn="0"/>
              <w:rPr>
                <w:b/>
                <w:bCs/>
              </w:rPr>
            </w:pPr>
            <w:r w:rsidRPr="00966208">
              <w:rPr>
                <w:b/>
                <w:bCs/>
              </w:rPr>
              <w:t>1.2</w:t>
            </w:r>
            <w:r>
              <w:rPr>
                <w:b/>
                <w:bCs/>
              </w:rPr>
              <w:t>%</w:t>
            </w:r>
          </w:p>
        </w:tc>
      </w:tr>
    </w:tbl>
    <w:p w14:paraId="0E8D80AE" w14:textId="7DA9E501" w:rsidR="00A6421D" w:rsidRDefault="00A6421D" w:rsidP="008B2387">
      <w:pPr>
        <w:pStyle w:val="Source"/>
      </w:pPr>
      <w:r>
        <w:t xml:space="preserve">Source: </w:t>
      </w:r>
      <w:r w:rsidRPr="00F839B0">
        <w:t xml:space="preserve">ABS (2021) </w:t>
      </w:r>
      <w:r w:rsidR="00C55B22">
        <w:t>Labour Force Status (LFSP) and Occupation (OCCP) and Industry of Employment (INDP) by whether one has one or more Long-Term Health Condition(s) (</w:t>
      </w:r>
      <w:r>
        <w:t>HLTHP</w:t>
      </w:r>
      <w:r w:rsidR="00C55B22">
        <w:t>) and</w:t>
      </w:r>
      <w:r w:rsidR="00E10CF9">
        <w:t xml:space="preserve"> Need for Assistance with Core Activities (</w:t>
      </w:r>
      <w:r>
        <w:t>ASSNP</w:t>
      </w:r>
      <w:r w:rsidR="00E10CF9">
        <w:t xml:space="preserve">) </w:t>
      </w:r>
      <w:r w:rsidRPr="00F839B0">
        <w:t>[</w:t>
      </w:r>
      <w:r w:rsidR="00E10CF9">
        <w:t xml:space="preserve">Census </w:t>
      </w:r>
      <w:r w:rsidRPr="00F839B0">
        <w:t xml:space="preserve">TableBuilder], accessed </w:t>
      </w:r>
      <w:r>
        <w:t>25 March 2024.</w:t>
      </w:r>
      <w:r>
        <w:br w:type="page"/>
      </w:r>
    </w:p>
    <w:p w14:paraId="658E4629" w14:textId="77777777" w:rsidR="00A6421D" w:rsidRDefault="00A6421D" w:rsidP="00A6421D">
      <w:pPr>
        <w:pStyle w:val="Heading2"/>
      </w:pPr>
      <w:bookmarkStart w:id="110" w:name="_Toc1324577185"/>
      <w:bookmarkStart w:id="111" w:name="_Toc176770982"/>
      <w:bookmarkStart w:id="112" w:name="_Toc150340161"/>
      <w:bookmarkStart w:id="113" w:name="_Toc1476229275"/>
      <w:bookmarkStart w:id="114" w:name="_Toc993416793"/>
      <w:r>
        <w:lastRenderedPageBreak/>
        <w:t>Geographic characteristics</w:t>
      </w:r>
      <w:bookmarkEnd w:id="110"/>
      <w:bookmarkEnd w:id="111"/>
    </w:p>
    <w:p w14:paraId="1E268084" w14:textId="5928F886" w:rsidR="00A6421D" w:rsidRDefault="00A6421D" w:rsidP="00E16D4F">
      <w:pPr>
        <w:pStyle w:val="Bodycopy"/>
      </w:pPr>
      <w:r>
        <w:t xml:space="preserve">The VET workforce has a similar geographic profile to the Australian workforce. Most of the VET workforce live in major cities (74.8%), with slightly more VET workers in inner regional Australia compared to the Australian workforce (17.5% compared to 16.7%). The VET workforce in outer regional, remote or very remote Australia is slightly lower than the Australian </w:t>
      </w:r>
      <w:r w:rsidR="00875D98">
        <w:t>workforce</w:t>
      </w:r>
      <w:r w:rsidR="006650FD">
        <w:t xml:space="preserve">, see </w:t>
      </w:r>
      <w:hyperlink w:anchor="Table_2_4" w:history="1">
        <w:r w:rsidR="006650FD" w:rsidRPr="009014D1">
          <w:rPr>
            <w:rStyle w:val="Hyperlink"/>
          </w:rPr>
          <w:t>Table 2.4</w:t>
        </w:r>
      </w:hyperlink>
      <w:r w:rsidR="00875D98">
        <w:t>.</w:t>
      </w:r>
      <w:r>
        <w:t xml:space="preserve"> </w:t>
      </w:r>
    </w:p>
    <w:p w14:paraId="1A8D2EA6" w14:textId="5AF758FF" w:rsidR="00B77DB5" w:rsidRDefault="00A6421D" w:rsidP="00E16D4F">
      <w:pPr>
        <w:pStyle w:val="Bodycopy"/>
      </w:pPr>
      <w:r>
        <w:t xml:space="preserve">The combined proportion of Learning Support (32.3%) and </w:t>
      </w:r>
      <w:r w:rsidR="00CB29F6">
        <w:t>Teach, Train, and Assess</w:t>
      </w:r>
      <w:r>
        <w:t xml:space="preserve"> (27.2%) workers outside major cities is higher than the Australian </w:t>
      </w:r>
      <w:r w:rsidR="001D61E8">
        <w:t>workforce</w:t>
      </w:r>
      <w:r>
        <w:t xml:space="preserve"> (26.1%). In remote and very remote Australia, while the Learning Support segment (1.6%) almost matches the Australian </w:t>
      </w:r>
      <w:r w:rsidR="00141713">
        <w:t>w</w:t>
      </w:r>
      <w:r>
        <w:t xml:space="preserve">orkforce (1.7%), the </w:t>
      </w:r>
      <w:r w:rsidR="00CB29F6">
        <w:t>Teach, Train, and Assess</w:t>
      </w:r>
      <w:r>
        <w:t xml:space="preserve"> segment falls behind (1.3%). </w:t>
      </w:r>
    </w:p>
    <w:p w14:paraId="461D17D4" w14:textId="3CBF863A" w:rsidR="00A6421D" w:rsidRDefault="00A6421D" w:rsidP="00E16D4F">
      <w:pPr>
        <w:pStyle w:val="Bodycopy"/>
      </w:pPr>
      <w:r>
        <w:t>Outside major cities, the Leadership segment has the lowest proportion of workers (a combined 20.6%), followed by Administration and Operations (combined 21.6%). These geographic skews, particularly in remote areas, may indicate that workers in teaching and learning support roles could benefit from improved leadership and administrative support.</w:t>
      </w:r>
    </w:p>
    <w:p w14:paraId="70DD0C0A" w14:textId="77777777" w:rsidR="00F565AE" w:rsidRDefault="00F565AE" w:rsidP="00E16D4F">
      <w:pPr>
        <w:pStyle w:val="Bodycopy"/>
      </w:pPr>
    </w:p>
    <w:p w14:paraId="6527EB9E" w14:textId="1D4621DF" w:rsidR="00A6421D" w:rsidRDefault="00A6421D" w:rsidP="00A6421D">
      <w:pPr>
        <w:pStyle w:val="Caption"/>
        <w:keepNext/>
      </w:pPr>
      <w:bookmarkStart w:id="115" w:name="Table_2_4"/>
      <w:r>
        <w:t xml:space="preserve">Table </w:t>
      </w:r>
      <w:r w:rsidR="004B692A">
        <w:fldChar w:fldCharType="begin"/>
      </w:r>
      <w:r w:rsidR="004B692A">
        <w:instrText xml:space="preserve"> STYLEREF 1 \s </w:instrText>
      </w:r>
      <w:r w:rsidR="004B692A">
        <w:fldChar w:fldCharType="separate"/>
      </w:r>
      <w:r w:rsidR="00E7704E">
        <w:rPr>
          <w:noProof/>
        </w:rPr>
        <w:t>2</w:t>
      </w:r>
      <w:r w:rsidR="004B692A">
        <w:fldChar w:fldCharType="end"/>
      </w:r>
      <w:r w:rsidR="004B692A">
        <w:t>.</w:t>
      </w:r>
      <w:r w:rsidR="004B692A">
        <w:fldChar w:fldCharType="begin"/>
      </w:r>
      <w:r w:rsidR="004B692A">
        <w:instrText xml:space="preserve"> SEQ Table \* ARABIC \s 1 </w:instrText>
      </w:r>
      <w:r w:rsidR="004B692A">
        <w:fldChar w:fldCharType="separate"/>
      </w:r>
      <w:r w:rsidR="00E7704E">
        <w:rPr>
          <w:noProof/>
        </w:rPr>
        <w:t>4</w:t>
      </w:r>
      <w:r w:rsidR="004B692A">
        <w:fldChar w:fldCharType="end"/>
      </w:r>
      <w:r>
        <w:t xml:space="preserve"> </w:t>
      </w:r>
      <w:r w:rsidRPr="001754BF">
        <w:t>Proportion of workforces in remoteness areas</w:t>
      </w:r>
    </w:p>
    <w:tbl>
      <w:tblPr>
        <w:tblStyle w:val="JSATable1"/>
        <w:tblW w:w="8900" w:type="dxa"/>
        <w:tblLayout w:type="fixed"/>
        <w:tblLook w:val="04A0" w:firstRow="1" w:lastRow="0" w:firstColumn="1" w:lastColumn="0" w:noHBand="0" w:noVBand="1"/>
        <w:tblDescription w:val="Proportion of workforces in remoteness areas"/>
      </w:tblPr>
      <w:tblGrid>
        <w:gridCol w:w="3658"/>
        <w:gridCol w:w="1311"/>
        <w:gridCol w:w="1311"/>
        <w:gridCol w:w="1310"/>
        <w:gridCol w:w="1310"/>
      </w:tblGrid>
      <w:tr w:rsidR="00A6421D" w:rsidRPr="00760AF8" w14:paraId="011CC14A" w14:textId="77777777" w:rsidTr="00016840">
        <w:trPr>
          <w:cnfStyle w:val="100000000000" w:firstRow="1" w:lastRow="0" w:firstColumn="0" w:lastColumn="0" w:oddVBand="0" w:evenVBand="0" w:oddHBand="0" w:evenHBand="0" w:firstRowFirstColumn="0" w:firstRowLastColumn="0" w:lastRowFirstColumn="0" w:lastRowLastColumn="0"/>
          <w:trHeight w:val="1379"/>
        </w:trPr>
        <w:tc>
          <w:tcPr>
            <w:cnfStyle w:val="001000000100" w:firstRow="0" w:lastRow="0" w:firstColumn="1" w:lastColumn="0" w:oddVBand="0" w:evenVBand="0" w:oddHBand="0" w:evenHBand="0" w:firstRowFirstColumn="1" w:firstRowLastColumn="0" w:lastRowFirstColumn="0" w:lastRowLastColumn="0"/>
            <w:tcW w:w="3658" w:type="dxa"/>
          </w:tcPr>
          <w:bookmarkEnd w:id="115"/>
          <w:p w14:paraId="4786F0CD" w14:textId="103F646B" w:rsidR="00A6421D" w:rsidRPr="00B61468" w:rsidRDefault="00875D98" w:rsidP="00A2391B">
            <w:pPr>
              <w:pStyle w:val="Tableheader"/>
              <w:ind w:left="0" w:firstLine="142"/>
              <w:jc w:val="left"/>
              <w:rPr>
                <w:sz w:val="20"/>
                <w:szCs w:val="20"/>
              </w:rPr>
            </w:pPr>
            <w:r w:rsidRPr="00B61468">
              <w:rPr>
                <w:sz w:val="20"/>
                <w:szCs w:val="20"/>
              </w:rPr>
              <w:t>Workforce Segment</w:t>
            </w:r>
          </w:p>
        </w:tc>
        <w:tc>
          <w:tcPr>
            <w:tcW w:w="1311" w:type="dxa"/>
          </w:tcPr>
          <w:p w14:paraId="1ED0D199" w14:textId="6950A92D" w:rsidR="00A6421D" w:rsidRPr="00B61468" w:rsidRDefault="00A6421D" w:rsidP="00D84A3A">
            <w:pPr>
              <w:pStyle w:val="Tableheader"/>
              <w:cnfStyle w:val="100000000000" w:firstRow="1" w:lastRow="0" w:firstColumn="0" w:lastColumn="0" w:oddVBand="0" w:evenVBand="0" w:oddHBand="0" w:evenHBand="0" w:firstRowFirstColumn="0" w:firstRowLastColumn="0" w:lastRowFirstColumn="0" w:lastRowLastColumn="0"/>
              <w:rPr>
                <w:szCs w:val="20"/>
              </w:rPr>
            </w:pPr>
            <w:r w:rsidRPr="00B61468">
              <w:rPr>
                <w:szCs w:val="20"/>
              </w:rPr>
              <w:t xml:space="preserve">Major Cities </w:t>
            </w:r>
            <w:r w:rsidR="00A2391B" w:rsidRPr="00B61468">
              <w:rPr>
                <w:szCs w:val="20"/>
              </w:rPr>
              <w:br/>
            </w:r>
            <w:r w:rsidRPr="00B61468">
              <w:rPr>
                <w:szCs w:val="20"/>
              </w:rPr>
              <w:t>of Australia</w:t>
            </w:r>
          </w:p>
        </w:tc>
        <w:tc>
          <w:tcPr>
            <w:tcW w:w="1311" w:type="dxa"/>
          </w:tcPr>
          <w:p w14:paraId="4C05AE5A" w14:textId="5677104B" w:rsidR="00A6421D" w:rsidRPr="00B61468" w:rsidRDefault="00A6421D" w:rsidP="00D84A3A">
            <w:pPr>
              <w:pStyle w:val="Tableheader"/>
              <w:cnfStyle w:val="100000000000" w:firstRow="1" w:lastRow="0" w:firstColumn="0" w:lastColumn="0" w:oddVBand="0" w:evenVBand="0" w:oddHBand="0" w:evenHBand="0" w:firstRowFirstColumn="0" w:firstRowLastColumn="0" w:lastRowFirstColumn="0" w:lastRowLastColumn="0"/>
              <w:rPr>
                <w:szCs w:val="20"/>
              </w:rPr>
            </w:pPr>
            <w:r w:rsidRPr="00B61468">
              <w:rPr>
                <w:szCs w:val="20"/>
              </w:rPr>
              <w:t xml:space="preserve">Inner </w:t>
            </w:r>
            <w:r w:rsidR="00A2391B" w:rsidRPr="00B61468">
              <w:rPr>
                <w:szCs w:val="20"/>
              </w:rPr>
              <w:br/>
            </w:r>
            <w:r w:rsidRPr="00B61468">
              <w:rPr>
                <w:szCs w:val="20"/>
              </w:rPr>
              <w:t>Regional Australia</w:t>
            </w:r>
          </w:p>
        </w:tc>
        <w:tc>
          <w:tcPr>
            <w:tcW w:w="1310" w:type="dxa"/>
          </w:tcPr>
          <w:p w14:paraId="10FE8F63" w14:textId="77777777" w:rsidR="00A6421D" w:rsidRPr="00B61468" w:rsidRDefault="00A6421D" w:rsidP="00D84A3A">
            <w:pPr>
              <w:pStyle w:val="Tableheader"/>
              <w:cnfStyle w:val="100000000000" w:firstRow="1" w:lastRow="0" w:firstColumn="0" w:lastColumn="0" w:oddVBand="0" w:evenVBand="0" w:oddHBand="0" w:evenHBand="0" w:firstRowFirstColumn="0" w:firstRowLastColumn="0" w:lastRowFirstColumn="0" w:lastRowLastColumn="0"/>
              <w:rPr>
                <w:szCs w:val="20"/>
              </w:rPr>
            </w:pPr>
            <w:r w:rsidRPr="00B61468">
              <w:rPr>
                <w:szCs w:val="20"/>
              </w:rPr>
              <w:t>Outer Regional Australia</w:t>
            </w:r>
          </w:p>
        </w:tc>
        <w:tc>
          <w:tcPr>
            <w:tcW w:w="1310" w:type="dxa"/>
          </w:tcPr>
          <w:p w14:paraId="10CF7088" w14:textId="435F3C53" w:rsidR="00A6421D" w:rsidRPr="00B61468" w:rsidRDefault="00A6421D" w:rsidP="00D84A3A">
            <w:pPr>
              <w:pStyle w:val="Tableheader"/>
              <w:cnfStyle w:val="100000000000" w:firstRow="1" w:lastRow="0" w:firstColumn="0" w:lastColumn="0" w:oddVBand="0" w:evenVBand="0" w:oddHBand="0" w:evenHBand="0" w:firstRowFirstColumn="0" w:firstRowLastColumn="0" w:lastRowFirstColumn="0" w:lastRowLastColumn="0"/>
              <w:rPr>
                <w:szCs w:val="20"/>
              </w:rPr>
            </w:pPr>
            <w:r w:rsidRPr="00B61468">
              <w:rPr>
                <w:szCs w:val="20"/>
              </w:rPr>
              <w:t xml:space="preserve">Remote </w:t>
            </w:r>
            <w:r w:rsidR="00A2391B" w:rsidRPr="00B61468">
              <w:rPr>
                <w:szCs w:val="20"/>
              </w:rPr>
              <w:br/>
            </w:r>
            <w:r w:rsidRPr="00B61468">
              <w:rPr>
                <w:szCs w:val="20"/>
              </w:rPr>
              <w:t>and Very Remote Australia</w:t>
            </w:r>
          </w:p>
        </w:tc>
      </w:tr>
      <w:tr w:rsidR="00A6421D" w:rsidRPr="006E5D9A" w14:paraId="6DBBC9EC" w14:textId="77777777" w:rsidTr="00016840">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658" w:type="dxa"/>
            <w:vAlign w:val="center"/>
          </w:tcPr>
          <w:p w14:paraId="472FE9FB" w14:textId="77777777" w:rsidR="00A6421D" w:rsidRPr="001A5303" w:rsidRDefault="00A6421D" w:rsidP="00A2391B">
            <w:pPr>
              <w:pStyle w:val="Tablebodycopy"/>
              <w:ind w:left="0" w:firstLine="142"/>
            </w:pPr>
            <w:r w:rsidRPr="2C8D78EB">
              <w:rPr>
                <w:b/>
                <w:bCs/>
              </w:rPr>
              <w:t>VET Workforce</w:t>
            </w:r>
          </w:p>
        </w:tc>
        <w:tc>
          <w:tcPr>
            <w:tcW w:w="1311" w:type="dxa"/>
            <w:vAlign w:val="center"/>
          </w:tcPr>
          <w:p w14:paraId="14302192" w14:textId="77777777" w:rsidR="00A6421D" w:rsidRPr="006E5D9A" w:rsidRDefault="00A6421D" w:rsidP="00B77DB5">
            <w:pPr>
              <w:pStyle w:val="Tablebodycopy"/>
              <w:jc w:val="center"/>
              <w:cnfStyle w:val="000000100000" w:firstRow="0" w:lastRow="0" w:firstColumn="0" w:lastColumn="0" w:oddVBand="0" w:evenVBand="0" w:oddHBand="1" w:evenHBand="0" w:firstRowFirstColumn="0" w:firstRowLastColumn="0" w:lastRowFirstColumn="0" w:lastRowLastColumn="0"/>
            </w:pPr>
            <w:r>
              <w:t>74.8%</w:t>
            </w:r>
          </w:p>
        </w:tc>
        <w:tc>
          <w:tcPr>
            <w:tcW w:w="1311" w:type="dxa"/>
            <w:vAlign w:val="center"/>
          </w:tcPr>
          <w:p w14:paraId="1584A5C0" w14:textId="77777777" w:rsidR="00A6421D" w:rsidRPr="006E5D9A" w:rsidRDefault="00A6421D" w:rsidP="00B77DB5">
            <w:pPr>
              <w:pStyle w:val="Tablebodycopy"/>
              <w:jc w:val="center"/>
              <w:cnfStyle w:val="000000100000" w:firstRow="0" w:lastRow="0" w:firstColumn="0" w:lastColumn="0" w:oddVBand="0" w:evenVBand="0" w:oddHBand="1" w:evenHBand="0" w:firstRowFirstColumn="0" w:firstRowLastColumn="0" w:lastRowFirstColumn="0" w:lastRowLastColumn="0"/>
            </w:pPr>
            <w:r>
              <w:t>17.5%</w:t>
            </w:r>
          </w:p>
        </w:tc>
        <w:tc>
          <w:tcPr>
            <w:tcW w:w="1310" w:type="dxa"/>
            <w:vAlign w:val="center"/>
          </w:tcPr>
          <w:p w14:paraId="1CD763B6" w14:textId="77777777" w:rsidR="00A6421D" w:rsidRPr="006E5D9A" w:rsidRDefault="00A6421D" w:rsidP="00B77DB5">
            <w:pPr>
              <w:pStyle w:val="Tablebodycopy"/>
              <w:jc w:val="center"/>
              <w:cnfStyle w:val="000000100000" w:firstRow="0" w:lastRow="0" w:firstColumn="0" w:lastColumn="0" w:oddVBand="0" w:evenVBand="0" w:oddHBand="1" w:evenHBand="0" w:firstRowFirstColumn="0" w:firstRowLastColumn="0" w:lastRowFirstColumn="0" w:lastRowLastColumn="0"/>
            </w:pPr>
            <w:r>
              <w:t>6.4%</w:t>
            </w:r>
          </w:p>
        </w:tc>
        <w:tc>
          <w:tcPr>
            <w:tcW w:w="1310" w:type="dxa"/>
            <w:vAlign w:val="center"/>
          </w:tcPr>
          <w:p w14:paraId="0E18EFFF" w14:textId="77777777" w:rsidR="00A6421D" w:rsidRPr="006E5D9A" w:rsidRDefault="00A6421D" w:rsidP="00B77DB5">
            <w:pPr>
              <w:pStyle w:val="Tablebodycopy"/>
              <w:jc w:val="center"/>
              <w:cnfStyle w:val="000000100000" w:firstRow="0" w:lastRow="0" w:firstColumn="0" w:lastColumn="0" w:oddVBand="0" w:evenVBand="0" w:oddHBand="1" w:evenHBand="0" w:firstRowFirstColumn="0" w:firstRowLastColumn="0" w:lastRowFirstColumn="0" w:lastRowLastColumn="0"/>
            </w:pPr>
            <w:r>
              <w:t>1.2%</w:t>
            </w:r>
          </w:p>
        </w:tc>
      </w:tr>
      <w:tr w:rsidR="00A6421D" w14:paraId="065E41DD" w14:textId="77777777" w:rsidTr="00016840">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658" w:type="dxa"/>
            <w:vAlign w:val="center"/>
          </w:tcPr>
          <w:p w14:paraId="583E5D17" w14:textId="45F22B8C" w:rsidR="00A6421D" w:rsidRDefault="00CB29F6" w:rsidP="00A2391B">
            <w:pPr>
              <w:pStyle w:val="Tablebodycopy"/>
              <w:ind w:left="0" w:firstLine="142"/>
            </w:pPr>
            <w:r>
              <w:t>Teach, Train, and Assess</w:t>
            </w:r>
          </w:p>
        </w:tc>
        <w:tc>
          <w:tcPr>
            <w:tcW w:w="1311" w:type="dxa"/>
            <w:vAlign w:val="center"/>
          </w:tcPr>
          <w:p w14:paraId="6B862D05" w14:textId="77777777" w:rsidR="00A6421D" w:rsidRDefault="00A6421D" w:rsidP="00B77DB5">
            <w:pPr>
              <w:pStyle w:val="Tablebodycopy"/>
              <w:jc w:val="center"/>
              <w:cnfStyle w:val="000000010000" w:firstRow="0" w:lastRow="0" w:firstColumn="0" w:lastColumn="0" w:oddVBand="0" w:evenVBand="0" w:oddHBand="0" w:evenHBand="1" w:firstRowFirstColumn="0" w:firstRowLastColumn="0" w:lastRowFirstColumn="0" w:lastRowLastColumn="0"/>
            </w:pPr>
            <w:r>
              <w:t>72.6%</w:t>
            </w:r>
          </w:p>
        </w:tc>
        <w:tc>
          <w:tcPr>
            <w:tcW w:w="1311" w:type="dxa"/>
            <w:vAlign w:val="center"/>
          </w:tcPr>
          <w:p w14:paraId="157A07B7" w14:textId="77777777" w:rsidR="00A6421D" w:rsidRPr="001A5303" w:rsidRDefault="00A6421D" w:rsidP="00B77DB5">
            <w:pPr>
              <w:pStyle w:val="Tablebodycopy"/>
              <w:jc w:val="center"/>
              <w:cnfStyle w:val="000000010000" w:firstRow="0" w:lastRow="0" w:firstColumn="0" w:lastColumn="0" w:oddVBand="0" w:evenVBand="0" w:oddHBand="0" w:evenHBand="1" w:firstRowFirstColumn="0" w:firstRowLastColumn="0" w:lastRowFirstColumn="0" w:lastRowLastColumn="0"/>
            </w:pPr>
            <w:r>
              <w:t>19.0%</w:t>
            </w:r>
          </w:p>
        </w:tc>
        <w:tc>
          <w:tcPr>
            <w:tcW w:w="1310" w:type="dxa"/>
            <w:vAlign w:val="center"/>
          </w:tcPr>
          <w:p w14:paraId="0586A45E" w14:textId="77777777" w:rsidR="00A6421D" w:rsidRPr="001A5303" w:rsidRDefault="00A6421D" w:rsidP="00B77DB5">
            <w:pPr>
              <w:pStyle w:val="Tablebodycopy"/>
              <w:jc w:val="center"/>
              <w:cnfStyle w:val="000000010000" w:firstRow="0" w:lastRow="0" w:firstColumn="0" w:lastColumn="0" w:oddVBand="0" w:evenVBand="0" w:oddHBand="0" w:evenHBand="1" w:firstRowFirstColumn="0" w:firstRowLastColumn="0" w:lastRowFirstColumn="0" w:lastRowLastColumn="0"/>
            </w:pPr>
            <w:r>
              <w:t>6.9%</w:t>
            </w:r>
          </w:p>
        </w:tc>
        <w:tc>
          <w:tcPr>
            <w:tcW w:w="1310" w:type="dxa"/>
            <w:vAlign w:val="center"/>
          </w:tcPr>
          <w:p w14:paraId="195C560F" w14:textId="77777777" w:rsidR="00A6421D" w:rsidRDefault="00A6421D" w:rsidP="00B77DB5">
            <w:pPr>
              <w:pStyle w:val="Tablebodycopy"/>
              <w:jc w:val="center"/>
              <w:cnfStyle w:val="000000010000" w:firstRow="0" w:lastRow="0" w:firstColumn="0" w:lastColumn="0" w:oddVBand="0" w:evenVBand="0" w:oddHBand="0" w:evenHBand="1" w:firstRowFirstColumn="0" w:firstRowLastColumn="0" w:lastRowFirstColumn="0" w:lastRowLastColumn="0"/>
            </w:pPr>
            <w:r>
              <w:t>1.3%</w:t>
            </w:r>
          </w:p>
        </w:tc>
      </w:tr>
      <w:tr w:rsidR="00A6421D" w14:paraId="4239024C" w14:textId="77777777" w:rsidTr="00016840">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658" w:type="dxa"/>
            <w:vAlign w:val="center"/>
          </w:tcPr>
          <w:p w14:paraId="6911688A" w14:textId="77777777" w:rsidR="00A6421D" w:rsidRDefault="00A6421D" w:rsidP="00A2391B">
            <w:pPr>
              <w:pStyle w:val="Tablebodycopy"/>
              <w:ind w:left="0" w:firstLine="142"/>
            </w:pPr>
            <w:r>
              <w:t>Curriculum and Learning Design</w:t>
            </w:r>
          </w:p>
        </w:tc>
        <w:tc>
          <w:tcPr>
            <w:tcW w:w="1311" w:type="dxa"/>
            <w:vAlign w:val="center"/>
          </w:tcPr>
          <w:p w14:paraId="5BE46B3F" w14:textId="77777777" w:rsidR="00A6421D" w:rsidRDefault="00A6421D" w:rsidP="00B77DB5">
            <w:pPr>
              <w:pStyle w:val="Tablebodycopy"/>
              <w:jc w:val="center"/>
              <w:cnfStyle w:val="000000100000" w:firstRow="0" w:lastRow="0" w:firstColumn="0" w:lastColumn="0" w:oddVBand="0" w:evenVBand="0" w:oddHBand="1" w:evenHBand="0" w:firstRowFirstColumn="0" w:firstRowLastColumn="0" w:lastRowFirstColumn="0" w:lastRowLastColumn="0"/>
            </w:pPr>
            <w:r>
              <w:t>75.9%</w:t>
            </w:r>
          </w:p>
        </w:tc>
        <w:tc>
          <w:tcPr>
            <w:tcW w:w="1311" w:type="dxa"/>
            <w:vAlign w:val="center"/>
          </w:tcPr>
          <w:p w14:paraId="64F3260D" w14:textId="77777777" w:rsidR="00A6421D" w:rsidRPr="001A5303" w:rsidRDefault="00A6421D" w:rsidP="00B77DB5">
            <w:pPr>
              <w:pStyle w:val="Tablebodycopy"/>
              <w:jc w:val="center"/>
              <w:cnfStyle w:val="000000100000" w:firstRow="0" w:lastRow="0" w:firstColumn="0" w:lastColumn="0" w:oddVBand="0" w:evenVBand="0" w:oddHBand="1" w:evenHBand="0" w:firstRowFirstColumn="0" w:firstRowLastColumn="0" w:lastRowFirstColumn="0" w:lastRowLastColumn="0"/>
            </w:pPr>
            <w:r>
              <w:t>16.7%</w:t>
            </w:r>
          </w:p>
        </w:tc>
        <w:tc>
          <w:tcPr>
            <w:tcW w:w="1310" w:type="dxa"/>
            <w:vAlign w:val="center"/>
          </w:tcPr>
          <w:p w14:paraId="5F07BC94" w14:textId="77777777" w:rsidR="00A6421D" w:rsidRPr="001A5303" w:rsidRDefault="00A6421D" w:rsidP="00B77DB5">
            <w:pPr>
              <w:pStyle w:val="Tablebodycopy"/>
              <w:jc w:val="center"/>
              <w:cnfStyle w:val="000000100000" w:firstRow="0" w:lastRow="0" w:firstColumn="0" w:lastColumn="0" w:oddVBand="0" w:evenVBand="0" w:oddHBand="1" w:evenHBand="0" w:firstRowFirstColumn="0" w:firstRowLastColumn="0" w:lastRowFirstColumn="0" w:lastRowLastColumn="0"/>
            </w:pPr>
            <w:r>
              <w:t>5.6%</w:t>
            </w:r>
          </w:p>
        </w:tc>
        <w:tc>
          <w:tcPr>
            <w:tcW w:w="1310" w:type="dxa"/>
            <w:vAlign w:val="center"/>
          </w:tcPr>
          <w:p w14:paraId="46DA5D45" w14:textId="77777777" w:rsidR="00A6421D" w:rsidRDefault="00A6421D" w:rsidP="00B77DB5">
            <w:pPr>
              <w:pStyle w:val="Tablebodycopy"/>
              <w:jc w:val="center"/>
              <w:cnfStyle w:val="000000100000" w:firstRow="0" w:lastRow="0" w:firstColumn="0" w:lastColumn="0" w:oddVBand="0" w:evenVBand="0" w:oddHBand="1" w:evenHBand="0" w:firstRowFirstColumn="0" w:firstRowLastColumn="0" w:lastRowFirstColumn="0" w:lastRowLastColumn="0"/>
            </w:pPr>
            <w:r>
              <w:t>1.1%</w:t>
            </w:r>
          </w:p>
        </w:tc>
      </w:tr>
      <w:tr w:rsidR="00A6421D" w14:paraId="7D0EE125" w14:textId="77777777" w:rsidTr="00016840">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658" w:type="dxa"/>
            <w:vAlign w:val="center"/>
          </w:tcPr>
          <w:p w14:paraId="2019FC79" w14:textId="77777777" w:rsidR="00A6421D" w:rsidRDefault="00A6421D" w:rsidP="00A2391B">
            <w:pPr>
              <w:pStyle w:val="Tablebodycopy"/>
              <w:ind w:left="0" w:firstLine="142"/>
            </w:pPr>
            <w:r>
              <w:t>Quality Assurance and Compliance</w:t>
            </w:r>
          </w:p>
        </w:tc>
        <w:tc>
          <w:tcPr>
            <w:tcW w:w="1311" w:type="dxa"/>
            <w:vAlign w:val="center"/>
          </w:tcPr>
          <w:p w14:paraId="1FF75FC9" w14:textId="77777777" w:rsidR="00A6421D" w:rsidRDefault="00A6421D" w:rsidP="00B77DB5">
            <w:pPr>
              <w:pStyle w:val="Tablebodycopy"/>
              <w:jc w:val="center"/>
              <w:cnfStyle w:val="000000010000" w:firstRow="0" w:lastRow="0" w:firstColumn="0" w:lastColumn="0" w:oddVBand="0" w:evenVBand="0" w:oddHBand="0" w:evenHBand="1" w:firstRowFirstColumn="0" w:firstRowLastColumn="0" w:lastRowFirstColumn="0" w:lastRowLastColumn="0"/>
            </w:pPr>
            <w:r>
              <w:t>72.6%</w:t>
            </w:r>
          </w:p>
        </w:tc>
        <w:tc>
          <w:tcPr>
            <w:tcW w:w="1311" w:type="dxa"/>
            <w:vAlign w:val="center"/>
          </w:tcPr>
          <w:p w14:paraId="702273D7" w14:textId="77777777" w:rsidR="00A6421D" w:rsidRPr="001A5303" w:rsidRDefault="00A6421D" w:rsidP="00B77DB5">
            <w:pPr>
              <w:pStyle w:val="Tablebodycopy"/>
              <w:jc w:val="center"/>
              <w:cnfStyle w:val="000000010000" w:firstRow="0" w:lastRow="0" w:firstColumn="0" w:lastColumn="0" w:oddVBand="0" w:evenVBand="0" w:oddHBand="0" w:evenHBand="1" w:firstRowFirstColumn="0" w:firstRowLastColumn="0" w:lastRowFirstColumn="0" w:lastRowLastColumn="0"/>
            </w:pPr>
            <w:r>
              <w:t>20.2%</w:t>
            </w:r>
          </w:p>
        </w:tc>
        <w:tc>
          <w:tcPr>
            <w:tcW w:w="1310" w:type="dxa"/>
            <w:vAlign w:val="center"/>
          </w:tcPr>
          <w:p w14:paraId="74C2E66E" w14:textId="77777777" w:rsidR="00A6421D" w:rsidRPr="001A5303" w:rsidRDefault="00A6421D" w:rsidP="00B77DB5">
            <w:pPr>
              <w:pStyle w:val="Tablebodycopy"/>
              <w:jc w:val="center"/>
              <w:cnfStyle w:val="000000010000" w:firstRow="0" w:lastRow="0" w:firstColumn="0" w:lastColumn="0" w:oddVBand="0" w:evenVBand="0" w:oddHBand="0" w:evenHBand="1" w:firstRowFirstColumn="0" w:firstRowLastColumn="0" w:lastRowFirstColumn="0" w:lastRowLastColumn="0"/>
            </w:pPr>
            <w:r>
              <w:t>4.2%</w:t>
            </w:r>
          </w:p>
        </w:tc>
        <w:tc>
          <w:tcPr>
            <w:tcW w:w="1310" w:type="dxa"/>
            <w:vAlign w:val="center"/>
          </w:tcPr>
          <w:p w14:paraId="740EF661" w14:textId="77777777" w:rsidR="00A6421D" w:rsidRDefault="00A6421D" w:rsidP="00B77DB5">
            <w:pPr>
              <w:pStyle w:val="Tablebodycopy"/>
              <w:jc w:val="center"/>
              <w:cnfStyle w:val="000000010000" w:firstRow="0" w:lastRow="0" w:firstColumn="0" w:lastColumn="0" w:oddVBand="0" w:evenVBand="0" w:oddHBand="0" w:evenHBand="1" w:firstRowFirstColumn="0" w:firstRowLastColumn="0" w:lastRowFirstColumn="0" w:lastRowLastColumn="0"/>
            </w:pPr>
            <w:r>
              <w:t>&lt;0.0%</w:t>
            </w:r>
          </w:p>
        </w:tc>
      </w:tr>
      <w:tr w:rsidR="00A6421D" w14:paraId="34407F95" w14:textId="77777777" w:rsidTr="00016840">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658" w:type="dxa"/>
            <w:vAlign w:val="center"/>
          </w:tcPr>
          <w:p w14:paraId="3EE036A9" w14:textId="77777777" w:rsidR="00A6421D" w:rsidRDefault="00A6421D" w:rsidP="00A2391B">
            <w:pPr>
              <w:pStyle w:val="Tablebodycopy"/>
              <w:ind w:left="0" w:firstLine="142"/>
            </w:pPr>
            <w:r>
              <w:t>Leadership</w:t>
            </w:r>
          </w:p>
        </w:tc>
        <w:tc>
          <w:tcPr>
            <w:tcW w:w="1311" w:type="dxa"/>
            <w:vAlign w:val="center"/>
          </w:tcPr>
          <w:p w14:paraId="3A9DD2BA" w14:textId="77777777" w:rsidR="00A6421D" w:rsidRDefault="00A6421D" w:rsidP="00B77DB5">
            <w:pPr>
              <w:pStyle w:val="Tablebodycopy"/>
              <w:jc w:val="center"/>
              <w:cnfStyle w:val="000000100000" w:firstRow="0" w:lastRow="0" w:firstColumn="0" w:lastColumn="0" w:oddVBand="0" w:evenVBand="0" w:oddHBand="1" w:evenHBand="0" w:firstRowFirstColumn="0" w:firstRowLastColumn="0" w:lastRowFirstColumn="0" w:lastRowLastColumn="0"/>
            </w:pPr>
            <w:r>
              <w:t>79.2%</w:t>
            </w:r>
          </w:p>
        </w:tc>
        <w:tc>
          <w:tcPr>
            <w:tcW w:w="1311" w:type="dxa"/>
            <w:vAlign w:val="center"/>
          </w:tcPr>
          <w:p w14:paraId="53AA0189" w14:textId="77777777" w:rsidR="00A6421D" w:rsidRPr="001A5303" w:rsidRDefault="00A6421D" w:rsidP="00B77DB5">
            <w:pPr>
              <w:pStyle w:val="Tablebodycopy"/>
              <w:jc w:val="center"/>
              <w:cnfStyle w:val="000000100000" w:firstRow="0" w:lastRow="0" w:firstColumn="0" w:lastColumn="0" w:oddVBand="0" w:evenVBand="0" w:oddHBand="1" w:evenHBand="0" w:firstRowFirstColumn="0" w:firstRowLastColumn="0" w:lastRowFirstColumn="0" w:lastRowLastColumn="0"/>
            </w:pPr>
            <w:r>
              <w:t>15.0%</w:t>
            </w:r>
          </w:p>
        </w:tc>
        <w:tc>
          <w:tcPr>
            <w:tcW w:w="1310" w:type="dxa"/>
            <w:vAlign w:val="center"/>
          </w:tcPr>
          <w:p w14:paraId="3C09C80D" w14:textId="77777777" w:rsidR="00A6421D" w:rsidRPr="001A5303" w:rsidRDefault="00A6421D" w:rsidP="00B77DB5">
            <w:pPr>
              <w:pStyle w:val="Tablebodycopy"/>
              <w:jc w:val="center"/>
              <w:cnfStyle w:val="000000100000" w:firstRow="0" w:lastRow="0" w:firstColumn="0" w:lastColumn="0" w:oddVBand="0" w:evenVBand="0" w:oddHBand="1" w:evenHBand="0" w:firstRowFirstColumn="0" w:firstRowLastColumn="0" w:lastRowFirstColumn="0" w:lastRowLastColumn="0"/>
            </w:pPr>
            <w:r>
              <w:t>4.9%</w:t>
            </w:r>
          </w:p>
        </w:tc>
        <w:tc>
          <w:tcPr>
            <w:tcW w:w="1310" w:type="dxa"/>
            <w:vAlign w:val="center"/>
          </w:tcPr>
          <w:p w14:paraId="5E4C680C" w14:textId="77777777" w:rsidR="00A6421D" w:rsidRDefault="00A6421D" w:rsidP="00B77DB5">
            <w:pPr>
              <w:pStyle w:val="Tablebodycopy"/>
              <w:jc w:val="center"/>
              <w:cnfStyle w:val="000000100000" w:firstRow="0" w:lastRow="0" w:firstColumn="0" w:lastColumn="0" w:oddVBand="0" w:evenVBand="0" w:oddHBand="1" w:evenHBand="0" w:firstRowFirstColumn="0" w:firstRowLastColumn="0" w:lastRowFirstColumn="0" w:lastRowLastColumn="0"/>
            </w:pPr>
            <w:r>
              <w:t>0.7%</w:t>
            </w:r>
          </w:p>
        </w:tc>
      </w:tr>
      <w:tr w:rsidR="00A6421D" w14:paraId="0EF45F10" w14:textId="77777777" w:rsidTr="00016840">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658" w:type="dxa"/>
            <w:vAlign w:val="center"/>
          </w:tcPr>
          <w:p w14:paraId="296B4E33" w14:textId="77777777" w:rsidR="00A6421D" w:rsidRDefault="00A6421D" w:rsidP="00A2391B">
            <w:pPr>
              <w:pStyle w:val="Tablebodycopy"/>
              <w:ind w:left="0" w:firstLine="142"/>
            </w:pPr>
            <w:r>
              <w:t>Learning Support</w:t>
            </w:r>
          </w:p>
        </w:tc>
        <w:tc>
          <w:tcPr>
            <w:tcW w:w="1311" w:type="dxa"/>
            <w:vAlign w:val="center"/>
          </w:tcPr>
          <w:p w14:paraId="14A3B08E" w14:textId="77777777" w:rsidR="00A6421D" w:rsidRDefault="00A6421D" w:rsidP="00B77DB5">
            <w:pPr>
              <w:pStyle w:val="Tablebodycopy"/>
              <w:jc w:val="center"/>
              <w:cnfStyle w:val="000000010000" w:firstRow="0" w:lastRow="0" w:firstColumn="0" w:lastColumn="0" w:oddVBand="0" w:evenVBand="0" w:oddHBand="0" w:evenHBand="1" w:firstRowFirstColumn="0" w:firstRowLastColumn="0" w:lastRowFirstColumn="0" w:lastRowLastColumn="0"/>
            </w:pPr>
            <w:r>
              <w:t>67.8%</w:t>
            </w:r>
          </w:p>
        </w:tc>
        <w:tc>
          <w:tcPr>
            <w:tcW w:w="1311" w:type="dxa"/>
            <w:vAlign w:val="center"/>
          </w:tcPr>
          <w:p w14:paraId="66B8E9A3" w14:textId="77777777" w:rsidR="00A6421D" w:rsidRPr="001A5303" w:rsidRDefault="00A6421D" w:rsidP="00B77DB5">
            <w:pPr>
              <w:pStyle w:val="Tablebodycopy"/>
              <w:jc w:val="center"/>
              <w:cnfStyle w:val="000000010000" w:firstRow="0" w:lastRow="0" w:firstColumn="0" w:lastColumn="0" w:oddVBand="0" w:evenVBand="0" w:oddHBand="0" w:evenHBand="1" w:firstRowFirstColumn="0" w:firstRowLastColumn="0" w:lastRowFirstColumn="0" w:lastRowLastColumn="0"/>
            </w:pPr>
            <w:r>
              <w:t>24.2%</w:t>
            </w:r>
          </w:p>
        </w:tc>
        <w:tc>
          <w:tcPr>
            <w:tcW w:w="1310" w:type="dxa"/>
            <w:vAlign w:val="center"/>
          </w:tcPr>
          <w:p w14:paraId="5EE7F8F1" w14:textId="77777777" w:rsidR="00A6421D" w:rsidRPr="001A5303" w:rsidRDefault="00A6421D" w:rsidP="00B77DB5">
            <w:pPr>
              <w:pStyle w:val="Tablebodycopy"/>
              <w:jc w:val="center"/>
              <w:cnfStyle w:val="000000010000" w:firstRow="0" w:lastRow="0" w:firstColumn="0" w:lastColumn="0" w:oddVBand="0" w:evenVBand="0" w:oddHBand="0" w:evenHBand="1" w:firstRowFirstColumn="0" w:firstRowLastColumn="0" w:lastRowFirstColumn="0" w:lastRowLastColumn="0"/>
            </w:pPr>
            <w:r>
              <w:t>6.5%</w:t>
            </w:r>
          </w:p>
        </w:tc>
        <w:tc>
          <w:tcPr>
            <w:tcW w:w="1310" w:type="dxa"/>
            <w:vAlign w:val="center"/>
          </w:tcPr>
          <w:p w14:paraId="04461085" w14:textId="77777777" w:rsidR="00A6421D" w:rsidRDefault="00A6421D" w:rsidP="00B77DB5">
            <w:pPr>
              <w:pStyle w:val="Tablebodycopy"/>
              <w:jc w:val="center"/>
              <w:cnfStyle w:val="000000010000" w:firstRow="0" w:lastRow="0" w:firstColumn="0" w:lastColumn="0" w:oddVBand="0" w:evenVBand="0" w:oddHBand="0" w:evenHBand="1" w:firstRowFirstColumn="0" w:firstRowLastColumn="0" w:lastRowFirstColumn="0" w:lastRowLastColumn="0"/>
            </w:pPr>
            <w:r>
              <w:t>1.6%</w:t>
            </w:r>
          </w:p>
        </w:tc>
      </w:tr>
      <w:tr w:rsidR="00A6421D" w14:paraId="6E5A6E74" w14:textId="77777777" w:rsidTr="00207618">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658" w:type="dxa"/>
            <w:tcBorders>
              <w:bottom w:val="nil"/>
            </w:tcBorders>
            <w:vAlign w:val="center"/>
          </w:tcPr>
          <w:p w14:paraId="4FEFAAC0" w14:textId="77777777" w:rsidR="00A6421D" w:rsidRDefault="00A6421D" w:rsidP="00A2391B">
            <w:pPr>
              <w:pStyle w:val="Tablebodycopy"/>
              <w:ind w:left="0" w:firstLine="142"/>
            </w:pPr>
            <w:r>
              <w:t>Administration and Operations</w:t>
            </w:r>
          </w:p>
        </w:tc>
        <w:tc>
          <w:tcPr>
            <w:tcW w:w="1311" w:type="dxa"/>
            <w:tcBorders>
              <w:bottom w:val="nil"/>
            </w:tcBorders>
            <w:vAlign w:val="center"/>
          </w:tcPr>
          <w:p w14:paraId="38765B98" w14:textId="77777777" w:rsidR="00A6421D" w:rsidRDefault="00A6421D" w:rsidP="00B77DB5">
            <w:pPr>
              <w:pStyle w:val="Tablebodycopy"/>
              <w:jc w:val="center"/>
              <w:cnfStyle w:val="000000100000" w:firstRow="0" w:lastRow="0" w:firstColumn="0" w:lastColumn="0" w:oddVBand="0" w:evenVBand="0" w:oddHBand="1" w:evenHBand="0" w:firstRowFirstColumn="0" w:firstRowLastColumn="0" w:lastRowFirstColumn="0" w:lastRowLastColumn="0"/>
            </w:pPr>
            <w:r>
              <w:t>77.2%</w:t>
            </w:r>
          </w:p>
        </w:tc>
        <w:tc>
          <w:tcPr>
            <w:tcW w:w="1311" w:type="dxa"/>
            <w:tcBorders>
              <w:bottom w:val="nil"/>
            </w:tcBorders>
            <w:vAlign w:val="center"/>
          </w:tcPr>
          <w:p w14:paraId="2FA4B9E0" w14:textId="77777777" w:rsidR="00A6421D" w:rsidRPr="001A5303" w:rsidRDefault="00A6421D" w:rsidP="00B77DB5">
            <w:pPr>
              <w:pStyle w:val="Tablebodycopy"/>
              <w:jc w:val="center"/>
              <w:cnfStyle w:val="000000100000" w:firstRow="0" w:lastRow="0" w:firstColumn="0" w:lastColumn="0" w:oddVBand="0" w:evenVBand="0" w:oddHBand="1" w:evenHBand="0" w:firstRowFirstColumn="0" w:firstRowLastColumn="0" w:lastRowFirstColumn="0" w:lastRowLastColumn="0"/>
            </w:pPr>
            <w:r>
              <w:t>15.1%</w:t>
            </w:r>
          </w:p>
        </w:tc>
        <w:tc>
          <w:tcPr>
            <w:tcW w:w="1310" w:type="dxa"/>
            <w:tcBorders>
              <w:bottom w:val="nil"/>
            </w:tcBorders>
            <w:vAlign w:val="center"/>
          </w:tcPr>
          <w:p w14:paraId="5D7B902E" w14:textId="77777777" w:rsidR="00A6421D" w:rsidRPr="001A5303" w:rsidRDefault="00A6421D" w:rsidP="00B77DB5">
            <w:pPr>
              <w:pStyle w:val="Tablebodycopy"/>
              <w:jc w:val="center"/>
              <w:cnfStyle w:val="000000100000" w:firstRow="0" w:lastRow="0" w:firstColumn="0" w:lastColumn="0" w:oddVBand="0" w:evenVBand="0" w:oddHBand="1" w:evenHBand="0" w:firstRowFirstColumn="0" w:firstRowLastColumn="0" w:lastRowFirstColumn="0" w:lastRowLastColumn="0"/>
            </w:pPr>
            <w:r>
              <w:t>5.7%</w:t>
            </w:r>
          </w:p>
        </w:tc>
        <w:tc>
          <w:tcPr>
            <w:tcW w:w="1310" w:type="dxa"/>
            <w:tcBorders>
              <w:bottom w:val="nil"/>
            </w:tcBorders>
            <w:vAlign w:val="center"/>
          </w:tcPr>
          <w:p w14:paraId="68570B53" w14:textId="77777777" w:rsidR="00A6421D" w:rsidRDefault="00A6421D" w:rsidP="00B77DB5">
            <w:pPr>
              <w:pStyle w:val="Tablebodycopy"/>
              <w:jc w:val="center"/>
              <w:cnfStyle w:val="000000100000" w:firstRow="0" w:lastRow="0" w:firstColumn="0" w:lastColumn="0" w:oddVBand="0" w:evenVBand="0" w:oddHBand="1" w:evenHBand="0" w:firstRowFirstColumn="0" w:firstRowLastColumn="0" w:lastRowFirstColumn="0" w:lastRowLastColumn="0"/>
            </w:pPr>
            <w:r>
              <w:t>0.8%</w:t>
            </w:r>
          </w:p>
        </w:tc>
      </w:tr>
      <w:tr w:rsidR="00A6421D" w:rsidRPr="006E5D9A" w14:paraId="703E58CC" w14:textId="77777777" w:rsidTr="00207618">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658" w:type="dxa"/>
            <w:tcBorders>
              <w:bottom w:val="single" w:sz="8" w:space="0" w:color="2F005F"/>
            </w:tcBorders>
            <w:vAlign w:val="center"/>
          </w:tcPr>
          <w:p w14:paraId="1E4C4949" w14:textId="77777777" w:rsidR="00A6421D" w:rsidRPr="006E5D9A" w:rsidRDefault="00A6421D" w:rsidP="00A2391B">
            <w:pPr>
              <w:pStyle w:val="Tablebodycopy"/>
              <w:ind w:left="0" w:firstLine="142"/>
              <w:rPr>
                <w:b/>
                <w:bCs/>
              </w:rPr>
            </w:pPr>
            <w:r w:rsidRPr="2C8D78EB">
              <w:rPr>
                <w:b/>
                <w:bCs/>
              </w:rPr>
              <w:t>Australian Workforce</w:t>
            </w:r>
          </w:p>
        </w:tc>
        <w:tc>
          <w:tcPr>
            <w:tcW w:w="1311" w:type="dxa"/>
            <w:tcBorders>
              <w:bottom w:val="single" w:sz="8" w:space="0" w:color="2F005F"/>
            </w:tcBorders>
            <w:vAlign w:val="center"/>
          </w:tcPr>
          <w:p w14:paraId="6FA433C8" w14:textId="77777777" w:rsidR="00A6421D" w:rsidRPr="006E5D9A" w:rsidRDefault="00A6421D" w:rsidP="00B77DB5">
            <w:pPr>
              <w:pStyle w:val="Tablebodycopy"/>
              <w:jc w:val="center"/>
              <w:cnfStyle w:val="000000010000" w:firstRow="0" w:lastRow="0" w:firstColumn="0" w:lastColumn="0" w:oddVBand="0" w:evenVBand="0" w:oddHBand="0" w:evenHBand="1" w:firstRowFirstColumn="0" w:firstRowLastColumn="0" w:lastRowFirstColumn="0" w:lastRowLastColumn="0"/>
            </w:pPr>
            <w:r>
              <w:t>73.9%</w:t>
            </w:r>
          </w:p>
        </w:tc>
        <w:tc>
          <w:tcPr>
            <w:tcW w:w="1311" w:type="dxa"/>
            <w:tcBorders>
              <w:bottom w:val="single" w:sz="8" w:space="0" w:color="2F005F"/>
            </w:tcBorders>
            <w:vAlign w:val="center"/>
          </w:tcPr>
          <w:p w14:paraId="09637DB0" w14:textId="77777777" w:rsidR="00A6421D" w:rsidRPr="006E5D9A" w:rsidRDefault="00A6421D" w:rsidP="00B77DB5">
            <w:pPr>
              <w:pStyle w:val="Tablebodycopy"/>
              <w:jc w:val="center"/>
              <w:cnfStyle w:val="000000010000" w:firstRow="0" w:lastRow="0" w:firstColumn="0" w:lastColumn="0" w:oddVBand="0" w:evenVBand="0" w:oddHBand="0" w:evenHBand="1" w:firstRowFirstColumn="0" w:firstRowLastColumn="0" w:lastRowFirstColumn="0" w:lastRowLastColumn="0"/>
            </w:pPr>
            <w:r>
              <w:t>16.7%</w:t>
            </w:r>
          </w:p>
        </w:tc>
        <w:tc>
          <w:tcPr>
            <w:tcW w:w="1310" w:type="dxa"/>
            <w:tcBorders>
              <w:bottom w:val="single" w:sz="8" w:space="0" w:color="2F005F"/>
            </w:tcBorders>
            <w:vAlign w:val="center"/>
          </w:tcPr>
          <w:p w14:paraId="48D9907E" w14:textId="77777777" w:rsidR="00A6421D" w:rsidRPr="006E5D9A" w:rsidRDefault="00A6421D" w:rsidP="00B77DB5">
            <w:pPr>
              <w:pStyle w:val="Tablebodycopy"/>
              <w:jc w:val="center"/>
              <w:cnfStyle w:val="000000010000" w:firstRow="0" w:lastRow="0" w:firstColumn="0" w:lastColumn="0" w:oddVBand="0" w:evenVBand="0" w:oddHBand="0" w:evenHBand="1" w:firstRowFirstColumn="0" w:firstRowLastColumn="0" w:lastRowFirstColumn="0" w:lastRowLastColumn="0"/>
            </w:pPr>
            <w:r>
              <w:t>7.7%</w:t>
            </w:r>
          </w:p>
        </w:tc>
        <w:tc>
          <w:tcPr>
            <w:tcW w:w="1310" w:type="dxa"/>
            <w:tcBorders>
              <w:bottom w:val="single" w:sz="8" w:space="0" w:color="2F005F"/>
            </w:tcBorders>
            <w:vAlign w:val="center"/>
          </w:tcPr>
          <w:p w14:paraId="5D891D85" w14:textId="77777777" w:rsidR="00A6421D" w:rsidRPr="006E5D9A" w:rsidRDefault="00A6421D" w:rsidP="00B77DB5">
            <w:pPr>
              <w:pStyle w:val="Tablebodycopy"/>
              <w:jc w:val="center"/>
              <w:cnfStyle w:val="000000010000" w:firstRow="0" w:lastRow="0" w:firstColumn="0" w:lastColumn="0" w:oddVBand="0" w:evenVBand="0" w:oddHBand="0" w:evenHBand="1" w:firstRowFirstColumn="0" w:firstRowLastColumn="0" w:lastRowFirstColumn="0" w:lastRowLastColumn="0"/>
            </w:pPr>
            <w:r>
              <w:t>1.7%</w:t>
            </w:r>
          </w:p>
        </w:tc>
      </w:tr>
    </w:tbl>
    <w:p w14:paraId="22E17004" w14:textId="6F8DD9FA" w:rsidR="00A6421D" w:rsidRDefault="00A6421D" w:rsidP="008B2387">
      <w:pPr>
        <w:pStyle w:val="Source"/>
      </w:pPr>
      <w:r>
        <w:t xml:space="preserve">Source: ABS (2021) </w:t>
      </w:r>
      <w:r w:rsidR="00875D98">
        <w:t xml:space="preserve">Labour Force Status (LFSP) and Occupation (OCCP) and Industry of Employment (INDP) by </w:t>
      </w:r>
      <w:r>
        <w:t>Remoteness Areas (National) (UR</w:t>
      </w:r>
      <w:r w:rsidR="00875D98">
        <w:t>),</w:t>
      </w:r>
      <w:r>
        <w:t xml:space="preserve"> [Census TableBuilder], accessed 25 March 2024. </w:t>
      </w:r>
    </w:p>
    <w:p w14:paraId="2B6432E0" w14:textId="77777777" w:rsidR="001B73A2" w:rsidRDefault="001B73A2" w:rsidP="001B73A2">
      <w:pPr>
        <w:rPr>
          <w:highlight w:val="yellow"/>
        </w:rPr>
      </w:pPr>
    </w:p>
    <w:p w14:paraId="6BE541E0" w14:textId="1A1D41D7" w:rsidR="00A137A1" w:rsidRDefault="00A137A1" w:rsidP="00A137A1">
      <w:pPr>
        <w:pStyle w:val="Caption"/>
        <w:keepNext/>
        <w:rPr>
          <w:color w:val="auto"/>
        </w:rPr>
      </w:pPr>
      <w:bookmarkStart w:id="116" w:name="Figure_2_10"/>
      <w:r>
        <w:lastRenderedPageBreak/>
        <w:t xml:space="preserve">Figure </w:t>
      </w:r>
      <w:r w:rsidR="006558DC">
        <w:fldChar w:fldCharType="begin"/>
      </w:r>
      <w:r w:rsidR="006558DC">
        <w:instrText xml:space="preserve"> STYLEREF 1 \s </w:instrText>
      </w:r>
      <w:r w:rsidR="006558DC">
        <w:fldChar w:fldCharType="separate"/>
      </w:r>
      <w:r w:rsidR="00E7704E">
        <w:rPr>
          <w:noProof/>
        </w:rPr>
        <w:t>2</w:t>
      </w:r>
      <w:r w:rsidR="006558DC">
        <w:fldChar w:fldCharType="end"/>
      </w:r>
      <w:r w:rsidR="007D4DC4">
        <w:t>.</w:t>
      </w:r>
      <w:r w:rsidR="006558DC">
        <w:fldChar w:fldCharType="begin"/>
      </w:r>
      <w:r w:rsidR="006558DC">
        <w:instrText xml:space="preserve"> SEQ Figure \* ARABIC \s 1 </w:instrText>
      </w:r>
      <w:r w:rsidR="006558DC">
        <w:fldChar w:fldCharType="separate"/>
      </w:r>
      <w:r w:rsidR="00E7704E">
        <w:rPr>
          <w:noProof/>
        </w:rPr>
        <w:t>10</w:t>
      </w:r>
      <w:r w:rsidR="006558DC">
        <w:fldChar w:fldCharType="end"/>
      </w:r>
      <w:r>
        <w:t xml:space="preserve"> </w:t>
      </w:r>
      <w:r w:rsidRPr="00582E14">
        <w:t xml:space="preserve">Proportion VET </w:t>
      </w:r>
      <w:r w:rsidR="009A0EF7">
        <w:t>w</w:t>
      </w:r>
      <w:r w:rsidRPr="00582E14">
        <w:t xml:space="preserve">orkforce and Australian </w:t>
      </w:r>
      <w:r w:rsidR="009A0EF7">
        <w:rPr>
          <w:color w:val="auto"/>
        </w:rPr>
        <w:t>w</w:t>
      </w:r>
      <w:r w:rsidRPr="004B0AF1">
        <w:rPr>
          <w:color w:val="auto"/>
        </w:rPr>
        <w:t xml:space="preserve">orkforce by </w:t>
      </w:r>
      <w:r w:rsidR="001D61E8">
        <w:rPr>
          <w:color w:val="auto"/>
        </w:rPr>
        <w:t>s</w:t>
      </w:r>
      <w:r w:rsidRPr="004B0AF1">
        <w:rPr>
          <w:color w:val="auto"/>
        </w:rPr>
        <w:t>tate/</w:t>
      </w:r>
      <w:r w:rsidR="001D61E8">
        <w:rPr>
          <w:color w:val="auto"/>
        </w:rPr>
        <w:t>t</w:t>
      </w:r>
      <w:r w:rsidRPr="004B0AF1">
        <w:rPr>
          <w:color w:val="auto"/>
        </w:rPr>
        <w:t>erritory</w:t>
      </w:r>
      <w:r w:rsidR="00FB4BA9" w:rsidRPr="004B0AF1">
        <w:rPr>
          <w:color w:val="auto"/>
        </w:rPr>
        <w:t xml:space="preserve"> </w:t>
      </w:r>
    </w:p>
    <w:tbl>
      <w:tblPr>
        <w:tblW w:w="3401" w:type="dxa"/>
        <w:tblLayout w:type="fixed"/>
        <w:tblLook w:val="04A0" w:firstRow="1" w:lastRow="0" w:firstColumn="1" w:lastColumn="0" w:noHBand="0" w:noVBand="1"/>
        <w:tblCaption w:val="Figure 2.10 Proportion VET Workforce and Australian Workforce by State/Territory "/>
      </w:tblPr>
      <w:tblGrid>
        <w:gridCol w:w="907"/>
        <w:gridCol w:w="1247"/>
        <w:gridCol w:w="1247"/>
      </w:tblGrid>
      <w:tr w:rsidR="001B73A2" w:rsidRPr="001B73A2" w14:paraId="72D1D265" w14:textId="77777777" w:rsidTr="00141713">
        <w:trPr>
          <w:trHeight w:val="113"/>
          <w:tblHeader/>
        </w:trPr>
        <w:tc>
          <w:tcPr>
            <w:tcW w:w="907" w:type="dxa"/>
            <w:shd w:val="clear" w:color="auto" w:fill="auto"/>
            <w:noWrap/>
            <w:vAlign w:val="bottom"/>
            <w:hideMark/>
          </w:tcPr>
          <w:bookmarkEnd w:id="116"/>
          <w:p w14:paraId="6195A3EE" w14:textId="25B489F5" w:rsidR="001B73A2" w:rsidRPr="001B73A2" w:rsidRDefault="00462BBB" w:rsidP="001B73A2">
            <w:pPr>
              <w:spacing w:after="0" w:line="240" w:lineRule="auto"/>
              <w:rPr>
                <w:rFonts w:ascii="Times New Roman" w:eastAsia="Times New Roman" w:hAnsi="Times New Roman" w:cs="Times New Roman"/>
                <w:color w:val="auto"/>
                <w:sz w:val="10"/>
                <w:szCs w:val="10"/>
                <w:lang w:eastAsia="en-AU"/>
              </w:rPr>
            </w:pPr>
            <w:r>
              <w:rPr>
                <w:noProof/>
              </w:rPr>
              <w:drawing>
                <wp:anchor distT="0" distB="0" distL="114300" distR="114300" simplePos="0" relativeHeight="251658246" behindDoc="0" locked="0" layoutInCell="1" allowOverlap="0" wp14:anchorId="2A4B9C09" wp14:editId="3FF4FAA9">
                  <wp:simplePos x="0" y="0"/>
                  <wp:positionH relativeFrom="column">
                    <wp:posOffset>-62230</wp:posOffset>
                  </wp:positionH>
                  <wp:positionV relativeFrom="paragraph">
                    <wp:posOffset>10160</wp:posOffset>
                  </wp:positionV>
                  <wp:extent cx="5651500" cy="4572000"/>
                  <wp:effectExtent l="19050" t="19050" r="25400" b="19050"/>
                  <wp:wrapNone/>
                  <wp:docPr id="118453849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538495" name="Picture 5">
                            <a:extLst>
                              <a:ext uri="{C183D7F6-B498-43B3-948B-1728B52AA6E4}">
                                <adec:decorative xmlns:adec="http://schemas.microsoft.com/office/drawing/2017/decorative" val="1"/>
                              </a:ext>
                            </a:extLst>
                          </pic:cNvPr>
                          <pic:cNvPicPr/>
                        </pic:nvPicPr>
                        <pic:blipFill rotWithShape="1">
                          <a:blip r:embed="rId29" cstate="print">
                            <a:extLst>
                              <a:ext uri="{28A0092B-C50C-407E-A947-70E740481C1C}">
                                <a14:useLocalDpi xmlns:a14="http://schemas.microsoft.com/office/drawing/2010/main" val="0"/>
                              </a:ext>
                            </a:extLst>
                          </a:blip>
                          <a:srcRect l="-2910" t="-977" r="-8592" b="-977"/>
                          <a:stretch/>
                        </pic:blipFill>
                        <pic:spPr bwMode="auto">
                          <a:xfrm>
                            <a:off x="0" y="0"/>
                            <a:ext cx="5651500" cy="4572000"/>
                          </a:xfrm>
                          <a:prstGeom prst="rect">
                            <a:avLst/>
                          </a:prstGeom>
                          <a:solidFill>
                            <a:schemeClr val="bg1"/>
                          </a:solidFill>
                          <a:ln w="635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47" w:type="dxa"/>
            <w:shd w:val="clear" w:color="auto" w:fill="auto"/>
            <w:noWrap/>
            <w:hideMark/>
          </w:tcPr>
          <w:p w14:paraId="44BEC2CB" w14:textId="32C122E0" w:rsidR="001B73A2" w:rsidRPr="001B73A2" w:rsidRDefault="001B73A2" w:rsidP="001B73A2">
            <w:pPr>
              <w:spacing w:after="0" w:line="240" w:lineRule="auto"/>
              <w:jc w:val="center"/>
              <w:rPr>
                <w:rFonts w:eastAsia="Times New Roman" w:cs="Arial"/>
                <w:color w:val="000000"/>
                <w:sz w:val="10"/>
                <w:szCs w:val="10"/>
                <w:lang w:eastAsia="en-AU"/>
              </w:rPr>
            </w:pPr>
            <w:r w:rsidRPr="001B73A2">
              <w:rPr>
                <w:rFonts w:eastAsia="Times New Roman" w:cs="Arial"/>
                <w:color w:val="000000"/>
                <w:sz w:val="10"/>
                <w:szCs w:val="10"/>
                <w:lang w:eastAsia="en-AU"/>
              </w:rPr>
              <w:t>VET Workforce</w:t>
            </w:r>
          </w:p>
        </w:tc>
        <w:tc>
          <w:tcPr>
            <w:tcW w:w="1247" w:type="dxa"/>
            <w:shd w:val="clear" w:color="auto" w:fill="auto"/>
            <w:noWrap/>
            <w:hideMark/>
          </w:tcPr>
          <w:p w14:paraId="6543BDB6" w14:textId="38BC78B7" w:rsidR="001B73A2" w:rsidRPr="001B73A2" w:rsidRDefault="001B73A2" w:rsidP="001B73A2">
            <w:pPr>
              <w:spacing w:after="0" w:line="240" w:lineRule="auto"/>
              <w:jc w:val="center"/>
              <w:rPr>
                <w:rFonts w:eastAsia="Times New Roman" w:cs="Arial"/>
                <w:color w:val="000000"/>
                <w:sz w:val="10"/>
                <w:szCs w:val="10"/>
                <w:lang w:eastAsia="en-AU"/>
              </w:rPr>
            </w:pPr>
            <w:r w:rsidRPr="001B73A2">
              <w:rPr>
                <w:rFonts w:eastAsia="Times New Roman" w:cs="Arial"/>
                <w:color w:val="000000"/>
                <w:sz w:val="10"/>
                <w:szCs w:val="10"/>
                <w:lang w:eastAsia="en-AU"/>
              </w:rPr>
              <w:t>Australian Workforce</w:t>
            </w:r>
          </w:p>
        </w:tc>
      </w:tr>
      <w:tr w:rsidR="001B73A2" w:rsidRPr="001B73A2" w14:paraId="19C0D216" w14:textId="77777777" w:rsidTr="00141713">
        <w:trPr>
          <w:trHeight w:val="113"/>
        </w:trPr>
        <w:tc>
          <w:tcPr>
            <w:tcW w:w="907" w:type="dxa"/>
            <w:shd w:val="clear" w:color="auto" w:fill="auto"/>
            <w:noWrap/>
            <w:vAlign w:val="bottom"/>
            <w:hideMark/>
          </w:tcPr>
          <w:p w14:paraId="76816061" w14:textId="77777777" w:rsidR="001B73A2" w:rsidRPr="001B73A2" w:rsidRDefault="001B73A2" w:rsidP="001B73A2">
            <w:pPr>
              <w:spacing w:after="0" w:line="240" w:lineRule="auto"/>
              <w:rPr>
                <w:rFonts w:eastAsia="Times New Roman" w:cs="Arial"/>
                <w:color w:val="000000"/>
                <w:sz w:val="10"/>
                <w:szCs w:val="10"/>
                <w:lang w:eastAsia="en-AU"/>
              </w:rPr>
            </w:pPr>
            <w:r w:rsidRPr="001B73A2">
              <w:rPr>
                <w:rFonts w:eastAsia="Times New Roman" w:cs="Arial"/>
                <w:color w:val="000000"/>
                <w:sz w:val="10"/>
                <w:szCs w:val="10"/>
                <w:lang w:eastAsia="en-AU"/>
              </w:rPr>
              <w:t>NSW</w:t>
            </w:r>
          </w:p>
        </w:tc>
        <w:tc>
          <w:tcPr>
            <w:tcW w:w="1247" w:type="dxa"/>
            <w:shd w:val="clear" w:color="auto" w:fill="auto"/>
            <w:noWrap/>
            <w:hideMark/>
          </w:tcPr>
          <w:p w14:paraId="5C5B5476" w14:textId="770CF0EB" w:rsidR="001B73A2" w:rsidRPr="001B73A2" w:rsidRDefault="001B73A2" w:rsidP="001B73A2">
            <w:pPr>
              <w:spacing w:after="0" w:line="240" w:lineRule="auto"/>
              <w:jc w:val="center"/>
              <w:rPr>
                <w:rFonts w:eastAsia="Times New Roman" w:cs="Arial"/>
                <w:color w:val="000000"/>
                <w:sz w:val="10"/>
                <w:szCs w:val="10"/>
                <w:lang w:eastAsia="en-AU"/>
              </w:rPr>
            </w:pPr>
            <w:r w:rsidRPr="001B73A2">
              <w:rPr>
                <w:rFonts w:eastAsia="Times New Roman" w:cs="Arial"/>
                <w:color w:val="000000"/>
                <w:sz w:val="10"/>
                <w:szCs w:val="10"/>
                <w:lang w:eastAsia="en-AU"/>
              </w:rPr>
              <w:t>32.6%</w:t>
            </w:r>
          </w:p>
        </w:tc>
        <w:tc>
          <w:tcPr>
            <w:tcW w:w="1247" w:type="dxa"/>
            <w:shd w:val="clear" w:color="auto" w:fill="auto"/>
            <w:noWrap/>
            <w:hideMark/>
          </w:tcPr>
          <w:p w14:paraId="36C40A02" w14:textId="355F2B42" w:rsidR="001B73A2" w:rsidRPr="001B73A2" w:rsidRDefault="001B73A2" w:rsidP="001B73A2">
            <w:pPr>
              <w:spacing w:after="0" w:line="240" w:lineRule="auto"/>
              <w:jc w:val="center"/>
              <w:rPr>
                <w:rFonts w:eastAsia="Times New Roman" w:cs="Arial"/>
                <w:color w:val="000000"/>
                <w:sz w:val="10"/>
                <w:szCs w:val="10"/>
                <w:lang w:eastAsia="en-AU"/>
              </w:rPr>
            </w:pPr>
            <w:r w:rsidRPr="001B73A2">
              <w:rPr>
                <w:rFonts w:eastAsia="Times New Roman" w:cs="Arial"/>
                <w:color w:val="000000"/>
                <w:sz w:val="10"/>
                <w:szCs w:val="10"/>
                <w:lang w:eastAsia="en-AU"/>
              </w:rPr>
              <w:t>30.6%</w:t>
            </w:r>
          </w:p>
        </w:tc>
      </w:tr>
      <w:tr w:rsidR="001B73A2" w:rsidRPr="001B73A2" w14:paraId="73D53BF0" w14:textId="77777777" w:rsidTr="00141713">
        <w:trPr>
          <w:trHeight w:val="113"/>
        </w:trPr>
        <w:tc>
          <w:tcPr>
            <w:tcW w:w="907" w:type="dxa"/>
            <w:shd w:val="clear" w:color="auto" w:fill="auto"/>
            <w:noWrap/>
            <w:vAlign w:val="bottom"/>
            <w:hideMark/>
          </w:tcPr>
          <w:p w14:paraId="154843ED" w14:textId="77777777" w:rsidR="001B73A2" w:rsidRPr="001B73A2" w:rsidRDefault="001B73A2" w:rsidP="001B73A2">
            <w:pPr>
              <w:spacing w:after="0" w:line="240" w:lineRule="auto"/>
              <w:rPr>
                <w:rFonts w:eastAsia="Times New Roman" w:cs="Arial"/>
                <w:color w:val="000000"/>
                <w:sz w:val="10"/>
                <w:szCs w:val="10"/>
                <w:lang w:eastAsia="en-AU"/>
              </w:rPr>
            </w:pPr>
            <w:r w:rsidRPr="001B73A2">
              <w:rPr>
                <w:rFonts w:eastAsia="Times New Roman" w:cs="Arial"/>
                <w:color w:val="000000"/>
                <w:sz w:val="10"/>
                <w:szCs w:val="10"/>
                <w:lang w:eastAsia="en-AU"/>
              </w:rPr>
              <w:t>VIC</w:t>
            </w:r>
          </w:p>
        </w:tc>
        <w:tc>
          <w:tcPr>
            <w:tcW w:w="1247" w:type="dxa"/>
            <w:shd w:val="clear" w:color="auto" w:fill="auto"/>
            <w:noWrap/>
            <w:hideMark/>
          </w:tcPr>
          <w:p w14:paraId="10629BD7" w14:textId="2D53F6A4" w:rsidR="001B73A2" w:rsidRPr="001B73A2" w:rsidRDefault="001B73A2" w:rsidP="001B73A2">
            <w:pPr>
              <w:spacing w:after="0" w:line="240" w:lineRule="auto"/>
              <w:jc w:val="center"/>
              <w:rPr>
                <w:rFonts w:eastAsia="Times New Roman" w:cs="Arial"/>
                <w:color w:val="000000"/>
                <w:sz w:val="10"/>
                <w:szCs w:val="10"/>
                <w:lang w:eastAsia="en-AU"/>
              </w:rPr>
            </w:pPr>
            <w:r w:rsidRPr="001B73A2">
              <w:rPr>
                <w:rFonts w:eastAsia="Times New Roman" w:cs="Arial"/>
                <w:color w:val="000000"/>
                <w:sz w:val="10"/>
                <w:szCs w:val="10"/>
                <w:lang w:eastAsia="en-AU"/>
              </w:rPr>
              <w:t>25.3%</w:t>
            </w:r>
          </w:p>
        </w:tc>
        <w:tc>
          <w:tcPr>
            <w:tcW w:w="1247" w:type="dxa"/>
            <w:shd w:val="clear" w:color="auto" w:fill="auto"/>
            <w:noWrap/>
            <w:hideMark/>
          </w:tcPr>
          <w:p w14:paraId="3201382F" w14:textId="65DA5950" w:rsidR="001B73A2" w:rsidRPr="001B73A2" w:rsidRDefault="001B73A2" w:rsidP="001B73A2">
            <w:pPr>
              <w:spacing w:after="0" w:line="240" w:lineRule="auto"/>
              <w:jc w:val="center"/>
              <w:rPr>
                <w:rFonts w:eastAsia="Times New Roman" w:cs="Arial"/>
                <w:color w:val="000000"/>
                <w:sz w:val="10"/>
                <w:szCs w:val="10"/>
                <w:lang w:eastAsia="en-AU"/>
              </w:rPr>
            </w:pPr>
            <w:r w:rsidRPr="001B73A2">
              <w:rPr>
                <w:rFonts w:eastAsia="Times New Roman" w:cs="Arial"/>
                <w:color w:val="000000"/>
                <w:sz w:val="10"/>
                <w:szCs w:val="10"/>
                <w:lang w:eastAsia="en-AU"/>
              </w:rPr>
              <w:t>26.2%</w:t>
            </w:r>
          </w:p>
        </w:tc>
      </w:tr>
      <w:tr w:rsidR="001B73A2" w:rsidRPr="001B73A2" w14:paraId="1748A9D5" w14:textId="77777777" w:rsidTr="00141713">
        <w:trPr>
          <w:trHeight w:val="113"/>
        </w:trPr>
        <w:tc>
          <w:tcPr>
            <w:tcW w:w="907" w:type="dxa"/>
            <w:shd w:val="clear" w:color="auto" w:fill="auto"/>
            <w:noWrap/>
            <w:vAlign w:val="bottom"/>
            <w:hideMark/>
          </w:tcPr>
          <w:p w14:paraId="5669505C" w14:textId="77777777" w:rsidR="001B73A2" w:rsidRPr="001B73A2" w:rsidRDefault="001B73A2" w:rsidP="001B73A2">
            <w:pPr>
              <w:spacing w:after="0" w:line="240" w:lineRule="auto"/>
              <w:rPr>
                <w:rFonts w:eastAsia="Times New Roman" w:cs="Arial"/>
                <w:color w:val="000000"/>
                <w:sz w:val="10"/>
                <w:szCs w:val="10"/>
                <w:lang w:eastAsia="en-AU"/>
              </w:rPr>
            </w:pPr>
            <w:r w:rsidRPr="001B73A2">
              <w:rPr>
                <w:rFonts w:eastAsia="Times New Roman" w:cs="Arial"/>
                <w:color w:val="000000"/>
                <w:sz w:val="10"/>
                <w:szCs w:val="10"/>
                <w:lang w:eastAsia="en-AU"/>
              </w:rPr>
              <w:t>QLD</w:t>
            </w:r>
          </w:p>
        </w:tc>
        <w:tc>
          <w:tcPr>
            <w:tcW w:w="1247" w:type="dxa"/>
            <w:shd w:val="clear" w:color="auto" w:fill="auto"/>
            <w:noWrap/>
            <w:hideMark/>
          </w:tcPr>
          <w:p w14:paraId="213CC219" w14:textId="77777777" w:rsidR="001B73A2" w:rsidRPr="001B73A2" w:rsidRDefault="001B73A2" w:rsidP="001B73A2">
            <w:pPr>
              <w:spacing w:after="0" w:line="240" w:lineRule="auto"/>
              <w:jc w:val="center"/>
              <w:rPr>
                <w:rFonts w:eastAsia="Times New Roman" w:cs="Arial"/>
                <w:color w:val="000000"/>
                <w:sz w:val="10"/>
                <w:szCs w:val="10"/>
                <w:lang w:eastAsia="en-AU"/>
              </w:rPr>
            </w:pPr>
            <w:r w:rsidRPr="001B73A2">
              <w:rPr>
                <w:rFonts w:eastAsia="Times New Roman" w:cs="Arial"/>
                <w:color w:val="000000"/>
                <w:sz w:val="10"/>
                <w:szCs w:val="10"/>
                <w:lang w:eastAsia="en-AU"/>
              </w:rPr>
              <w:t>19.9%</w:t>
            </w:r>
          </w:p>
        </w:tc>
        <w:tc>
          <w:tcPr>
            <w:tcW w:w="1247" w:type="dxa"/>
            <w:shd w:val="clear" w:color="auto" w:fill="auto"/>
            <w:noWrap/>
            <w:hideMark/>
          </w:tcPr>
          <w:p w14:paraId="32EF0968" w14:textId="4BA5D673" w:rsidR="001B73A2" w:rsidRPr="001B73A2" w:rsidRDefault="001B73A2" w:rsidP="001B73A2">
            <w:pPr>
              <w:spacing w:after="0" w:line="240" w:lineRule="auto"/>
              <w:jc w:val="center"/>
              <w:rPr>
                <w:rFonts w:eastAsia="Times New Roman" w:cs="Arial"/>
                <w:color w:val="000000"/>
                <w:sz w:val="10"/>
                <w:szCs w:val="10"/>
                <w:lang w:eastAsia="en-AU"/>
              </w:rPr>
            </w:pPr>
            <w:r w:rsidRPr="001B73A2">
              <w:rPr>
                <w:rFonts w:eastAsia="Times New Roman" w:cs="Arial"/>
                <w:color w:val="000000"/>
                <w:sz w:val="10"/>
                <w:szCs w:val="10"/>
                <w:lang w:eastAsia="en-AU"/>
              </w:rPr>
              <w:t>20.3%</w:t>
            </w:r>
          </w:p>
        </w:tc>
      </w:tr>
      <w:tr w:rsidR="001B73A2" w:rsidRPr="001B73A2" w14:paraId="7442985E" w14:textId="77777777" w:rsidTr="00141713">
        <w:trPr>
          <w:trHeight w:val="113"/>
        </w:trPr>
        <w:tc>
          <w:tcPr>
            <w:tcW w:w="907" w:type="dxa"/>
            <w:shd w:val="clear" w:color="auto" w:fill="auto"/>
            <w:noWrap/>
            <w:vAlign w:val="bottom"/>
            <w:hideMark/>
          </w:tcPr>
          <w:p w14:paraId="59A81C0E" w14:textId="77777777" w:rsidR="001B73A2" w:rsidRPr="001B73A2" w:rsidRDefault="001B73A2" w:rsidP="001B73A2">
            <w:pPr>
              <w:spacing w:after="0" w:line="240" w:lineRule="auto"/>
              <w:rPr>
                <w:rFonts w:eastAsia="Times New Roman" w:cs="Arial"/>
                <w:color w:val="000000"/>
                <w:sz w:val="10"/>
                <w:szCs w:val="10"/>
                <w:lang w:eastAsia="en-AU"/>
              </w:rPr>
            </w:pPr>
            <w:r w:rsidRPr="001B73A2">
              <w:rPr>
                <w:rFonts w:eastAsia="Times New Roman" w:cs="Arial"/>
                <w:color w:val="000000"/>
                <w:sz w:val="10"/>
                <w:szCs w:val="10"/>
                <w:lang w:eastAsia="en-AU"/>
              </w:rPr>
              <w:t>SA</w:t>
            </w:r>
          </w:p>
        </w:tc>
        <w:tc>
          <w:tcPr>
            <w:tcW w:w="1247" w:type="dxa"/>
            <w:shd w:val="clear" w:color="auto" w:fill="auto"/>
            <w:noWrap/>
            <w:hideMark/>
          </w:tcPr>
          <w:p w14:paraId="21493076" w14:textId="1135448C" w:rsidR="001B73A2" w:rsidRPr="001B73A2" w:rsidRDefault="001B73A2" w:rsidP="001B73A2">
            <w:pPr>
              <w:spacing w:after="0" w:line="240" w:lineRule="auto"/>
              <w:jc w:val="center"/>
              <w:rPr>
                <w:rFonts w:eastAsia="Times New Roman" w:cs="Arial"/>
                <w:color w:val="000000"/>
                <w:sz w:val="10"/>
                <w:szCs w:val="10"/>
                <w:lang w:eastAsia="en-AU"/>
              </w:rPr>
            </w:pPr>
            <w:r w:rsidRPr="001B73A2">
              <w:rPr>
                <w:rFonts w:eastAsia="Times New Roman" w:cs="Arial"/>
                <w:color w:val="000000"/>
                <w:sz w:val="10"/>
                <w:szCs w:val="10"/>
                <w:lang w:eastAsia="en-AU"/>
              </w:rPr>
              <w:t>6.0%</w:t>
            </w:r>
          </w:p>
        </w:tc>
        <w:tc>
          <w:tcPr>
            <w:tcW w:w="1247" w:type="dxa"/>
            <w:shd w:val="clear" w:color="auto" w:fill="auto"/>
            <w:noWrap/>
            <w:hideMark/>
          </w:tcPr>
          <w:p w14:paraId="0FD4DD83" w14:textId="30BCF0DB" w:rsidR="001B73A2" w:rsidRPr="001B73A2" w:rsidRDefault="001B73A2" w:rsidP="001B73A2">
            <w:pPr>
              <w:spacing w:after="0" w:line="240" w:lineRule="auto"/>
              <w:jc w:val="center"/>
              <w:rPr>
                <w:rFonts w:eastAsia="Times New Roman" w:cs="Arial"/>
                <w:color w:val="000000"/>
                <w:sz w:val="10"/>
                <w:szCs w:val="10"/>
                <w:lang w:eastAsia="en-AU"/>
              </w:rPr>
            </w:pPr>
            <w:r w:rsidRPr="001B73A2">
              <w:rPr>
                <w:rFonts w:eastAsia="Times New Roman" w:cs="Arial"/>
                <w:color w:val="000000"/>
                <w:sz w:val="10"/>
                <w:szCs w:val="10"/>
                <w:lang w:eastAsia="en-AU"/>
              </w:rPr>
              <w:t>7.0%</w:t>
            </w:r>
          </w:p>
        </w:tc>
      </w:tr>
      <w:tr w:rsidR="001B73A2" w:rsidRPr="001B73A2" w14:paraId="1FBD1551" w14:textId="77777777" w:rsidTr="00141713">
        <w:trPr>
          <w:trHeight w:val="113"/>
        </w:trPr>
        <w:tc>
          <w:tcPr>
            <w:tcW w:w="907" w:type="dxa"/>
            <w:shd w:val="clear" w:color="auto" w:fill="auto"/>
            <w:noWrap/>
            <w:vAlign w:val="bottom"/>
            <w:hideMark/>
          </w:tcPr>
          <w:p w14:paraId="39DC4DAD" w14:textId="77777777" w:rsidR="001B73A2" w:rsidRPr="001B73A2" w:rsidRDefault="001B73A2" w:rsidP="001B73A2">
            <w:pPr>
              <w:spacing w:after="0" w:line="240" w:lineRule="auto"/>
              <w:rPr>
                <w:rFonts w:eastAsia="Times New Roman" w:cs="Arial"/>
                <w:color w:val="000000"/>
                <w:sz w:val="10"/>
                <w:szCs w:val="10"/>
                <w:lang w:eastAsia="en-AU"/>
              </w:rPr>
            </w:pPr>
            <w:r w:rsidRPr="001B73A2">
              <w:rPr>
                <w:rFonts w:eastAsia="Times New Roman" w:cs="Arial"/>
                <w:color w:val="000000"/>
                <w:sz w:val="10"/>
                <w:szCs w:val="10"/>
                <w:lang w:eastAsia="en-AU"/>
              </w:rPr>
              <w:t>WA</w:t>
            </w:r>
          </w:p>
        </w:tc>
        <w:tc>
          <w:tcPr>
            <w:tcW w:w="1247" w:type="dxa"/>
            <w:shd w:val="clear" w:color="auto" w:fill="auto"/>
            <w:noWrap/>
            <w:hideMark/>
          </w:tcPr>
          <w:p w14:paraId="539CC5AE" w14:textId="0CEA6167" w:rsidR="001B73A2" w:rsidRPr="001B73A2" w:rsidRDefault="001B73A2" w:rsidP="001B73A2">
            <w:pPr>
              <w:spacing w:after="0" w:line="240" w:lineRule="auto"/>
              <w:jc w:val="center"/>
              <w:rPr>
                <w:rFonts w:eastAsia="Times New Roman" w:cs="Arial"/>
                <w:color w:val="000000"/>
                <w:sz w:val="10"/>
                <w:szCs w:val="10"/>
                <w:lang w:eastAsia="en-AU"/>
              </w:rPr>
            </w:pPr>
            <w:r w:rsidRPr="001B73A2">
              <w:rPr>
                <w:rFonts w:eastAsia="Times New Roman" w:cs="Arial"/>
                <w:color w:val="000000"/>
                <w:sz w:val="10"/>
                <w:szCs w:val="10"/>
                <w:lang w:eastAsia="en-AU"/>
              </w:rPr>
              <w:t>11.5%</w:t>
            </w:r>
          </w:p>
        </w:tc>
        <w:tc>
          <w:tcPr>
            <w:tcW w:w="1247" w:type="dxa"/>
            <w:shd w:val="clear" w:color="auto" w:fill="auto"/>
            <w:noWrap/>
            <w:hideMark/>
          </w:tcPr>
          <w:p w14:paraId="40588A43" w14:textId="2EAED1AB" w:rsidR="001B73A2" w:rsidRPr="001B73A2" w:rsidRDefault="001B73A2" w:rsidP="001B73A2">
            <w:pPr>
              <w:spacing w:after="0" w:line="240" w:lineRule="auto"/>
              <w:jc w:val="center"/>
              <w:rPr>
                <w:rFonts w:eastAsia="Times New Roman" w:cs="Arial"/>
                <w:color w:val="000000"/>
                <w:sz w:val="10"/>
                <w:szCs w:val="10"/>
                <w:lang w:eastAsia="en-AU"/>
              </w:rPr>
            </w:pPr>
            <w:r w:rsidRPr="001B73A2">
              <w:rPr>
                <w:rFonts w:eastAsia="Times New Roman" w:cs="Arial"/>
                <w:color w:val="000000"/>
                <w:sz w:val="10"/>
                <w:szCs w:val="10"/>
                <w:lang w:eastAsia="en-AU"/>
              </w:rPr>
              <w:t>10.8%</w:t>
            </w:r>
          </w:p>
        </w:tc>
      </w:tr>
      <w:tr w:rsidR="001B73A2" w:rsidRPr="001B73A2" w14:paraId="7ECCCCC9" w14:textId="77777777" w:rsidTr="00141713">
        <w:trPr>
          <w:trHeight w:val="113"/>
        </w:trPr>
        <w:tc>
          <w:tcPr>
            <w:tcW w:w="907" w:type="dxa"/>
            <w:shd w:val="clear" w:color="auto" w:fill="auto"/>
            <w:noWrap/>
            <w:vAlign w:val="bottom"/>
            <w:hideMark/>
          </w:tcPr>
          <w:p w14:paraId="33E78A43" w14:textId="77777777" w:rsidR="001B73A2" w:rsidRPr="001B73A2" w:rsidRDefault="001B73A2" w:rsidP="001B73A2">
            <w:pPr>
              <w:spacing w:after="0" w:line="240" w:lineRule="auto"/>
              <w:rPr>
                <w:rFonts w:eastAsia="Times New Roman" w:cs="Arial"/>
                <w:color w:val="000000"/>
                <w:sz w:val="10"/>
                <w:szCs w:val="10"/>
                <w:lang w:eastAsia="en-AU"/>
              </w:rPr>
            </w:pPr>
            <w:r w:rsidRPr="001B73A2">
              <w:rPr>
                <w:rFonts w:eastAsia="Times New Roman" w:cs="Arial"/>
                <w:color w:val="000000"/>
                <w:sz w:val="10"/>
                <w:szCs w:val="10"/>
                <w:lang w:eastAsia="en-AU"/>
              </w:rPr>
              <w:t>TAS</w:t>
            </w:r>
          </w:p>
        </w:tc>
        <w:tc>
          <w:tcPr>
            <w:tcW w:w="1247" w:type="dxa"/>
            <w:shd w:val="clear" w:color="auto" w:fill="auto"/>
            <w:noWrap/>
            <w:hideMark/>
          </w:tcPr>
          <w:p w14:paraId="54AFEAE7" w14:textId="639C0926" w:rsidR="001B73A2" w:rsidRPr="001B73A2" w:rsidRDefault="001B73A2" w:rsidP="001B73A2">
            <w:pPr>
              <w:spacing w:after="0" w:line="240" w:lineRule="auto"/>
              <w:jc w:val="center"/>
              <w:rPr>
                <w:rFonts w:eastAsia="Times New Roman" w:cs="Arial"/>
                <w:color w:val="000000"/>
                <w:sz w:val="10"/>
                <w:szCs w:val="10"/>
                <w:lang w:eastAsia="en-AU"/>
              </w:rPr>
            </w:pPr>
            <w:r w:rsidRPr="001B73A2">
              <w:rPr>
                <w:rFonts w:eastAsia="Times New Roman" w:cs="Arial"/>
                <w:color w:val="000000"/>
                <w:sz w:val="10"/>
                <w:szCs w:val="10"/>
                <w:lang w:eastAsia="en-AU"/>
              </w:rPr>
              <w:t>2.1%</w:t>
            </w:r>
          </w:p>
        </w:tc>
        <w:tc>
          <w:tcPr>
            <w:tcW w:w="1247" w:type="dxa"/>
            <w:shd w:val="clear" w:color="auto" w:fill="auto"/>
            <w:noWrap/>
            <w:hideMark/>
          </w:tcPr>
          <w:p w14:paraId="7BD39374" w14:textId="7FD4607B" w:rsidR="001B73A2" w:rsidRPr="001B73A2" w:rsidRDefault="001B73A2" w:rsidP="001B73A2">
            <w:pPr>
              <w:spacing w:after="0" w:line="240" w:lineRule="auto"/>
              <w:jc w:val="center"/>
              <w:rPr>
                <w:rFonts w:eastAsia="Times New Roman" w:cs="Arial"/>
                <w:color w:val="000000"/>
                <w:sz w:val="10"/>
                <w:szCs w:val="10"/>
                <w:lang w:eastAsia="en-AU"/>
              </w:rPr>
            </w:pPr>
            <w:r w:rsidRPr="001B73A2">
              <w:rPr>
                <w:rFonts w:eastAsia="Times New Roman" w:cs="Arial"/>
                <w:color w:val="000000"/>
                <w:sz w:val="10"/>
                <w:szCs w:val="10"/>
                <w:lang w:eastAsia="en-AU"/>
              </w:rPr>
              <w:t>2.1%</w:t>
            </w:r>
          </w:p>
        </w:tc>
      </w:tr>
      <w:tr w:rsidR="001B73A2" w:rsidRPr="001B73A2" w14:paraId="4400849C" w14:textId="77777777" w:rsidTr="00141713">
        <w:trPr>
          <w:trHeight w:val="113"/>
        </w:trPr>
        <w:tc>
          <w:tcPr>
            <w:tcW w:w="907" w:type="dxa"/>
            <w:shd w:val="clear" w:color="auto" w:fill="auto"/>
            <w:noWrap/>
            <w:vAlign w:val="bottom"/>
            <w:hideMark/>
          </w:tcPr>
          <w:p w14:paraId="11D940C5" w14:textId="7A39B465" w:rsidR="001B73A2" w:rsidRPr="001B73A2" w:rsidRDefault="001B73A2" w:rsidP="001B73A2">
            <w:pPr>
              <w:spacing w:after="0" w:line="240" w:lineRule="auto"/>
              <w:rPr>
                <w:rFonts w:eastAsia="Times New Roman" w:cs="Arial"/>
                <w:color w:val="000000"/>
                <w:sz w:val="10"/>
                <w:szCs w:val="10"/>
                <w:lang w:eastAsia="en-AU"/>
              </w:rPr>
            </w:pPr>
            <w:r w:rsidRPr="001B73A2">
              <w:rPr>
                <w:rFonts w:eastAsia="Times New Roman" w:cs="Arial"/>
                <w:color w:val="000000"/>
                <w:sz w:val="10"/>
                <w:szCs w:val="10"/>
                <w:lang w:eastAsia="en-AU"/>
              </w:rPr>
              <w:t>NT</w:t>
            </w:r>
          </w:p>
        </w:tc>
        <w:tc>
          <w:tcPr>
            <w:tcW w:w="1247" w:type="dxa"/>
            <w:shd w:val="clear" w:color="auto" w:fill="auto"/>
            <w:noWrap/>
            <w:hideMark/>
          </w:tcPr>
          <w:p w14:paraId="569681E2" w14:textId="760DC95C" w:rsidR="001B73A2" w:rsidRPr="001B73A2" w:rsidRDefault="001B73A2" w:rsidP="001B73A2">
            <w:pPr>
              <w:spacing w:after="0" w:line="240" w:lineRule="auto"/>
              <w:jc w:val="center"/>
              <w:rPr>
                <w:rFonts w:eastAsia="Times New Roman" w:cs="Arial"/>
                <w:color w:val="000000"/>
                <w:sz w:val="10"/>
                <w:szCs w:val="10"/>
                <w:lang w:eastAsia="en-AU"/>
              </w:rPr>
            </w:pPr>
            <w:r w:rsidRPr="001B73A2">
              <w:rPr>
                <w:rFonts w:eastAsia="Times New Roman" w:cs="Arial"/>
                <w:color w:val="000000"/>
                <w:sz w:val="10"/>
                <w:szCs w:val="10"/>
                <w:lang w:eastAsia="en-AU"/>
              </w:rPr>
              <w:t>0.7%</w:t>
            </w:r>
          </w:p>
        </w:tc>
        <w:tc>
          <w:tcPr>
            <w:tcW w:w="1247" w:type="dxa"/>
            <w:shd w:val="clear" w:color="auto" w:fill="auto"/>
            <w:noWrap/>
            <w:hideMark/>
          </w:tcPr>
          <w:p w14:paraId="67019D68" w14:textId="344E8819" w:rsidR="001B73A2" w:rsidRPr="001B73A2" w:rsidRDefault="001B73A2" w:rsidP="001B73A2">
            <w:pPr>
              <w:spacing w:after="0" w:line="240" w:lineRule="auto"/>
              <w:jc w:val="center"/>
              <w:rPr>
                <w:rFonts w:eastAsia="Times New Roman" w:cs="Arial"/>
                <w:color w:val="000000"/>
                <w:sz w:val="10"/>
                <w:szCs w:val="10"/>
                <w:lang w:eastAsia="en-AU"/>
              </w:rPr>
            </w:pPr>
            <w:r w:rsidRPr="001B73A2">
              <w:rPr>
                <w:rFonts w:eastAsia="Times New Roman" w:cs="Arial"/>
                <w:color w:val="000000"/>
                <w:sz w:val="10"/>
                <w:szCs w:val="10"/>
                <w:lang w:eastAsia="en-AU"/>
              </w:rPr>
              <w:t>0.9%</w:t>
            </w:r>
          </w:p>
        </w:tc>
      </w:tr>
      <w:tr w:rsidR="001B73A2" w:rsidRPr="001B73A2" w14:paraId="45255C8C" w14:textId="77777777" w:rsidTr="00141713">
        <w:trPr>
          <w:trHeight w:val="113"/>
        </w:trPr>
        <w:tc>
          <w:tcPr>
            <w:tcW w:w="907" w:type="dxa"/>
            <w:shd w:val="clear" w:color="auto" w:fill="auto"/>
            <w:noWrap/>
            <w:vAlign w:val="bottom"/>
            <w:hideMark/>
          </w:tcPr>
          <w:p w14:paraId="62EC28BD" w14:textId="2BCF2724" w:rsidR="001B73A2" w:rsidRPr="001B73A2" w:rsidRDefault="001B73A2" w:rsidP="001B73A2">
            <w:pPr>
              <w:spacing w:after="0" w:line="240" w:lineRule="auto"/>
              <w:rPr>
                <w:rFonts w:eastAsia="Times New Roman" w:cs="Arial"/>
                <w:color w:val="000000"/>
                <w:sz w:val="10"/>
                <w:szCs w:val="10"/>
                <w:lang w:eastAsia="en-AU"/>
              </w:rPr>
            </w:pPr>
            <w:r w:rsidRPr="001B73A2">
              <w:rPr>
                <w:rFonts w:eastAsia="Times New Roman" w:cs="Arial"/>
                <w:color w:val="000000"/>
                <w:sz w:val="10"/>
                <w:szCs w:val="10"/>
                <w:lang w:eastAsia="en-AU"/>
              </w:rPr>
              <w:t>ACT</w:t>
            </w:r>
          </w:p>
        </w:tc>
        <w:tc>
          <w:tcPr>
            <w:tcW w:w="1247" w:type="dxa"/>
            <w:shd w:val="clear" w:color="auto" w:fill="auto"/>
            <w:noWrap/>
            <w:hideMark/>
          </w:tcPr>
          <w:p w14:paraId="18E3D339" w14:textId="44920329" w:rsidR="001B73A2" w:rsidRPr="001B73A2" w:rsidRDefault="001B73A2" w:rsidP="001B73A2">
            <w:pPr>
              <w:spacing w:after="0" w:line="240" w:lineRule="auto"/>
              <w:jc w:val="center"/>
              <w:rPr>
                <w:rFonts w:eastAsia="Times New Roman" w:cs="Arial"/>
                <w:color w:val="000000"/>
                <w:sz w:val="10"/>
                <w:szCs w:val="10"/>
                <w:lang w:eastAsia="en-AU"/>
              </w:rPr>
            </w:pPr>
            <w:r w:rsidRPr="001B73A2">
              <w:rPr>
                <w:rFonts w:eastAsia="Times New Roman" w:cs="Arial"/>
                <w:color w:val="000000"/>
                <w:sz w:val="10"/>
                <w:szCs w:val="10"/>
                <w:lang w:eastAsia="en-AU"/>
              </w:rPr>
              <w:t>1.9%</w:t>
            </w:r>
          </w:p>
        </w:tc>
        <w:tc>
          <w:tcPr>
            <w:tcW w:w="1247" w:type="dxa"/>
            <w:shd w:val="clear" w:color="auto" w:fill="auto"/>
            <w:noWrap/>
            <w:hideMark/>
          </w:tcPr>
          <w:p w14:paraId="772AEF25" w14:textId="77777777" w:rsidR="001B73A2" w:rsidRPr="001B73A2" w:rsidRDefault="001B73A2" w:rsidP="001B73A2">
            <w:pPr>
              <w:spacing w:after="0" w:line="240" w:lineRule="auto"/>
              <w:jc w:val="center"/>
              <w:rPr>
                <w:rFonts w:eastAsia="Times New Roman" w:cs="Arial"/>
                <w:color w:val="000000"/>
                <w:sz w:val="10"/>
                <w:szCs w:val="10"/>
                <w:lang w:eastAsia="en-AU"/>
              </w:rPr>
            </w:pPr>
            <w:r w:rsidRPr="001B73A2">
              <w:rPr>
                <w:rFonts w:eastAsia="Times New Roman" w:cs="Arial"/>
                <w:color w:val="000000"/>
                <w:sz w:val="10"/>
                <w:szCs w:val="10"/>
                <w:lang w:eastAsia="en-AU"/>
              </w:rPr>
              <w:t>2.1%</w:t>
            </w:r>
          </w:p>
        </w:tc>
      </w:tr>
    </w:tbl>
    <w:p w14:paraId="05B7EBF8" w14:textId="6C4D06E3" w:rsidR="001B73A2" w:rsidRDefault="001B73A2" w:rsidP="001B73A2">
      <w:pPr>
        <w:rPr>
          <w:lang w:val="en-US"/>
        </w:rPr>
      </w:pPr>
    </w:p>
    <w:p w14:paraId="6038B894" w14:textId="6199A506" w:rsidR="00EC4CBA" w:rsidRDefault="00EC4CBA" w:rsidP="001B73A2">
      <w:pPr>
        <w:rPr>
          <w:lang w:val="en-US"/>
        </w:rPr>
      </w:pPr>
    </w:p>
    <w:p w14:paraId="21B6AFA4" w14:textId="04EC4275" w:rsidR="00EC4CBA" w:rsidRDefault="00EC4CBA" w:rsidP="001B73A2">
      <w:pPr>
        <w:rPr>
          <w:lang w:val="en-US"/>
        </w:rPr>
      </w:pPr>
    </w:p>
    <w:p w14:paraId="5604A6C2" w14:textId="77777777" w:rsidR="00E176B6" w:rsidRDefault="00E176B6" w:rsidP="001B73A2">
      <w:pPr>
        <w:rPr>
          <w:lang w:val="en-US"/>
        </w:rPr>
      </w:pPr>
    </w:p>
    <w:p w14:paraId="041D0C46" w14:textId="5B39CD7B" w:rsidR="00E176B6" w:rsidRDefault="00E176B6" w:rsidP="001B73A2">
      <w:pPr>
        <w:rPr>
          <w:lang w:val="en-US"/>
        </w:rPr>
      </w:pPr>
    </w:p>
    <w:p w14:paraId="060A1F13" w14:textId="649AC557" w:rsidR="00E176B6" w:rsidRDefault="00E176B6" w:rsidP="001B73A2">
      <w:pPr>
        <w:rPr>
          <w:lang w:val="en-US"/>
        </w:rPr>
      </w:pPr>
    </w:p>
    <w:p w14:paraId="181EF9BD" w14:textId="26A2ACA3" w:rsidR="00E176B6" w:rsidRDefault="00E176B6" w:rsidP="001B73A2">
      <w:pPr>
        <w:rPr>
          <w:lang w:val="en-US"/>
        </w:rPr>
      </w:pPr>
    </w:p>
    <w:p w14:paraId="15ED3F42" w14:textId="306C5B46" w:rsidR="001B73A2" w:rsidRDefault="001B73A2" w:rsidP="001B73A2">
      <w:pPr>
        <w:rPr>
          <w:lang w:val="en-US"/>
        </w:rPr>
      </w:pPr>
    </w:p>
    <w:p w14:paraId="16F1A70E" w14:textId="77777777" w:rsidR="00791C12" w:rsidRDefault="00791C12" w:rsidP="001B73A2">
      <w:pPr>
        <w:rPr>
          <w:lang w:val="en-US"/>
        </w:rPr>
      </w:pPr>
    </w:p>
    <w:p w14:paraId="5BB906A3" w14:textId="77777777" w:rsidR="00791C12" w:rsidRDefault="00791C12" w:rsidP="001B73A2">
      <w:pPr>
        <w:rPr>
          <w:lang w:val="en-US"/>
        </w:rPr>
      </w:pPr>
    </w:p>
    <w:p w14:paraId="68245635" w14:textId="77777777" w:rsidR="00141713" w:rsidRDefault="00141713" w:rsidP="001B73A2">
      <w:pPr>
        <w:rPr>
          <w:lang w:val="en-US"/>
        </w:rPr>
      </w:pPr>
    </w:p>
    <w:p w14:paraId="3E123193" w14:textId="77777777" w:rsidR="00141713" w:rsidRDefault="00141713" w:rsidP="001B73A2">
      <w:pPr>
        <w:rPr>
          <w:lang w:val="en-US"/>
        </w:rPr>
      </w:pPr>
    </w:p>
    <w:p w14:paraId="5E1EAC60" w14:textId="77777777" w:rsidR="00141713" w:rsidRDefault="00141713" w:rsidP="001B73A2">
      <w:pPr>
        <w:rPr>
          <w:lang w:val="en-US"/>
        </w:rPr>
      </w:pPr>
    </w:p>
    <w:p w14:paraId="18AC3E22" w14:textId="77777777" w:rsidR="005D0F72" w:rsidRDefault="005D0F72" w:rsidP="001B73A2">
      <w:pPr>
        <w:rPr>
          <w:lang w:val="en-US"/>
        </w:rPr>
      </w:pPr>
    </w:p>
    <w:p w14:paraId="1EE45855" w14:textId="32475CEC" w:rsidR="00E65868" w:rsidRDefault="005D0F72" w:rsidP="009A0EF7">
      <w:pPr>
        <w:pStyle w:val="Source"/>
        <w:spacing w:line="260" w:lineRule="exact"/>
      </w:pPr>
      <w:r>
        <w:br/>
      </w:r>
      <w:r w:rsidR="00A6421D" w:rsidRPr="00141713">
        <w:t xml:space="preserve">Source: ABS (2021) </w:t>
      </w:r>
      <w:r w:rsidR="00875D98" w:rsidRPr="00141713">
        <w:t>Labour Force Status (LFSP) and Occupation (OCCP) and Industry of Employment (INDP) by State/Territory (</w:t>
      </w:r>
      <w:r w:rsidR="00A6421D" w:rsidRPr="00141713">
        <w:t xml:space="preserve">STATE </w:t>
      </w:r>
      <w:r w:rsidR="00875D98" w:rsidRPr="00141713">
        <w:t>[</w:t>
      </w:r>
      <w:r w:rsidR="00A6421D" w:rsidRPr="00141713">
        <w:t>UR</w:t>
      </w:r>
      <w:r w:rsidR="00875D98" w:rsidRPr="00141713">
        <w:t>]),</w:t>
      </w:r>
      <w:r w:rsidR="00A6421D" w:rsidRPr="00141713">
        <w:t xml:space="preserve"> [</w:t>
      </w:r>
      <w:r w:rsidR="00875D98" w:rsidRPr="00141713">
        <w:t xml:space="preserve">Census </w:t>
      </w:r>
      <w:r w:rsidR="00A6421D" w:rsidRPr="00141713">
        <w:t xml:space="preserve">TableBuilder], accessed 20 December 2023. </w:t>
      </w:r>
    </w:p>
    <w:p w14:paraId="737102DE" w14:textId="5F857B9E" w:rsidR="00A6421D" w:rsidRPr="003B3946" w:rsidRDefault="00A6421D" w:rsidP="00E368D6">
      <w:pPr>
        <w:pStyle w:val="Heading2"/>
        <w:spacing w:after="240"/>
      </w:pPr>
      <w:bookmarkStart w:id="117" w:name="_Toc1362588986"/>
      <w:bookmarkStart w:id="118" w:name="_Toc176770983"/>
      <w:r>
        <w:t>Employment characteristics</w:t>
      </w:r>
      <w:bookmarkEnd w:id="112"/>
      <w:bookmarkEnd w:id="113"/>
      <w:bookmarkEnd w:id="114"/>
      <w:bookmarkEnd w:id="117"/>
      <w:bookmarkEnd w:id="118"/>
    </w:p>
    <w:p w14:paraId="5187EC7E" w14:textId="24AB2CED" w:rsidR="00A6421D" w:rsidRDefault="00A6421D" w:rsidP="00975F49">
      <w:pPr>
        <w:pStyle w:val="Bodycopy"/>
      </w:pPr>
      <w:r>
        <w:t xml:space="preserve">The VET workforce is more casualised, slightly higher paid and less award dependent than the Australian workforce, but this is not the case when compared to their counterparts in other education sectors. This section provides an overview of these employment characteristics and comparisons, demonstrating that the public VET workforce has generally better employment conditions and pay. It is also slightly more feminised and older than the overall VET workforce according to </w:t>
      </w:r>
      <w:r w:rsidRPr="007D7460">
        <w:t xml:space="preserve">Census </w:t>
      </w:r>
      <w:r w:rsidR="00850739">
        <w:t>data</w:t>
      </w:r>
      <w:r w:rsidRPr="007D7460">
        <w:t>.</w:t>
      </w:r>
      <w:r>
        <w:t xml:space="preserve">  </w:t>
      </w:r>
    </w:p>
    <w:p w14:paraId="668882B3" w14:textId="05E0C0F5" w:rsidR="00A6421D" w:rsidRDefault="00A6421D" w:rsidP="00A6421D">
      <w:pPr>
        <w:pStyle w:val="Heading3"/>
        <w:rPr>
          <w:rFonts w:cs="Arial"/>
          <w:color w:val="000000" w:themeColor="text1"/>
        </w:rPr>
      </w:pPr>
      <w:bookmarkStart w:id="119" w:name="_Toc954791731"/>
      <w:bookmarkStart w:id="120" w:name="_Toc379343079"/>
      <w:r>
        <w:t xml:space="preserve">Hours </w:t>
      </w:r>
      <w:r w:rsidR="009A0EF7">
        <w:t>w</w:t>
      </w:r>
      <w:r>
        <w:t>orked</w:t>
      </w:r>
      <w:bookmarkEnd w:id="119"/>
      <w:bookmarkEnd w:id="120"/>
    </w:p>
    <w:p w14:paraId="1E0B0092" w14:textId="09C9B718" w:rsidR="00A6421D" w:rsidRDefault="00A6421D" w:rsidP="00975F49">
      <w:pPr>
        <w:pStyle w:val="Bodycopy"/>
      </w:pPr>
      <w:r>
        <w:t xml:space="preserve">The VET workforce is most likely to work 30-39 hours per week and less likely than the Australian </w:t>
      </w:r>
      <w:r w:rsidR="005079E8">
        <w:t>w</w:t>
      </w:r>
      <w:r>
        <w:t>orkforce in general to work 40 hours per week or more</w:t>
      </w:r>
      <w:r w:rsidR="00EA1393">
        <w:t xml:space="preserve">, see </w:t>
      </w:r>
      <w:hyperlink w:anchor="Figure_2_11" w:history="1">
        <w:r w:rsidR="00EA1393" w:rsidRPr="00E06A88">
          <w:rPr>
            <w:rStyle w:val="Hyperlink"/>
          </w:rPr>
          <w:t>Figure 2.11</w:t>
        </w:r>
      </w:hyperlink>
      <w:r>
        <w:t xml:space="preserve">. All segments other than Leadership are much less likely than the Australian </w:t>
      </w:r>
      <w:r w:rsidR="005079E8">
        <w:t>w</w:t>
      </w:r>
      <w:r>
        <w:t xml:space="preserve">orkforce to work 50 hours per week or more. The Leadership segment is more likely than the Australian </w:t>
      </w:r>
      <w:r w:rsidR="005079E8">
        <w:t>w</w:t>
      </w:r>
      <w:r>
        <w:t>orkforce to work 40-49 or 50 hours per week or more. The Leadership segment has the lowest proportion of part-time workers (15.0%), while the Learning Support has the highest proportion at 43.0%.</w:t>
      </w:r>
    </w:p>
    <w:p w14:paraId="377AA618" w14:textId="1A9BDB6E" w:rsidR="003B20D3" w:rsidRDefault="003B20D3" w:rsidP="003B20D3">
      <w:pPr>
        <w:pStyle w:val="Caption"/>
        <w:keepNext/>
      </w:pPr>
      <w:bookmarkStart w:id="121" w:name="Figure_2_11"/>
      <w:r>
        <w:lastRenderedPageBreak/>
        <w:t xml:space="preserve">Figure </w:t>
      </w:r>
      <w:r w:rsidR="006558DC">
        <w:fldChar w:fldCharType="begin"/>
      </w:r>
      <w:r w:rsidR="006558DC">
        <w:instrText xml:space="preserve"> STYLEREF 1 \s </w:instrText>
      </w:r>
      <w:r w:rsidR="006558DC">
        <w:fldChar w:fldCharType="separate"/>
      </w:r>
      <w:r w:rsidR="00E7704E">
        <w:rPr>
          <w:noProof/>
        </w:rPr>
        <w:t>2</w:t>
      </w:r>
      <w:r w:rsidR="006558DC">
        <w:fldChar w:fldCharType="end"/>
      </w:r>
      <w:r w:rsidR="007D4DC4">
        <w:t>.</w:t>
      </w:r>
      <w:r w:rsidR="006558DC">
        <w:fldChar w:fldCharType="begin"/>
      </w:r>
      <w:r w:rsidR="006558DC">
        <w:instrText xml:space="preserve"> SEQ Figure \* ARABIC \s 1 </w:instrText>
      </w:r>
      <w:r w:rsidR="006558DC">
        <w:fldChar w:fldCharType="separate"/>
      </w:r>
      <w:r w:rsidR="00E7704E">
        <w:rPr>
          <w:noProof/>
        </w:rPr>
        <w:t>11</w:t>
      </w:r>
      <w:r w:rsidR="006558DC">
        <w:fldChar w:fldCharType="end"/>
      </w:r>
      <w:r>
        <w:t xml:space="preserve"> </w:t>
      </w:r>
      <w:r w:rsidRPr="00BE65D8">
        <w:t xml:space="preserve">Weekly hours worked, VET segments and workforce and Australian </w:t>
      </w:r>
      <w:r w:rsidR="00680B83">
        <w:t>w</w:t>
      </w:r>
      <w:r w:rsidRPr="00BE65D8">
        <w:t>orkforce</w:t>
      </w:r>
    </w:p>
    <w:bookmarkEnd w:id="121"/>
    <w:p w14:paraId="63F7A4AA" w14:textId="3AF5D118" w:rsidR="005D3DA3" w:rsidRPr="005D3DA3" w:rsidRDefault="00275C77" w:rsidP="005D3DA3">
      <w:pPr>
        <w:rPr>
          <w:lang w:val="en-US"/>
        </w:rPr>
      </w:pPr>
      <w:r>
        <w:rPr>
          <w:noProof/>
        </w:rPr>
        <w:drawing>
          <wp:anchor distT="0" distB="0" distL="114300" distR="114300" simplePos="0" relativeHeight="251658247" behindDoc="0" locked="0" layoutInCell="1" allowOverlap="0" wp14:anchorId="73D9C36C" wp14:editId="1E98DEB2">
            <wp:simplePos x="0" y="0"/>
            <wp:positionH relativeFrom="margin">
              <wp:align>left</wp:align>
            </wp:positionH>
            <wp:positionV relativeFrom="paragraph">
              <wp:posOffset>53232</wp:posOffset>
            </wp:positionV>
            <wp:extent cx="5652000" cy="6300000"/>
            <wp:effectExtent l="19050" t="19050" r="25400" b="24765"/>
            <wp:wrapNone/>
            <wp:docPr id="75747622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476224" name="Picture 1">
                      <a:extLst>
                        <a:ext uri="{C183D7F6-B498-43B3-948B-1728B52AA6E4}">
                          <adec:decorative xmlns:adec="http://schemas.microsoft.com/office/drawing/2017/decorative" val="1"/>
                        </a:ext>
                      </a:extLst>
                    </pic:cNvPr>
                    <pic:cNvPicPr/>
                  </pic:nvPicPr>
                  <pic:blipFill rotWithShape="1">
                    <a:blip r:embed="rId30" cstate="print">
                      <a:extLst>
                        <a:ext uri="{28A0092B-C50C-407E-A947-70E740481C1C}">
                          <a14:useLocalDpi xmlns:a14="http://schemas.microsoft.com/office/drawing/2010/main" val="0"/>
                        </a:ext>
                      </a:extLst>
                    </a:blip>
                    <a:srcRect l="-3349" r="-700" b="-285"/>
                    <a:stretch/>
                  </pic:blipFill>
                  <pic:spPr bwMode="auto">
                    <a:xfrm>
                      <a:off x="0" y="0"/>
                      <a:ext cx="5651500" cy="6299835"/>
                    </a:xfrm>
                    <a:prstGeom prst="rect">
                      <a:avLst/>
                    </a:prstGeom>
                    <a:solidFill>
                      <a:schemeClr val="bg1"/>
                    </a:solidFill>
                    <a:ln w="635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W w:w="5497" w:type="dxa"/>
        <w:tblLayout w:type="fixed"/>
        <w:tblLook w:val="04A0" w:firstRow="1" w:lastRow="0" w:firstColumn="1" w:lastColumn="0" w:noHBand="0" w:noVBand="1"/>
        <w:tblCaption w:val="Figure 2.11 Weekly hours worked, VET segments and workforce and Australian Workforce"/>
      </w:tblPr>
      <w:tblGrid>
        <w:gridCol w:w="1247"/>
        <w:gridCol w:w="850"/>
        <w:gridCol w:w="850"/>
        <w:gridCol w:w="850"/>
        <w:gridCol w:w="850"/>
        <w:gridCol w:w="850"/>
      </w:tblGrid>
      <w:tr w:rsidR="002F32B1" w:rsidRPr="002F32B1" w14:paraId="577D8ACC" w14:textId="77777777" w:rsidTr="005E3B73">
        <w:trPr>
          <w:trHeight w:val="293"/>
          <w:tblHeader/>
        </w:trPr>
        <w:tc>
          <w:tcPr>
            <w:tcW w:w="1247" w:type="dxa"/>
            <w:shd w:val="clear" w:color="auto" w:fill="auto"/>
            <w:noWrap/>
            <w:vAlign w:val="center"/>
            <w:hideMark/>
          </w:tcPr>
          <w:p w14:paraId="3F118CD7" w14:textId="77777777" w:rsidR="002F32B1" w:rsidRPr="002F32B1" w:rsidRDefault="002F32B1" w:rsidP="002F32B1">
            <w:pPr>
              <w:spacing w:after="0" w:line="240" w:lineRule="auto"/>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 </w:t>
            </w:r>
          </w:p>
        </w:tc>
        <w:tc>
          <w:tcPr>
            <w:tcW w:w="850" w:type="dxa"/>
            <w:shd w:val="clear" w:color="auto" w:fill="auto"/>
            <w:noWrap/>
            <w:vAlign w:val="center"/>
            <w:hideMark/>
          </w:tcPr>
          <w:p w14:paraId="1F54E2EF"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0-9 hours</w:t>
            </w:r>
          </w:p>
        </w:tc>
        <w:tc>
          <w:tcPr>
            <w:tcW w:w="850" w:type="dxa"/>
            <w:shd w:val="clear" w:color="auto" w:fill="auto"/>
            <w:noWrap/>
            <w:vAlign w:val="center"/>
            <w:hideMark/>
          </w:tcPr>
          <w:p w14:paraId="1692A19A" w14:textId="54EB171D"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10-29 hours</w:t>
            </w:r>
          </w:p>
        </w:tc>
        <w:tc>
          <w:tcPr>
            <w:tcW w:w="850" w:type="dxa"/>
            <w:shd w:val="clear" w:color="auto" w:fill="auto"/>
            <w:noWrap/>
            <w:vAlign w:val="center"/>
            <w:hideMark/>
          </w:tcPr>
          <w:p w14:paraId="124E3BF5" w14:textId="60D4BA40"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30-39 hours</w:t>
            </w:r>
          </w:p>
        </w:tc>
        <w:tc>
          <w:tcPr>
            <w:tcW w:w="850" w:type="dxa"/>
            <w:shd w:val="clear" w:color="auto" w:fill="auto"/>
            <w:noWrap/>
            <w:vAlign w:val="center"/>
            <w:hideMark/>
          </w:tcPr>
          <w:p w14:paraId="5E5EE385" w14:textId="6BAF26E8"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40-49 hours</w:t>
            </w:r>
          </w:p>
        </w:tc>
        <w:tc>
          <w:tcPr>
            <w:tcW w:w="850" w:type="dxa"/>
            <w:shd w:val="clear" w:color="auto" w:fill="auto"/>
            <w:noWrap/>
            <w:vAlign w:val="center"/>
            <w:hideMark/>
          </w:tcPr>
          <w:p w14:paraId="794B4406" w14:textId="62D15A0F"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50 hours or more</w:t>
            </w:r>
          </w:p>
        </w:tc>
      </w:tr>
      <w:tr w:rsidR="002F32B1" w:rsidRPr="002F32B1" w14:paraId="2B3A5598" w14:textId="77777777" w:rsidTr="005E3B73">
        <w:trPr>
          <w:trHeight w:val="293"/>
        </w:trPr>
        <w:tc>
          <w:tcPr>
            <w:tcW w:w="1247" w:type="dxa"/>
            <w:shd w:val="clear" w:color="auto" w:fill="auto"/>
            <w:noWrap/>
            <w:vAlign w:val="center"/>
            <w:hideMark/>
          </w:tcPr>
          <w:p w14:paraId="06428E41" w14:textId="77777777" w:rsidR="002F32B1" w:rsidRPr="002F32B1" w:rsidRDefault="002F32B1" w:rsidP="002F32B1">
            <w:pPr>
              <w:spacing w:after="0" w:line="240" w:lineRule="auto"/>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VET Workforce</w:t>
            </w:r>
          </w:p>
        </w:tc>
        <w:tc>
          <w:tcPr>
            <w:tcW w:w="850" w:type="dxa"/>
            <w:shd w:val="clear" w:color="auto" w:fill="auto"/>
            <w:noWrap/>
            <w:vAlign w:val="center"/>
            <w:hideMark/>
          </w:tcPr>
          <w:p w14:paraId="4257F46F"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9.7%</w:t>
            </w:r>
          </w:p>
        </w:tc>
        <w:tc>
          <w:tcPr>
            <w:tcW w:w="850" w:type="dxa"/>
            <w:shd w:val="clear" w:color="auto" w:fill="auto"/>
            <w:noWrap/>
            <w:vAlign w:val="center"/>
            <w:hideMark/>
          </w:tcPr>
          <w:p w14:paraId="43490F3B" w14:textId="27731296"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19.9%</w:t>
            </w:r>
          </w:p>
        </w:tc>
        <w:tc>
          <w:tcPr>
            <w:tcW w:w="850" w:type="dxa"/>
            <w:shd w:val="clear" w:color="auto" w:fill="auto"/>
            <w:noWrap/>
            <w:vAlign w:val="center"/>
            <w:hideMark/>
          </w:tcPr>
          <w:p w14:paraId="64DA1A28" w14:textId="64F11FD2"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40.2%</w:t>
            </w:r>
          </w:p>
        </w:tc>
        <w:tc>
          <w:tcPr>
            <w:tcW w:w="850" w:type="dxa"/>
            <w:shd w:val="clear" w:color="auto" w:fill="auto"/>
            <w:noWrap/>
            <w:vAlign w:val="center"/>
            <w:hideMark/>
          </w:tcPr>
          <w:p w14:paraId="1E2A5490" w14:textId="51B8D919"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22.0%</w:t>
            </w:r>
          </w:p>
        </w:tc>
        <w:tc>
          <w:tcPr>
            <w:tcW w:w="850" w:type="dxa"/>
            <w:shd w:val="clear" w:color="auto" w:fill="auto"/>
            <w:noWrap/>
            <w:vAlign w:val="center"/>
            <w:hideMark/>
          </w:tcPr>
          <w:p w14:paraId="58FADE98" w14:textId="0036E41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7.6%</w:t>
            </w:r>
          </w:p>
        </w:tc>
      </w:tr>
      <w:tr w:rsidR="002F32B1" w:rsidRPr="002F32B1" w14:paraId="153458DF" w14:textId="77777777" w:rsidTr="005E3B73">
        <w:trPr>
          <w:trHeight w:val="293"/>
        </w:trPr>
        <w:tc>
          <w:tcPr>
            <w:tcW w:w="1247" w:type="dxa"/>
            <w:shd w:val="clear" w:color="auto" w:fill="auto"/>
            <w:noWrap/>
            <w:vAlign w:val="center"/>
            <w:hideMark/>
          </w:tcPr>
          <w:p w14:paraId="77F28307" w14:textId="77777777" w:rsidR="002F32B1" w:rsidRPr="002F32B1" w:rsidRDefault="002F32B1" w:rsidP="002F32B1">
            <w:pPr>
              <w:spacing w:after="0" w:line="240" w:lineRule="auto"/>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Teach, Train &amp; Assess</w:t>
            </w:r>
          </w:p>
        </w:tc>
        <w:tc>
          <w:tcPr>
            <w:tcW w:w="850" w:type="dxa"/>
            <w:shd w:val="clear" w:color="auto" w:fill="auto"/>
            <w:noWrap/>
            <w:vAlign w:val="center"/>
            <w:hideMark/>
          </w:tcPr>
          <w:p w14:paraId="2D99A971"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11.4%</w:t>
            </w:r>
          </w:p>
        </w:tc>
        <w:tc>
          <w:tcPr>
            <w:tcW w:w="850" w:type="dxa"/>
            <w:shd w:val="clear" w:color="auto" w:fill="auto"/>
            <w:noWrap/>
            <w:vAlign w:val="center"/>
            <w:hideMark/>
          </w:tcPr>
          <w:p w14:paraId="7B061E4D"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23.9%</w:t>
            </w:r>
          </w:p>
        </w:tc>
        <w:tc>
          <w:tcPr>
            <w:tcW w:w="850" w:type="dxa"/>
            <w:shd w:val="clear" w:color="auto" w:fill="auto"/>
            <w:noWrap/>
            <w:vAlign w:val="center"/>
            <w:hideMark/>
          </w:tcPr>
          <w:p w14:paraId="34C57067" w14:textId="7BDF1800"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36.2%</w:t>
            </w:r>
          </w:p>
        </w:tc>
        <w:tc>
          <w:tcPr>
            <w:tcW w:w="850" w:type="dxa"/>
            <w:shd w:val="clear" w:color="auto" w:fill="auto"/>
            <w:noWrap/>
            <w:vAlign w:val="center"/>
            <w:hideMark/>
          </w:tcPr>
          <w:p w14:paraId="1575DFC9" w14:textId="55B41A63"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20.3%</w:t>
            </w:r>
          </w:p>
        </w:tc>
        <w:tc>
          <w:tcPr>
            <w:tcW w:w="850" w:type="dxa"/>
            <w:shd w:val="clear" w:color="auto" w:fill="auto"/>
            <w:noWrap/>
            <w:vAlign w:val="center"/>
            <w:hideMark/>
          </w:tcPr>
          <w:p w14:paraId="6616D69E" w14:textId="67CBB653"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7.4%</w:t>
            </w:r>
          </w:p>
        </w:tc>
      </w:tr>
      <w:tr w:rsidR="002F32B1" w:rsidRPr="002F32B1" w14:paraId="6E22A843" w14:textId="77777777" w:rsidTr="005E3B73">
        <w:trPr>
          <w:trHeight w:val="293"/>
        </w:trPr>
        <w:tc>
          <w:tcPr>
            <w:tcW w:w="1247" w:type="dxa"/>
            <w:shd w:val="clear" w:color="auto" w:fill="auto"/>
            <w:noWrap/>
            <w:vAlign w:val="center"/>
            <w:hideMark/>
          </w:tcPr>
          <w:p w14:paraId="144224F4" w14:textId="77777777" w:rsidR="002F32B1" w:rsidRPr="002F32B1" w:rsidRDefault="002F32B1" w:rsidP="002F32B1">
            <w:pPr>
              <w:spacing w:after="0" w:line="240" w:lineRule="auto"/>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Curriculum and Learning Design</w:t>
            </w:r>
          </w:p>
        </w:tc>
        <w:tc>
          <w:tcPr>
            <w:tcW w:w="850" w:type="dxa"/>
            <w:shd w:val="clear" w:color="auto" w:fill="auto"/>
            <w:noWrap/>
            <w:vAlign w:val="center"/>
            <w:hideMark/>
          </w:tcPr>
          <w:p w14:paraId="4890521F"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8.2%</w:t>
            </w:r>
          </w:p>
        </w:tc>
        <w:tc>
          <w:tcPr>
            <w:tcW w:w="850" w:type="dxa"/>
            <w:shd w:val="clear" w:color="auto" w:fill="auto"/>
            <w:noWrap/>
            <w:vAlign w:val="center"/>
            <w:hideMark/>
          </w:tcPr>
          <w:p w14:paraId="63AB52EA"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17.5%</w:t>
            </w:r>
          </w:p>
        </w:tc>
        <w:tc>
          <w:tcPr>
            <w:tcW w:w="850" w:type="dxa"/>
            <w:shd w:val="clear" w:color="auto" w:fill="auto"/>
            <w:noWrap/>
            <w:vAlign w:val="center"/>
            <w:hideMark/>
          </w:tcPr>
          <w:p w14:paraId="3E98CB2D" w14:textId="4E9647BC"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42.6%</w:t>
            </w:r>
          </w:p>
        </w:tc>
        <w:tc>
          <w:tcPr>
            <w:tcW w:w="850" w:type="dxa"/>
            <w:shd w:val="clear" w:color="auto" w:fill="auto"/>
            <w:noWrap/>
            <w:vAlign w:val="center"/>
            <w:hideMark/>
          </w:tcPr>
          <w:p w14:paraId="06B753F8"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25.1%</w:t>
            </w:r>
          </w:p>
        </w:tc>
        <w:tc>
          <w:tcPr>
            <w:tcW w:w="850" w:type="dxa"/>
            <w:shd w:val="clear" w:color="auto" w:fill="auto"/>
            <w:noWrap/>
            <w:vAlign w:val="center"/>
            <w:hideMark/>
          </w:tcPr>
          <w:p w14:paraId="421D03AC"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6.5%</w:t>
            </w:r>
          </w:p>
        </w:tc>
      </w:tr>
      <w:tr w:rsidR="002F32B1" w:rsidRPr="002F32B1" w14:paraId="6A65C9DF" w14:textId="77777777" w:rsidTr="005E3B73">
        <w:trPr>
          <w:trHeight w:val="293"/>
        </w:trPr>
        <w:tc>
          <w:tcPr>
            <w:tcW w:w="1247" w:type="dxa"/>
            <w:shd w:val="clear" w:color="auto" w:fill="auto"/>
            <w:noWrap/>
            <w:vAlign w:val="center"/>
            <w:hideMark/>
          </w:tcPr>
          <w:p w14:paraId="429DF6D2" w14:textId="77777777" w:rsidR="002F32B1" w:rsidRPr="002F32B1" w:rsidRDefault="002F32B1" w:rsidP="002F32B1">
            <w:pPr>
              <w:spacing w:after="0" w:line="240" w:lineRule="auto"/>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Quality Assurance and Compliance</w:t>
            </w:r>
          </w:p>
        </w:tc>
        <w:tc>
          <w:tcPr>
            <w:tcW w:w="850" w:type="dxa"/>
            <w:shd w:val="clear" w:color="auto" w:fill="auto"/>
            <w:noWrap/>
            <w:vAlign w:val="center"/>
            <w:hideMark/>
          </w:tcPr>
          <w:p w14:paraId="4112A018"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2.3%</w:t>
            </w:r>
          </w:p>
        </w:tc>
        <w:tc>
          <w:tcPr>
            <w:tcW w:w="850" w:type="dxa"/>
            <w:shd w:val="clear" w:color="auto" w:fill="auto"/>
            <w:noWrap/>
            <w:vAlign w:val="center"/>
            <w:hideMark/>
          </w:tcPr>
          <w:p w14:paraId="02948F57"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17.3%</w:t>
            </w:r>
          </w:p>
        </w:tc>
        <w:tc>
          <w:tcPr>
            <w:tcW w:w="850" w:type="dxa"/>
            <w:shd w:val="clear" w:color="auto" w:fill="auto"/>
            <w:noWrap/>
            <w:vAlign w:val="center"/>
            <w:hideMark/>
          </w:tcPr>
          <w:p w14:paraId="184BAF2F" w14:textId="1D649920"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50.5%</w:t>
            </w:r>
          </w:p>
        </w:tc>
        <w:tc>
          <w:tcPr>
            <w:tcW w:w="850" w:type="dxa"/>
            <w:shd w:val="clear" w:color="auto" w:fill="auto"/>
            <w:noWrap/>
            <w:vAlign w:val="center"/>
            <w:hideMark/>
          </w:tcPr>
          <w:p w14:paraId="2A8C68DB"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24.4%</w:t>
            </w:r>
          </w:p>
        </w:tc>
        <w:tc>
          <w:tcPr>
            <w:tcW w:w="850" w:type="dxa"/>
            <w:shd w:val="clear" w:color="auto" w:fill="auto"/>
            <w:noWrap/>
            <w:vAlign w:val="center"/>
            <w:hideMark/>
          </w:tcPr>
          <w:p w14:paraId="679F6EAD"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5.5%</w:t>
            </w:r>
          </w:p>
        </w:tc>
      </w:tr>
      <w:tr w:rsidR="002F32B1" w:rsidRPr="002F32B1" w14:paraId="0A904434" w14:textId="77777777" w:rsidTr="005E3B73">
        <w:trPr>
          <w:trHeight w:val="293"/>
        </w:trPr>
        <w:tc>
          <w:tcPr>
            <w:tcW w:w="1247" w:type="dxa"/>
            <w:shd w:val="clear" w:color="auto" w:fill="auto"/>
            <w:noWrap/>
            <w:vAlign w:val="center"/>
            <w:hideMark/>
          </w:tcPr>
          <w:p w14:paraId="5DFE66D9" w14:textId="77777777" w:rsidR="002F32B1" w:rsidRPr="002F32B1" w:rsidRDefault="002F32B1" w:rsidP="002F32B1">
            <w:pPr>
              <w:spacing w:after="0" w:line="240" w:lineRule="auto"/>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Leadership</w:t>
            </w:r>
          </w:p>
        </w:tc>
        <w:tc>
          <w:tcPr>
            <w:tcW w:w="850" w:type="dxa"/>
            <w:shd w:val="clear" w:color="auto" w:fill="auto"/>
            <w:noWrap/>
            <w:vAlign w:val="center"/>
            <w:hideMark/>
          </w:tcPr>
          <w:p w14:paraId="03BC6FD2"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4.7%</w:t>
            </w:r>
          </w:p>
        </w:tc>
        <w:tc>
          <w:tcPr>
            <w:tcW w:w="850" w:type="dxa"/>
            <w:shd w:val="clear" w:color="auto" w:fill="auto"/>
            <w:noWrap/>
            <w:vAlign w:val="center"/>
            <w:hideMark/>
          </w:tcPr>
          <w:p w14:paraId="6F1A8EB9"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8.5%</w:t>
            </w:r>
          </w:p>
        </w:tc>
        <w:tc>
          <w:tcPr>
            <w:tcW w:w="850" w:type="dxa"/>
            <w:shd w:val="clear" w:color="auto" w:fill="auto"/>
            <w:noWrap/>
            <w:vAlign w:val="center"/>
            <w:hideMark/>
          </w:tcPr>
          <w:p w14:paraId="68E23B54" w14:textId="4F24E90D"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37.1%</w:t>
            </w:r>
          </w:p>
        </w:tc>
        <w:tc>
          <w:tcPr>
            <w:tcW w:w="850" w:type="dxa"/>
            <w:shd w:val="clear" w:color="auto" w:fill="auto"/>
            <w:noWrap/>
            <w:vAlign w:val="center"/>
            <w:hideMark/>
          </w:tcPr>
          <w:p w14:paraId="4A0AE38D"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32.8%</w:t>
            </w:r>
          </w:p>
        </w:tc>
        <w:tc>
          <w:tcPr>
            <w:tcW w:w="850" w:type="dxa"/>
            <w:shd w:val="clear" w:color="auto" w:fill="auto"/>
            <w:noWrap/>
            <w:vAlign w:val="center"/>
            <w:hideMark/>
          </w:tcPr>
          <w:p w14:paraId="1EC8707E"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16.4%</w:t>
            </w:r>
          </w:p>
        </w:tc>
      </w:tr>
      <w:tr w:rsidR="002F32B1" w:rsidRPr="002F32B1" w14:paraId="024926D0" w14:textId="77777777" w:rsidTr="005E3B73">
        <w:trPr>
          <w:trHeight w:val="293"/>
        </w:trPr>
        <w:tc>
          <w:tcPr>
            <w:tcW w:w="1247" w:type="dxa"/>
            <w:shd w:val="clear" w:color="auto" w:fill="auto"/>
            <w:noWrap/>
            <w:vAlign w:val="center"/>
            <w:hideMark/>
          </w:tcPr>
          <w:p w14:paraId="5B953BBB" w14:textId="77777777" w:rsidR="002F32B1" w:rsidRPr="002F32B1" w:rsidRDefault="002F32B1" w:rsidP="002F32B1">
            <w:pPr>
              <w:spacing w:after="0" w:line="240" w:lineRule="auto"/>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Learning Support</w:t>
            </w:r>
          </w:p>
        </w:tc>
        <w:tc>
          <w:tcPr>
            <w:tcW w:w="850" w:type="dxa"/>
            <w:shd w:val="clear" w:color="auto" w:fill="auto"/>
            <w:noWrap/>
            <w:vAlign w:val="center"/>
            <w:hideMark/>
          </w:tcPr>
          <w:p w14:paraId="072161A9" w14:textId="420D7CCE"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11.0%</w:t>
            </w:r>
          </w:p>
        </w:tc>
        <w:tc>
          <w:tcPr>
            <w:tcW w:w="850" w:type="dxa"/>
            <w:shd w:val="clear" w:color="auto" w:fill="auto"/>
            <w:noWrap/>
            <w:vAlign w:val="center"/>
            <w:hideMark/>
          </w:tcPr>
          <w:p w14:paraId="26AC3303"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29.0%</w:t>
            </w:r>
          </w:p>
        </w:tc>
        <w:tc>
          <w:tcPr>
            <w:tcW w:w="850" w:type="dxa"/>
            <w:shd w:val="clear" w:color="auto" w:fill="auto"/>
            <w:noWrap/>
            <w:vAlign w:val="center"/>
            <w:hideMark/>
          </w:tcPr>
          <w:p w14:paraId="372DD0C8" w14:textId="715091C9"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46.3%</w:t>
            </w:r>
          </w:p>
        </w:tc>
        <w:tc>
          <w:tcPr>
            <w:tcW w:w="850" w:type="dxa"/>
            <w:shd w:val="clear" w:color="auto" w:fill="auto"/>
            <w:noWrap/>
            <w:vAlign w:val="center"/>
            <w:hideMark/>
          </w:tcPr>
          <w:p w14:paraId="73AF6890" w14:textId="1AE288C8"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11.1%</w:t>
            </w:r>
          </w:p>
        </w:tc>
        <w:tc>
          <w:tcPr>
            <w:tcW w:w="850" w:type="dxa"/>
            <w:shd w:val="clear" w:color="auto" w:fill="auto"/>
            <w:noWrap/>
            <w:vAlign w:val="center"/>
            <w:hideMark/>
          </w:tcPr>
          <w:p w14:paraId="2B4B4956"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1.1%</w:t>
            </w:r>
          </w:p>
        </w:tc>
      </w:tr>
      <w:tr w:rsidR="002F32B1" w:rsidRPr="002F32B1" w14:paraId="456F7A67" w14:textId="77777777" w:rsidTr="005E3B73">
        <w:trPr>
          <w:trHeight w:val="293"/>
        </w:trPr>
        <w:tc>
          <w:tcPr>
            <w:tcW w:w="1247" w:type="dxa"/>
            <w:shd w:val="clear" w:color="auto" w:fill="auto"/>
            <w:noWrap/>
            <w:vAlign w:val="center"/>
            <w:hideMark/>
          </w:tcPr>
          <w:p w14:paraId="4B62A060" w14:textId="77777777" w:rsidR="002F32B1" w:rsidRPr="002F32B1" w:rsidRDefault="002F32B1" w:rsidP="002F32B1">
            <w:pPr>
              <w:spacing w:after="0" w:line="240" w:lineRule="auto"/>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Administration and Operations</w:t>
            </w:r>
          </w:p>
        </w:tc>
        <w:tc>
          <w:tcPr>
            <w:tcW w:w="850" w:type="dxa"/>
            <w:shd w:val="clear" w:color="auto" w:fill="auto"/>
            <w:noWrap/>
            <w:vAlign w:val="center"/>
            <w:hideMark/>
          </w:tcPr>
          <w:p w14:paraId="21AF602A" w14:textId="417FCC72"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8.3%</w:t>
            </w:r>
          </w:p>
        </w:tc>
        <w:tc>
          <w:tcPr>
            <w:tcW w:w="850" w:type="dxa"/>
            <w:shd w:val="clear" w:color="auto" w:fill="auto"/>
            <w:noWrap/>
            <w:vAlign w:val="center"/>
            <w:hideMark/>
          </w:tcPr>
          <w:p w14:paraId="6008FB34" w14:textId="2A5BD431"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16.4%</w:t>
            </w:r>
          </w:p>
        </w:tc>
        <w:tc>
          <w:tcPr>
            <w:tcW w:w="850" w:type="dxa"/>
            <w:shd w:val="clear" w:color="auto" w:fill="auto"/>
            <w:noWrap/>
            <w:vAlign w:val="center"/>
            <w:hideMark/>
          </w:tcPr>
          <w:p w14:paraId="5399F2D3" w14:textId="3E0962F8"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45.8%</w:t>
            </w:r>
          </w:p>
        </w:tc>
        <w:tc>
          <w:tcPr>
            <w:tcW w:w="850" w:type="dxa"/>
            <w:shd w:val="clear" w:color="auto" w:fill="auto"/>
            <w:noWrap/>
            <w:vAlign w:val="center"/>
            <w:hideMark/>
          </w:tcPr>
          <w:p w14:paraId="540568EF" w14:textId="78F2B42E"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19.9%</w:t>
            </w:r>
          </w:p>
        </w:tc>
        <w:tc>
          <w:tcPr>
            <w:tcW w:w="850" w:type="dxa"/>
            <w:shd w:val="clear" w:color="auto" w:fill="auto"/>
            <w:noWrap/>
            <w:vAlign w:val="center"/>
            <w:hideMark/>
          </w:tcPr>
          <w:p w14:paraId="6E978252" w14:textId="53C8F986"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3.9%</w:t>
            </w:r>
          </w:p>
        </w:tc>
      </w:tr>
      <w:tr w:rsidR="002F32B1" w:rsidRPr="002F32B1" w14:paraId="195BFD72" w14:textId="77777777" w:rsidTr="005E3B73">
        <w:trPr>
          <w:trHeight w:val="293"/>
        </w:trPr>
        <w:tc>
          <w:tcPr>
            <w:tcW w:w="1247" w:type="dxa"/>
            <w:shd w:val="clear" w:color="auto" w:fill="auto"/>
            <w:noWrap/>
            <w:vAlign w:val="center"/>
            <w:hideMark/>
          </w:tcPr>
          <w:p w14:paraId="60B78992" w14:textId="77777777" w:rsidR="002F32B1" w:rsidRPr="002F32B1" w:rsidRDefault="002F32B1" w:rsidP="002F32B1">
            <w:pPr>
              <w:spacing w:after="0" w:line="240" w:lineRule="auto"/>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Australian Workforce</w:t>
            </w:r>
          </w:p>
        </w:tc>
        <w:tc>
          <w:tcPr>
            <w:tcW w:w="850" w:type="dxa"/>
            <w:shd w:val="clear" w:color="auto" w:fill="auto"/>
            <w:noWrap/>
            <w:vAlign w:val="center"/>
            <w:hideMark/>
          </w:tcPr>
          <w:p w14:paraId="7C25A32A"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12.0%</w:t>
            </w:r>
          </w:p>
        </w:tc>
        <w:tc>
          <w:tcPr>
            <w:tcW w:w="850" w:type="dxa"/>
            <w:shd w:val="clear" w:color="auto" w:fill="auto"/>
            <w:noWrap/>
            <w:vAlign w:val="center"/>
            <w:hideMark/>
          </w:tcPr>
          <w:p w14:paraId="4AF18F7F"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19.8%</w:t>
            </w:r>
          </w:p>
        </w:tc>
        <w:tc>
          <w:tcPr>
            <w:tcW w:w="850" w:type="dxa"/>
            <w:shd w:val="clear" w:color="auto" w:fill="auto"/>
            <w:noWrap/>
            <w:vAlign w:val="center"/>
            <w:hideMark/>
          </w:tcPr>
          <w:p w14:paraId="301AE41D"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28.2%</w:t>
            </w:r>
          </w:p>
        </w:tc>
        <w:tc>
          <w:tcPr>
            <w:tcW w:w="850" w:type="dxa"/>
            <w:shd w:val="clear" w:color="auto" w:fill="auto"/>
            <w:noWrap/>
            <w:vAlign w:val="center"/>
            <w:hideMark/>
          </w:tcPr>
          <w:p w14:paraId="12ADF25F" w14:textId="77777777"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26.0%</w:t>
            </w:r>
          </w:p>
        </w:tc>
        <w:tc>
          <w:tcPr>
            <w:tcW w:w="850" w:type="dxa"/>
            <w:shd w:val="clear" w:color="auto" w:fill="auto"/>
            <w:noWrap/>
            <w:vAlign w:val="center"/>
            <w:hideMark/>
          </w:tcPr>
          <w:p w14:paraId="3637E514" w14:textId="0A917335" w:rsidR="002F32B1" w:rsidRPr="002F32B1" w:rsidRDefault="002F32B1" w:rsidP="002F32B1">
            <w:pPr>
              <w:spacing w:after="0" w:line="240" w:lineRule="auto"/>
              <w:jc w:val="right"/>
              <w:rPr>
                <w:rFonts w:asciiTheme="minorHAnsi" w:eastAsia="Times New Roman" w:hAnsiTheme="minorHAnsi" w:cstheme="minorHAnsi"/>
                <w:color w:val="000000"/>
                <w:sz w:val="10"/>
                <w:szCs w:val="10"/>
                <w:lang w:eastAsia="en-AU"/>
              </w:rPr>
            </w:pPr>
            <w:r w:rsidRPr="002F32B1">
              <w:rPr>
                <w:rFonts w:asciiTheme="minorHAnsi" w:eastAsia="Times New Roman" w:hAnsiTheme="minorHAnsi" w:cstheme="minorHAnsi"/>
                <w:color w:val="000000"/>
                <w:sz w:val="10"/>
                <w:szCs w:val="10"/>
                <w:lang w:eastAsia="en-AU"/>
              </w:rPr>
              <w:t>12.2%</w:t>
            </w:r>
          </w:p>
        </w:tc>
      </w:tr>
    </w:tbl>
    <w:p w14:paraId="63A21DF7" w14:textId="77777777" w:rsidR="002F32B1" w:rsidRDefault="002F32B1" w:rsidP="002F32B1">
      <w:pPr>
        <w:rPr>
          <w:lang w:val="en-US"/>
        </w:rPr>
      </w:pPr>
    </w:p>
    <w:p w14:paraId="0D526F38" w14:textId="1AC7F256" w:rsidR="002F32B1" w:rsidRDefault="002F32B1" w:rsidP="002F32B1">
      <w:pPr>
        <w:rPr>
          <w:lang w:val="en-US"/>
        </w:rPr>
      </w:pPr>
    </w:p>
    <w:p w14:paraId="35A6CF11" w14:textId="0CFBFB89" w:rsidR="002F32B1" w:rsidRDefault="002F32B1" w:rsidP="002F32B1">
      <w:pPr>
        <w:rPr>
          <w:lang w:val="en-US"/>
        </w:rPr>
      </w:pPr>
    </w:p>
    <w:p w14:paraId="77E1CF9E" w14:textId="77777777" w:rsidR="002F32B1" w:rsidRDefault="002F32B1" w:rsidP="002F32B1">
      <w:pPr>
        <w:rPr>
          <w:lang w:val="en-US"/>
        </w:rPr>
      </w:pPr>
    </w:p>
    <w:p w14:paraId="306E63D4" w14:textId="77777777" w:rsidR="002F32B1" w:rsidRDefault="002F32B1" w:rsidP="002F32B1">
      <w:pPr>
        <w:rPr>
          <w:lang w:val="en-US"/>
        </w:rPr>
      </w:pPr>
    </w:p>
    <w:p w14:paraId="7B1B756D" w14:textId="77777777" w:rsidR="002F32B1" w:rsidRDefault="002F32B1" w:rsidP="002F32B1">
      <w:pPr>
        <w:rPr>
          <w:lang w:val="en-US"/>
        </w:rPr>
      </w:pPr>
    </w:p>
    <w:p w14:paraId="09F695EA" w14:textId="77777777" w:rsidR="002F32B1" w:rsidRDefault="002F32B1" w:rsidP="002F32B1">
      <w:pPr>
        <w:rPr>
          <w:lang w:val="en-US"/>
        </w:rPr>
      </w:pPr>
    </w:p>
    <w:p w14:paraId="1B44C232" w14:textId="77777777" w:rsidR="002F32B1" w:rsidRDefault="002F32B1" w:rsidP="002F32B1">
      <w:pPr>
        <w:rPr>
          <w:lang w:val="en-US"/>
        </w:rPr>
      </w:pPr>
    </w:p>
    <w:p w14:paraId="5EEE3699" w14:textId="77777777" w:rsidR="002F32B1" w:rsidRDefault="002F32B1" w:rsidP="002F32B1">
      <w:pPr>
        <w:rPr>
          <w:lang w:val="en-US"/>
        </w:rPr>
      </w:pPr>
    </w:p>
    <w:p w14:paraId="77F14D60" w14:textId="77777777" w:rsidR="002F32B1" w:rsidRDefault="002F32B1" w:rsidP="002F32B1">
      <w:pPr>
        <w:rPr>
          <w:lang w:val="en-US"/>
        </w:rPr>
      </w:pPr>
    </w:p>
    <w:p w14:paraId="4B566DC0" w14:textId="77777777" w:rsidR="002F32B1" w:rsidRDefault="002F32B1" w:rsidP="002F32B1">
      <w:pPr>
        <w:rPr>
          <w:lang w:val="en-US"/>
        </w:rPr>
      </w:pPr>
    </w:p>
    <w:p w14:paraId="720AE9AD" w14:textId="77777777" w:rsidR="002F32B1" w:rsidRDefault="002F32B1" w:rsidP="002F32B1">
      <w:pPr>
        <w:rPr>
          <w:lang w:val="en-US"/>
        </w:rPr>
      </w:pPr>
    </w:p>
    <w:p w14:paraId="2D41E221" w14:textId="77777777" w:rsidR="002F32B1" w:rsidRDefault="002F32B1" w:rsidP="002F32B1">
      <w:pPr>
        <w:rPr>
          <w:lang w:val="en-US"/>
        </w:rPr>
      </w:pPr>
    </w:p>
    <w:p w14:paraId="5C7708EC" w14:textId="77777777" w:rsidR="002F32B1" w:rsidRDefault="002F32B1" w:rsidP="002F32B1">
      <w:pPr>
        <w:rPr>
          <w:lang w:val="en-US"/>
        </w:rPr>
      </w:pPr>
    </w:p>
    <w:p w14:paraId="4ECF97AD" w14:textId="3BEE9B2B" w:rsidR="00A6421D" w:rsidRDefault="00A6421D" w:rsidP="008A1AA3">
      <w:pPr>
        <w:rPr>
          <w:lang w:val="en-US"/>
        </w:rPr>
      </w:pPr>
    </w:p>
    <w:p w14:paraId="4149EEDD" w14:textId="77777777" w:rsidR="00D3289C" w:rsidRDefault="00D3289C" w:rsidP="008A1AA3">
      <w:pPr>
        <w:rPr>
          <w:color w:val="auto"/>
        </w:rPr>
      </w:pPr>
    </w:p>
    <w:p w14:paraId="0CFAA37D" w14:textId="04E04D20" w:rsidR="00A6421D" w:rsidRDefault="005E3B73" w:rsidP="008B2387">
      <w:pPr>
        <w:pStyle w:val="Source"/>
      </w:pPr>
      <w:r>
        <w:br/>
      </w:r>
      <w:r w:rsidR="00A6421D">
        <w:t>Source: ABS (2021)</w:t>
      </w:r>
      <w:r w:rsidR="00D01432" w:rsidRPr="00D01432">
        <w:t xml:space="preserve"> </w:t>
      </w:r>
      <w:r w:rsidR="00D01432">
        <w:t>Hours Worked (ranges; HRWRP) by</w:t>
      </w:r>
      <w:r w:rsidR="00A6421D">
        <w:t xml:space="preserve"> </w:t>
      </w:r>
      <w:r w:rsidR="00875D98">
        <w:t>Labour Force Status (LFSP)</w:t>
      </w:r>
      <w:r w:rsidR="00D01432">
        <w:t xml:space="preserve">, </w:t>
      </w:r>
      <w:r w:rsidR="00875D98">
        <w:t>Occupation (OCCP) and Industry of Employment (INDP</w:t>
      </w:r>
      <w:r w:rsidR="00123A90">
        <w:t>),</w:t>
      </w:r>
      <w:r w:rsidR="00A6421D">
        <w:t xml:space="preserve"> [Census TableBuilder], accessed 25 March 2023. </w:t>
      </w:r>
    </w:p>
    <w:p w14:paraId="4B1B0381" w14:textId="77777777" w:rsidR="00223976" w:rsidRPr="00223976" w:rsidRDefault="00223976" w:rsidP="00223976"/>
    <w:p w14:paraId="065EAB82" w14:textId="25F066F7" w:rsidR="00A6421D" w:rsidRDefault="00A6421D" w:rsidP="00E16D4F">
      <w:pPr>
        <w:pStyle w:val="Bodycopy"/>
      </w:pPr>
      <w:r>
        <w:t xml:space="preserve">The analysis is similar for </w:t>
      </w:r>
      <w:r w:rsidR="00CC6D50">
        <w:t>VET teachers</w:t>
      </w:r>
      <w:r>
        <w:t xml:space="preserve"> </w:t>
      </w:r>
      <w:r w:rsidRPr="696805A8">
        <w:t>compared</w:t>
      </w:r>
      <w:r>
        <w:t xml:space="preserve"> to other </w:t>
      </w:r>
      <w:r w:rsidR="00F13473">
        <w:t>e</w:t>
      </w:r>
      <w:r>
        <w:t>ducation professionals</w:t>
      </w:r>
      <w:r w:rsidR="00F127C0">
        <w:t xml:space="preserve">, see </w:t>
      </w:r>
      <w:hyperlink w:anchor="Figure_2_12" w:history="1">
        <w:r w:rsidR="00F127C0" w:rsidRPr="00E06A88">
          <w:rPr>
            <w:rStyle w:val="Hyperlink"/>
          </w:rPr>
          <w:t>Figure 2.12</w:t>
        </w:r>
      </w:hyperlink>
      <w:r w:rsidRPr="696805A8">
        <w:t>.</w:t>
      </w:r>
      <w:r>
        <w:t xml:space="preserve"> </w:t>
      </w:r>
      <w:r w:rsidR="00CC6D50">
        <w:t>VET teachers</w:t>
      </w:r>
      <w:r>
        <w:t xml:space="preserve"> are twice as likely to work 35-39 hours per week and much less likely than </w:t>
      </w:r>
      <w:r w:rsidR="00F13473">
        <w:t>secondary school teachers</w:t>
      </w:r>
      <w:r>
        <w:t xml:space="preserve"> and </w:t>
      </w:r>
      <w:r w:rsidR="005B5425">
        <w:t>university lecturers</w:t>
      </w:r>
      <w:r>
        <w:t xml:space="preserve"> and </w:t>
      </w:r>
      <w:r w:rsidR="005B5425">
        <w:t>t</w:t>
      </w:r>
      <w:r>
        <w:t>utors to work more than 45 hours per week.</w:t>
      </w:r>
    </w:p>
    <w:p w14:paraId="78E65D6F" w14:textId="77777777" w:rsidR="00A6421D" w:rsidRDefault="00A6421D" w:rsidP="00A6421D">
      <w:pPr>
        <w:rPr>
          <w:b/>
          <w:sz w:val="20"/>
          <w:lang w:val="en-US"/>
        </w:rPr>
      </w:pPr>
      <w:r>
        <w:br w:type="page"/>
      </w:r>
    </w:p>
    <w:p w14:paraId="389B68E8" w14:textId="60BB1FB4" w:rsidR="00A6421D" w:rsidRDefault="00A6421D" w:rsidP="00A6421D">
      <w:pPr>
        <w:pStyle w:val="Caption"/>
      </w:pPr>
      <w:bookmarkStart w:id="122" w:name="Figure_2_12"/>
      <w:r>
        <w:lastRenderedPageBreak/>
        <w:t xml:space="preserve">Figure </w:t>
      </w:r>
      <w:r w:rsidR="006558DC">
        <w:fldChar w:fldCharType="begin"/>
      </w:r>
      <w:r w:rsidR="006558DC">
        <w:instrText xml:space="preserve"> STYLEREF 1 \s </w:instrText>
      </w:r>
      <w:r w:rsidR="006558DC">
        <w:fldChar w:fldCharType="separate"/>
      </w:r>
      <w:r w:rsidR="00E7704E">
        <w:rPr>
          <w:noProof/>
        </w:rPr>
        <w:t>2</w:t>
      </w:r>
      <w:r w:rsidR="006558DC">
        <w:fldChar w:fldCharType="end"/>
      </w:r>
      <w:r w:rsidR="007D4DC4">
        <w:t>.</w:t>
      </w:r>
      <w:r w:rsidR="006558DC">
        <w:fldChar w:fldCharType="begin"/>
      </w:r>
      <w:r w:rsidR="006558DC">
        <w:instrText xml:space="preserve"> SEQ Figure \* ARABIC \s 1 </w:instrText>
      </w:r>
      <w:r w:rsidR="006558DC">
        <w:fldChar w:fldCharType="separate"/>
      </w:r>
      <w:r w:rsidR="00E7704E">
        <w:rPr>
          <w:noProof/>
        </w:rPr>
        <w:t>12</w:t>
      </w:r>
      <w:r w:rsidR="006558DC">
        <w:fldChar w:fldCharType="end"/>
      </w:r>
      <w:r>
        <w:t xml:space="preserve"> Weekly hours worked, selected Education Professionals (%)</w:t>
      </w:r>
    </w:p>
    <w:bookmarkEnd w:id="122"/>
    <w:p w14:paraId="4474114C" w14:textId="05BC20B9" w:rsidR="005D3DA3" w:rsidRDefault="00783A84" w:rsidP="005D3DA3">
      <w:pPr>
        <w:rPr>
          <w:lang w:val="en-US"/>
        </w:rPr>
      </w:pPr>
      <w:r>
        <w:rPr>
          <w:noProof/>
        </w:rPr>
        <w:drawing>
          <wp:inline distT="0" distB="0" distL="0" distR="0" wp14:anchorId="00133A57" wp14:editId="4FA016B6">
            <wp:extent cx="5677517" cy="3708000"/>
            <wp:effectExtent l="19050" t="19050" r="19050" b="26035"/>
            <wp:docPr id="410450617" name="Picture 4" descr="Weekly hours worked, selected Education Professionals (%)&#10;&#10;0-9 hours: VET teachers 10.9%, Secondary School Teachers 7.2%, Secondary School Teachers 7.2%, University Lecturers and Tutors 17.3%.&#10;10-29 hours: VET teachers 22.8%, Secondary School Teachers 13.3%, University Lecturers and Tutors 17.3%.&#10;30-39 hours: VET teachers 37.2%, Secondary School Teachers 23.1%, University Lecturers and Tutors 20.4%.&#10;40-49 hours: VET teachers 20.9%, Secondary School Teachers 33.9%, University Lecturers and Tutors 26.4%.&#10;50 hours or more: VET teachers 7.6%, Secondary School Teachers 22.0%, University Lecturers and Tutors 18.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50617" name="Picture 4" descr="Weekly hours worked, selected Education Professionals (%)&#10;&#10;0-9 hours: VET teachers 10.9%, Secondary School Teachers 7.2%, Secondary School Teachers 7.2%, University Lecturers and Tutors 17.3%.&#10;10-29 hours: VET teachers 22.8%, Secondary School Teachers 13.3%, University Lecturers and Tutors 17.3%.&#10;30-39 hours: VET teachers 37.2%, Secondary School Teachers 23.1%, University Lecturers and Tutors 20.4%.&#10;40-49 hours: VET teachers 20.9%, Secondary School Teachers 33.9%, University Lecturers and Tutors 26.4%.&#10;50 hours or more: VET teachers 7.6%, Secondary School Teachers 22.0%, University Lecturers and Tutors 18.1%.&#10;"/>
                    <pic:cNvPicPr/>
                  </pic:nvPicPr>
                  <pic:blipFill rotWithShape="1">
                    <a:blip r:embed="rId31" cstate="print">
                      <a:extLst>
                        <a:ext uri="{28A0092B-C50C-407E-A947-70E740481C1C}">
                          <a14:useLocalDpi xmlns:a14="http://schemas.microsoft.com/office/drawing/2010/main" val="0"/>
                        </a:ext>
                      </a:extLst>
                    </a:blip>
                    <a:srcRect l="279" t="2778" r="-2307" b="2778"/>
                    <a:stretch/>
                  </pic:blipFill>
                  <pic:spPr bwMode="auto">
                    <a:xfrm>
                      <a:off x="0" y="0"/>
                      <a:ext cx="5677517" cy="3708000"/>
                    </a:xfrm>
                    <a:prstGeom prst="rect">
                      <a:avLst/>
                    </a:prstGeom>
                    <a:solidFill>
                      <a:schemeClr val="bg1"/>
                    </a:solidFill>
                    <a:ln w="635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0B5833A" w14:textId="4BFADEB3" w:rsidR="008A1AA3" w:rsidRPr="008A1AA3" w:rsidRDefault="00A6421D" w:rsidP="009F6AF2">
      <w:pPr>
        <w:pStyle w:val="Source"/>
      </w:pPr>
      <w:r>
        <w:t>Source: ABS (2021)</w:t>
      </w:r>
      <w:r w:rsidR="00B14765">
        <w:t xml:space="preserve"> Hours Worked (ranges; HRWRP) by</w:t>
      </w:r>
      <w:r>
        <w:t xml:space="preserve"> </w:t>
      </w:r>
      <w:r w:rsidR="00123A90">
        <w:t>Occupation (OCCP)</w:t>
      </w:r>
      <w:r w:rsidR="00B14765">
        <w:t xml:space="preserve">, </w:t>
      </w:r>
      <w:r>
        <w:t>[Census TableBuilder], accessed 25 March 2024</w:t>
      </w:r>
      <w:r w:rsidDel="0070552A">
        <w:t>.</w:t>
      </w:r>
      <w:r w:rsidR="009F6AF2">
        <w:br/>
      </w:r>
    </w:p>
    <w:p w14:paraId="283DAED1" w14:textId="6FDFF953" w:rsidR="005D3DA3" w:rsidRDefault="00A6421D" w:rsidP="000467BD">
      <w:pPr>
        <w:pStyle w:val="Bodycopy"/>
        <w:rPr>
          <w:rFonts w:eastAsia="Arial" w:cs="Arial"/>
        </w:rPr>
      </w:pPr>
      <w:r w:rsidRPr="2C8D78EB">
        <w:t xml:space="preserve">More </w:t>
      </w:r>
      <w:r w:rsidR="00CC6D50">
        <w:t>VET teachers</w:t>
      </w:r>
      <w:r w:rsidRPr="2C8D78EB">
        <w:t xml:space="preserve"> work part-time than the overall VET and Australian </w:t>
      </w:r>
      <w:r w:rsidR="00564C0B">
        <w:t>w</w:t>
      </w:r>
      <w:r w:rsidRPr="2C8D78EB">
        <w:t>orkforce (37.4% vs 32.2% and 32.9% respectively</w:t>
      </w:r>
      <w:r>
        <w:t>)</w:t>
      </w:r>
      <w:r w:rsidR="00FD1E39">
        <w:t>, s</w:t>
      </w:r>
      <w:r w:rsidRPr="2C8D78EB">
        <w:t xml:space="preserve">ee </w:t>
      </w:r>
      <w:hyperlink w:anchor="Table_2_5" w:history="1">
        <w:r w:rsidRPr="009014D1">
          <w:rPr>
            <w:rStyle w:val="Hyperlink"/>
          </w:rPr>
          <w:t>Table 2.5</w:t>
        </w:r>
      </w:hyperlink>
      <w:r w:rsidRPr="2C8D78EB">
        <w:t xml:space="preserve">. </w:t>
      </w:r>
      <w:r>
        <w:rPr>
          <w:rFonts w:eastAsia="Arial" w:cs="Arial"/>
        </w:rPr>
        <w:t xml:space="preserve">Other than in New South Wales, </w:t>
      </w:r>
      <w:r w:rsidRPr="6302A6A4">
        <w:rPr>
          <w:rFonts w:eastAsia="Arial" w:cs="Arial"/>
        </w:rPr>
        <w:t>full</w:t>
      </w:r>
      <w:r w:rsidR="00313F90">
        <w:rPr>
          <w:rFonts w:eastAsia="Arial" w:cs="Arial"/>
        </w:rPr>
        <w:t>-</w:t>
      </w:r>
      <w:r w:rsidRPr="41094BC8">
        <w:rPr>
          <w:rFonts w:eastAsia="Arial" w:cs="Arial"/>
        </w:rPr>
        <w:t>time</w:t>
      </w:r>
      <w:r w:rsidRPr="41094BC8">
        <w:t xml:space="preserve"> e</w:t>
      </w:r>
      <w:r w:rsidRPr="41094BC8">
        <w:rPr>
          <w:rFonts w:eastAsia="Arial" w:cs="Arial"/>
        </w:rPr>
        <w:t xml:space="preserve">mployment </w:t>
      </w:r>
      <w:r w:rsidRPr="57000873">
        <w:rPr>
          <w:rFonts w:eastAsia="Arial" w:cs="Arial"/>
        </w:rPr>
        <w:t>status</w:t>
      </w:r>
      <w:r>
        <w:rPr>
          <w:rFonts w:eastAsia="Arial" w:cs="Arial"/>
        </w:rPr>
        <w:t xml:space="preserve"> in TAFEs (based on data provided for this study) is generally higher, indicating more secure employment in public providers. </w:t>
      </w:r>
    </w:p>
    <w:p w14:paraId="53DCF6FF" w14:textId="5107F6FD" w:rsidR="00A6421D" w:rsidRDefault="00A6421D" w:rsidP="00A6421D">
      <w:pPr>
        <w:pStyle w:val="Caption"/>
        <w:keepNext/>
      </w:pPr>
      <w:bookmarkStart w:id="123" w:name="Table_2_5"/>
      <w:r>
        <w:t xml:space="preserve">Table </w:t>
      </w:r>
      <w:r w:rsidR="004B692A">
        <w:fldChar w:fldCharType="begin"/>
      </w:r>
      <w:r w:rsidR="004B692A">
        <w:instrText xml:space="preserve"> STYLEREF 1 \s </w:instrText>
      </w:r>
      <w:r w:rsidR="004B692A">
        <w:fldChar w:fldCharType="separate"/>
      </w:r>
      <w:r w:rsidR="00E7704E">
        <w:rPr>
          <w:noProof/>
        </w:rPr>
        <w:t>2</w:t>
      </w:r>
      <w:r w:rsidR="004B692A">
        <w:fldChar w:fldCharType="end"/>
      </w:r>
      <w:r w:rsidR="004B692A">
        <w:t>.</w:t>
      </w:r>
      <w:r w:rsidR="004B692A">
        <w:fldChar w:fldCharType="begin"/>
      </w:r>
      <w:r w:rsidR="004B692A">
        <w:instrText xml:space="preserve"> SEQ Table \* ARABIC \s 1 </w:instrText>
      </w:r>
      <w:r w:rsidR="004B692A">
        <w:fldChar w:fldCharType="separate"/>
      </w:r>
      <w:r w:rsidR="00E7704E">
        <w:rPr>
          <w:noProof/>
        </w:rPr>
        <w:t>5</w:t>
      </w:r>
      <w:r w:rsidR="004B692A">
        <w:fldChar w:fldCharType="end"/>
      </w:r>
      <w:r>
        <w:t xml:space="preserve"> </w:t>
      </w:r>
      <w:r w:rsidRPr="00A16107">
        <w:t xml:space="preserve">Full- and part-time work, </w:t>
      </w:r>
      <w:r w:rsidR="00CC6D50">
        <w:t>VET teachers</w:t>
      </w:r>
      <w:r w:rsidRPr="00A16107">
        <w:t xml:space="preserve">, VET </w:t>
      </w:r>
      <w:r>
        <w:t>w</w:t>
      </w:r>
      <w:r w:rsidRPr="00A16107">
        <w:t xml:space="preserve">orkforce and Australian </w:t>
      </w:r>
      <w:r>
        <w:t>w</w:t>
      </w:r>
      <w:r w:rsidRPr="00A16107">
        <w:t>orkforce</w:t>
      </w:r>
    </w:p>
    <w:bookmarkEnd w:id="123"/>
    <w:tbl>
      <w:tblPr>
        <w:tblStyle w:val="JSATable1"/>
        <w:tblW w:w="8902" w:type="dxa"/>
        <w:tblLook w:val="04A0" w:firstRow="1" w:lastRow="0" w:firstColumn="1" w:lastColumn="0" w:noHBand="0" w:noVBand="1"/>
        <w:tblDescription w:val="Full- and part-time work, VET teachers, VET workforce and Australian workforce"/>
      </w:tblPr>
      <w:tblGrid>
        <w:gridCol w:w="2390"/>
        <w:gridCol w:w="2171"/>
        <w:gridCol w:w="2170"/>
        <w:gridCol w:w="2171"/>
      </w:tblGrid>
      <w:tr w:rsidR="00E620FB" w:rsidRPr="00512FD1" w14:paraId="05DA08F5" w14:textId="77777777" w:rsidTr="00B943CF">
        <w:trPr>
          <w:cnfStyle w:val="100000000000" w:firstRow="1" w:lastRow="0" w:firstColumn="0" w:lastColumn="0" w:oddVBand="0" w:evenVBand="0" w:oddHBand="0" w:evenHBand="0" w:firstRowFirstColumn="0" w:firstRowLastColumn="0" w:lastRowFirstColumn="0" w:lastRowLastColumn="0"/>
          <w:trHeight w:val="1106"/>
        </w:trPr>
        <w:tc>
          <w:tcPr>
            <w:cnfStyle w:val="001000000100" w:firstRow="0" w:lastRow="0" w:firstColumn="1" w:lastColumn="0" w:oddVBand="0" w:evenVBand="0" w:oddHBand="0" w:evenHBand="0" w:firstRowFirstColumn="1" w:firstRowLastColumn="0" w:lastRowFirstColumn="0" w:lastRowLastColumn="0"/>
            <w:tcW w:w="2416" w:type="dxa"/>
          </w:tcPr>
          <w:p w14:paraId="5EFC7F42" w14:textId="77777777" w:rsidR="00A6421D" w:rsidRPr="00512FD1" w:rsidRDefault="00A6421D" w:rsidP="00B6693B">
            <w:pPr>
              <w:spacing w:before="40" w:after="100"/>
              <w:rPr>
                <w:rFonts w:cs="Arial"/>
                <w:color w:val="auto"/>
              </w:rPr>
            </w:pPr>
          </w:p>
        </w:tc>
        <w:tc>
          <w:tcPr>
            <w:tcW w:w="2191" w:type="dxa"/>
          </w:tcPr>
          <w:p w14:paraId="17AAF307" w14:textId="044AEFB8" w:rsidR="00A6421D" w:rsidRPr="00512FD1" w:rsidRDefault="00A6421D" w:rsidP="00D84A3A">
            <w:pPr>
              <w:pStyle w:val="Tableheader"/>
              <w:cnfStyle w:val="100000000000" w:firstRow="1" w:lastRow="0" w:firstColumn="0" w:lastColumn="0" w:oddVBand="0" w:evenVBand="0" w:oddHBand="0" w:evenHBand="0" w:firstRowFirstColumn="0" w:firstRowLastColumn="0" w:lastRowFirstColumn="0" w:lastRowLastColumn="0"/>
            </w:pPr>
            <w:r>
              <w:t xml:space="preserve">VET </w:t>
            </w:r>
            <w:r w:rsidR="00B943CF">
              <w:br/>
            </w:r>
            <w:r>
              <w:t>Workforce</w:t>
            </w:r>
          </w:p>
        </w:tc>
        <w:tc>
          <w:tcPr>
            <w:tcW w:w="2191" w:type="dxa"/>
          </w:tcPr>
          <w:p w14:paraId="143A042D" w14:textId="49DB1220" w:rsidR="00A6421D" w:rsidRDefault="00A6421D" w:rsidP="00D84A3A">
            <w:pPr>
              <w:pStyle w:val="Tableheader"/>
              <w:cnfStyle w:val="100000000000" w:firstRow="1" w:lastRow="0" w:firstColumn="0" w:lastColumn="0" w:oddVBand="0" w:evenVBand="0" w:oddHBand="0" w:evenHBand="0" w:firstRowFirstColumn="0" w:firstRowLastColumn="0" w:lastRowFirstColumn="0" w:lastRowLastColumn="0"/>
            </w:pPr>
            <w:r>
              <w:t xml:space="preserve">VET </w:t>
            </w:r>
            <w:r w:rsidR="00B943CF">
              <w:br/>
            </w:r>
            <w:r>
              <w:t>Teachers</w:t>
            </w:r>
          </w:p>
        </w:tc>
        <w:tc>
          <w:tcPr>
            <w:tcW w:w="2191" w:type="dxa"/>
          </w:tcPr>
          <w:p w14:paraId="10BEE168" w14:textId="74533CE0" w:rsidR="00A6421D" w:rsidRPr="00512FD1" w:rsidRDefault="00A6421D" w:rsidP="00D84A3A">
            <w:pPr>
              <w:pStyle w:val="Tableheader"/>
              <w:cnfStyle w:val="100000000000" w:firstRow="1" w:lastRow="0" w:firstColumn="0" w:lastColumn="0" w:oddVBand="0" w:evenVBand="0" w:oddHBand="0" w:evenHBand="0" w:firstRowFirstColumn="0" w:firstRowLastColumn="0" w:lastRowFirstColumn="0" w:lastRowLastColumn="0"/>
            </w:pPr>
            <w:r>
              <w:t xml:space="preserve">Australian </w:t>
            </w:r>
            <w:r w:rsidR="00B943CF">
              <w:br/>
            </w:r>
            <w:r>
              <w:t>Workforce</w:t>
            </w:r>
          </w:p>
        </w:tc>
      </w:tr>
      <w:tr w:rsidR="005D3DA3" w:rsidRPr="009A2DA5" w14:paraId="1609A0D1" w14:textId="77777777" w:rsidTr="00B943CF">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416" w:type="dxa"/>
            <w:vAlign w:val="center"/>
          </w:tcPr>
          <w:p w14:paraId="18965EFF" w14:textId="77777777" w:rsidR="00A6421D" w:rsidRPr="009A2DA5" w:rsidRDefault="00A6421D" w:rsidP="00B943CF">
            <w:pPr>
              <w:pStyle w:val="Tablebodycopy"/>
            </w:pPr>
            <w:r>
              <w:t>Full-time</w:t>
            </w:r>
          </w:p>
        </w:tc>
        <w:tc>
          <w:tcPr>
            <w:tcW w:w="2191" w:type="dxa"/>
            <w:vAlign w:val="center"/>
          </w:tcPr>
          <w:p w14:paraId="5BC714C2" w14:textId="77777777" w:rsidR="00A6421D" w:rsidRDefault="00A6421D" w:rsidP="00B943CF">
            <w:pPr>
              <w:pStyle w:val="Tablebodycopy"/>
              <w:jc w:val="center"/>
              <w:cnfStyle w:val="000000100000" w:firstRow="0" w:lastRow="0" w:firstColumn="0" w:lastColumn="0" w:oddVBand="0" w:evenVBand="0" w:oddHBand="1" w:evenHBand="0" w:firstRowFirstColumn="0" w:firstRowLastColumn="0" w:lastRowFirstColumn="0" w:lastRowLastColumn="0"/>
              <w:rPr>
                <w:b/>
              </w:rPr>
            </w:pPr>
            <w:r w:rsidRPr="34D6189F">
              <w:rPr>
                <w:b/>
              </w:rPr>
              <w:t>62.2%</w:t>
            </w:r>
          </w:p>
        </w:tc>
        <w:tc>
          <w:tcPr>
            <w:tcW w:w="2191" w:type="dxa"/>
            <w:vAlign w:val="center"/>
          </w:tcPr>
          <w:p w14:paraId="7F74322F" w14:textId="77777777" w:rsidR="00A6421D" w:rsidRPr="009A2DA5" w:rsidRDefault="00A6421D" w:rsidP="00B943CF">
            <w:pPr>
              <w:pStyle w:val="Tablebodycopy"/>
              <w:jc w:val="center"/>
              <w:cnfStyle w:val="000000100000" w:firstRow="0" w:lastRow="0" w:firstColumn="0" w:lastColumn="0" w:oddVBand="0" w:evenVBand="0" w:oddHBand="1" w:evenHBand="0" w:firstRowFirstColumn="0" w:firstRowLastColumn="0" w:lastRowFirstColumn="0" w:lastRowLastColumn="0"/>
              <w:rPr>
                <w:b/>
              </w:rPr>
            </w:pPr>
            <w:r w:rsidRPr="34D6189F">
              <w:rPr>
                <w:b/>
              </w:rPr>
              <w:t>56.9%</w:t>
            </w:r>
          </w:p>
        </w:tc>
        <w:tc>
          <w:tcPr>
            <w:tcW w:w="2191" w:type="dxa"/>
            <w:vAlign w:val="center"/>
          </w:tcPr>
          <w:p w14:paraId="27B641DE" w14:textId="77777777" w:rsidR="00A6421D" w:rsidRPr="009A2DA5" w:rsidRDefault="00A6421D" w:rsidP="00B943CF">
            <w:pPr>
              <w:pStyle w:val="Tablebodycopy"/>
              <w:jc w:val="center"/>
              <w:cnfStyle w:val="000000100000" w:firstRow="0" w:lastRow="0" w:firstColumn="0" w:lastColumn="0" w:oddVBand="0" w:evenVBand="0" w:oddHBand="1" w:evenHBand="0" w:firstRowFirstColumn="0" w:firstRowLastColumn="0" w:lastRowFirstColumn="0" w:lastRowLastColumn="0"/>
            </w:pPr>
            <w:r>
              <w:t>58.9%</w:t>
            </w:r>
          </w:p>
        </w:tc>
      </w:tr>
      <w:tr w:rsidR="00E620FB" w:rsidRPr="009A2DA5" w14:paraId="67CF4908" w14:textId="77777777" w:rsidTr="00207618">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416" w:type="dxa"/>
            <w:tcBorders>
              <w:bottom w:val="nil"/>
            </w:tcBorders>
            <w:vAlign w:val="center"/>
          </w:tcPr>
          <w:p w14:paraId="0A6B2A20" w14:textId="77777777" w:rsidR="00A6421D" w:rsidRPr="00CC608B" w:rsidRDefault="00A6421D" w:rsidP="00B943CF">
            <w:pPr>
              <w:pStyle w:val="Tablebodycopy"/>
            </w:pPr>
            <w:r>
              <w:t>Part-time</w:t>
            </w:r>
          </w:p>
        </w:tc>
        <w:tc>
          <w:tcPr>
            <w:tcW w:w="2191" w:type="dxa"/>
            <w:tcBorders>
              <w:bottom w:val="nil"/>
            </w:tcBorders>
            <w:vAlign w:val="center"/>
          </w:tcPr>
          <w:p w14:paraId="4C3BC9F1" w14:textId="77777777" w:rsidR="00A6421D" w:rsidRPr="00CC608B" w:rsidRDefault="00A6421D" w:rsidP="00B943CF">
            <w:pPr>
              <w:pStyle w:val="Tablebodycopy"/>
              <w:jc w:val="center"/>
              <w:cnfStyle w:val="000000010000" w:firstRow="0" w:lastRow="0" w:firstColumn="0" w:lastColumn="0" w:oddVBand="0" w:evenVBand="0" w:oddHBand="0" w:evenHBand="1" w:firstRowFirstColumn="0" w:firstRowLastColumn="0" w:lastRowFirstColumn="0" w:lastRowLastColumn="0"/>
              <w:rPr>
                <w:b/>
                <w:bCs/>
              </w:rPr>
            </w:pPr>
            <w:r>
              <w:rPr>
                <w:b/>
                <w:bCs/>
              </w:rPr>
              <w:t>32.2%</w:t>
            </w:r>
          </w:p>
        </w:tc>
        <w:tc>
          <w:tcPr>
            <w:tcW w:w="2191" w:type="dxa"/>
            <w:tcBorders>
              <w:bottom w:val="nil"/>
            </w:tcBorders>
            <w:vAlign w:val="center"/>
          </w:tcPr>
          <w:p w14:paraId="2CBF04DC" w14:textId="77777777" w:rsidR="00A6421D" w:rsidRPr="00CC608B" w:rsidRDefault="00A6421D" w:rsidP="00B943CF">
            <w:pPr>
              <w:pStyle w:val="Tablebodycopy"/>
              <w:jc w:val="center"/>
              <w:cnfStyle w:val="000000010000" w:firstRow="0" w:lastRow="0" w:firstColumn="0" w:lastColumn="0" w:oddVBand="0" w:evenVBand="0" w:oddHBand="0" w:evenHBand="1" w:firstRowFirstColumn="0" w:firstRowLastColumn="0" w:lastRowFirstColumn="0" w:lastRowLastColumn="0"/>
              <w:rPr>
                <w:b/>
                <w:bCs/>
              </w:rPr>
            </w:pPr>
            <w:r w:rsidRPr="00CC608B">
              <w:rPr>
                <w:b/>
                <w:bCs/>
              </w:rPr>
              <w:t>37.4%</w:t>
            </w:r>
          </w:p>
        </w:tc>
        <w:tc>
          <w:tcPr>
            <w:tcW w:w="2191" w:type="dxa"/>
            <w:tcBorders>
              <w:bottom w:val="nil"/>
            </w:tcBorders>
            <w:vAlign w:val="center"/>
          </w:tcPr>
          <w:p w14:paraId="372A2B63" w14:textId="77777777" w:rsidR="00A6421D" w:rsidRPr="00CC608B" w:rsidRDefault="00A6421D" w:rsidP="00B943CF">
            <w:pPr>
              <w:pStyle w:val="Tablebodycopy"/>
              <w:jc w:val="center"/>
              <w:cnfStyle w:val="000000010000" w:firstRow="0" w:lastRow="0" w:firstColumn="0" w:lastColumn="0" w:oddVBand="0" w:evenVBand="0" w:oddHBand="0" w:evenHBand="1" w:firstRowFirstColumn="0" w:firstRowLastColumn="0" w:lastRowFirstColumn="0" w:lastRowLastColumn="0"/>
            </w:pPr>
            <w:r>
              <w:t>32.9%</w:t>
            </w:r>
          </w:p>
        </w:tc>
      </w:tr>
      <w:tr w:rsidR="005D3DA3" w:rsidRPr="009A2DA5" w14:paraId="4D691212" w14:textId="77777777" w:rsidTr="00207618">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416" w:type="dxa"/>
            <w:tcBorders>
              <w:bottom w:val="single" w:sz="8" w:space="0" w:color="2F005F"/>
            </w:tcBorders>
            <w:vAlign w:val="center"/>
          </w:tcPr>
          <w:p w14:paraId="1631B078" w14:textId="0C9BA288" w:rsidR="00A6421D" w:rsidRPr="009A2DA5" w:rsidRDefault="00A6421D" w:rsidP="00B943CF">
            <w:pPr>
              <w:pStyle w:val="Tablebodycopy"/>
            </w:pPr>
            <w:r>
              <w:t>Away from work</w:t>
            </w:r>
            <w:r w:rsidR="000467BD">
              <w:rPr>
                <w:rStyle w:val="FootnoteReference"/>
              </w:rPr>
              <w:footnoteReference w:id="6"/>
            </w:r>
          </w:p>
        </w:tc>
        <w:tc>
          <w:tcPr>
            <w:tcW w:w="2191" w:type="dxa"/>
            <w:tcBorders>
              <w:bottom w:val="single" w:sz="8" w:space="0" w:color="2F005F"/>
            </w:tcBorders>
            <w:vAlign w:val="center"/>
          </w:tcPr>
          <w:p w14:paraId="0B4BA90A" w14:textId="77777777" w:rsidR="00A6421D" w:rsidRDefault="00A6421D" w:rsidP="00B943CF">
            <w:pPr>
              <w:pStyle w:val="Tablebodycopy"/>
              <w:jc w:val="center"/>
              <w:cnfStyle w:val="000000100000" w:firstRow="0" w:lastRow="0" w:firstColumn="0" w:lastColumn="0" w:oddVBand="0" w:evenVBand="0" w:oddHBand="1" w:evenHBand="0" w:firstRowFirstColumn="0" w:firstRowLastColumn="0" w:lastRowFirstColumn="0" w:lastRowLastColumn="0"/>
              <w:rPr>
                <w:b/>
              </w:rPr>
            </w:pPr>
            <w:r w:rsidRPr="34D6189F">
              <w:rPr>
                <w:b/>
              </w:rPr>
              <w:t>5.5%</w:t>
            </w:r>
          </w:p>
        </w:tc>
        <w:tc>
          <w:tcPr>
            <w:tcW w:w="2191" w:type="dxa"/>
            <w:tcBorders>
              <w:bottom w:val="single" w:sz="8" w:space="0" w:color="2F005F"/>
            </w:tcBorders>
            <w:vAlign w:val="center"/>
          </w:tcPr>
          <w:p w14:paraId="70A09602" w14:textId="77777777" w:rsidR="00A6421D" w:rsidRPr="009A2DA5" w:rsidRDefault="00A6421D" w:rsidP="00B943CF">
            <w:pPr>
              <w:pStyle w:val="Tablebodycopy"/>
              <w:jc w:val="center"/>
              <w:cnfStyle w:val="000000100000" w:firstRow="0" w:lastRow="0" w:firstColumn="0" w:lastColumn="0" w:oddVBand="0" w:evenVBand="0" w:oddHBand="1" w:evenHBand="0" w:firstRowFirstColumn="0" w:firstRowLastColumn="0" w:lastRowFirstColumn="0" w:lastRowLastColumn="0"/>
              <w:rPr>
                <w:b/>
              </w:rPr>
            </w:pPr>
            <w:r w:rsidRPr="34D6189F">
              <w:rPr>
                <w:b/>
              </w:rPr>
              <w:t>5.7%</w:t>
            </w:r>
          </w:p>
        </w:tc>
        <w:tc>
          <w:tcPr>
            <w:tcW w:w="2191" w:type="dxa"/>
            <w:tcBorders>
              <w:bottom w:val="single" w:sz="8" w:space="0" w:color="2F005F"/>
            </w:tcBorders>
            <w:vAlign w:val="center"/>
          </w:tcPr>
          <w:p w14:paraId="5BA7BF77" w14:textId="77777777" w:rsidR="00A6421D" w:rsidRPr="009A2DA5" w:rsidRDefault="00A6421D" w:rsidP="00B943CF">
            <w:pPr>
              <w:pStyle w:val="Tablebodycopy"/>
              <w:jc w:val="center"/>
              <w:cnfStyle w:val="000000100000" w:firstRow="0" w:lastRow="0" w:firstColumn="0" w:lastColumn="0" w:oddVBand="0" w:evenVBand="0" w:oddHBand="1" w:evenHBand="0" w:firstRowFirstColumn="0" w:firstRowLastColumn="0" w:lastRowFirstColumn="0" w:lastRowLastColumn="0"/>
            </w:pPr>
            <w:r>
              <w:t>8.2%</w:t>
            </w:r>
          </w:p>
        </w:tc>
      </w:tr>
    </w:tbl>
    <w:p w14:paraId="52E70E36" w14:textId="3C7EF825" w:rsidR="00A6421D" w:rsidRDefault="00A6421D" w:rsidP="008B2387">
      <w:pPr>
        <w:pStyle w:val="Source"/>
      </w:pPr>
      <w:r w:rsidRPr="53CEDE8B">
        <w:t>Source: ABS (202</w:t>
      </w:r>
      <w:r>
        <w:t>1</w:t>
      </w:r>
      <w:r w:rsidRPr="53CEDE8B">
        <w:t>)</w:t>
      </w:r>
      <w:r w:rsidR="00D01432" w:rsidRPr="00D01432">
        <w:t xml:space="preserve"> </w:t>
      </w:r>
      <w:r w:rsidR="00D01432">
        <w:t>Labour Force Status (LFSP) by</w:t>
      </w:r>
      <w:r w:rsidRPr="53CEDE8B">
        <w:t xml:space="preserve"> </w:t>
      </w:r>
      <w:r w:rsidR="00123A90">
        <w:t>Occupation (OCCP) and Industry of Employment (INDP</w:t>
      </w:r>
      <w:r w:rsidR="00D01432">
        <w:t>)</w:t>
      </w:r>
      <w:r w:rsidR="00123A90">
        <w:t xml:space="preserve">, </w:t>
      </w:r>
      <w:r w:rsidRPr="53CEDE8B">
        <w:t>[</w:t>
      </w:r>
      <w:r>
        <w:t xml:space="preserve">Census </w:t>
      </w:r>
      <w:r w:rsidRPr="53CEDE8B">
        <w:t>TableBuilder] accessed 20 December 2023</w:t>
      </w:r>
    </w:p>
    <w:p w14:paraId="2C2EA5F4" w14:textId="34110F5F" w:rsidR="00A6421D" w:rsidRDefault="00A6421D" w:rsidP="00A6421D">
      <w:pPr>
        <w:pStyle w:val="Heading3"/>
        <w:rPr>
          <w:rStyle w:val="Heading3Char"/>
          <w:b/>
        </w:rPr>
      </w:pPr>
      <w:bookmarkStart w:id="124" w:name="_Toc1612076809"/>
      <w:bookmarkStart w:id="125" w:name="_Toc455019019"/>
      <w:r w:rsidRPr="00B13732">
        <w:rPr>
          <w:rStyle w:val="Heading3Char"/>
          <w:b/>
          <w:bCs/>
        </w:rPr>
        <w:lastRenderedPageBreak/>
        <w:t>Forms of employment</w:t>
      </w:r>
      <w:bookmarkEnd w:id="124"/>
      <w:bookmarkEnd w:id="125"/>
      <w:r w:rsidRPr="00B13732">
        <w:rPr>
          <w:rStyle w:val="Heading3Char"/>
          <w:b/>
        </w:rPr>
        <w:t xml:space="preserve"> </w:t>
      </w:r>
    </w:p>
    <w:p w14:paraId="14A14D65" w14:textId="1F980697" w:rsidR="00A6421D" w:rsidRDefault="00A6421D" w:rsidP="00035477">
      <w:pPr>
        <w:pStyle w:val="Bodycopy"/>
      </w:pPr>
      <w:r>
        <w:t xml:space="preserve">Data products which include forms of employment (including permanent, fixed term and casual employment) do not contain the level of industry specificity needed to report on the VET workforce as a whole or its segments. Therefore, our analysis of forms of employment is restricted to </w:t>
      </w:r>
      <w:r w:rsidR="00CC6D50">
        <w:t>VET teachers</w:t>
      </w:r>
      <w:r>
        <w:t xml:space="preserve"> only.  </w:t>
      </w:r>
    </w:p>
    <w:p w14:paraId="0B22E7AC" w14:textId="231296CC" w:rsidR="00A6421D" w:rsidRPr="00302428" w:rsidRDefault="00A6421D" w:rsidP="00B67DD4">
      <w:pPr>
        <w:pStyle w:val="Bodycopy"/>
        <w:spacing w:after="60"/>
      </w:pPr>
      <w:r>
        <w:t xml:space="preserve">While most </w:t>
      </w:r>
      <w:r w:rsidR="00CC6D50">
        <w:t>VET teachers</w:t>
      </w:r>
      <w:r>
        <w:t xml:space="preserve"> are employed as permanent staff (55.8%), a higher proportion of </w:t>
      </w:r>
      <w:r w:rsidR="00CC6D50">
        <w:t>VET teachers</w:t>
      </w:r>
      <w:r>
        <w:t xml:space="preserve"> are employed on a fixed term or casual basis compared to the Australian workforce at large (14.8% and 27.3% compared to 5.0% and 21.1%). See </w:t>
      </w:r>
      <w:hyperlink w:anchor="Table_2_6" w:history="1">
        <w:r w:rsidRPr="009014D1">
          <w:rPr>
            <w:rStyle w:val="Hyperlink"/>
          </w:rPr>
          <w:t>Table 2.6</w:t>
        </w:r>
      </w:hyperlink>
      <w:r>
        <w:t>.</w:t>
      </w:r>
    </w:p>
    <w:p w14:paraId="551E6C01" w14:textId="0DB53F9E" w:rsidR="00A6421D" w:rsidRDefault="00A6421D" w:rsidP="00B67DD4">
      <w:pPr>
        <w:pStyle w:val="Caption"/>
        <w:keepNext/>
        <w:spacing w:before="120" w:after="120"/>
      </w:pPr>
      <w:bookmarkStart w:id="126" w:name="Table_2_6"/>
      <w:r>
        <w:t xml:space="preserve">Table </w:t>
      </w:r>
      <w:r w:rsidR="004B692A">
        <w:fldChar w:fldCharType="begin"/>
      </w:r>
      <w:r w:rsidR="004B692A">
        <w:instrText xml:space="preserve"> STYLEREF 1 \s </w:instrText>
      </w:r>
      <w:r w:rsidR="004B692A">
        <w:fldChar w:fldCharType="separate"/>
      </w:r>
      <w:r w:rsidR="00E7704E">
        <w:rPr>
          <w:noProof/>
        </w:rPr>
        <w:t>2</w:t>
      </w:r>
      <w:r w:rsidR="004B692A">
        <w:fldChar w:fldCharType="end"/>
      </w:r>
      <w:r w:rsidR="004B692A">
        <w:t>.</w:t>
      </w:r>
      <w:r w:rsidR="004B692A">
        <w:fldChar w:fldCharType="begin"/>
      </w:r>
      <w:r w:rsidR="004B692A">
        <w:instrText xml:space="preserve"> SEQ Table \* ARABIC \s 1 </w:instrText>
      </w:r>
      <w:r w:rsidR="004B692A">
        <w:fldChar w:fldCharType="separate"/>
      </w:r>
      <w:r w:rsidR="00E7704E">
        <w:rPr>
          <w:noProof/>
        </w:rPr>
        <w:t>6</w:t>
      </w:r>
      <w:r w:rsidR="004B692A">
        <w:fldChar w:fldCharType="end"/>
      </w:r>
      <w:r>
        <w:t xml:space="preserve"> Proportion of forms of employment of </w:t>
      </w:r>
      <w:r w:rsidR="00CC6D50">
        <w:t>VET teachers</w:t>
      </w:r>
      <w:r>
        <w:t xml:space="preserve"> and Australian workforce</w:t>
      </w:r>
    </w:p>
    <w:bookmarkEnd w:id="126"/>
    <w:tbl>
      <w:tblPr>
        <w:tblStyle w:val="JSATable1"/>
        <w:tblW w:w="8902" w:type="dxa"/>
        <w:tblCellMar>
          <w:top w:w="57" w:type="dxa"/>
          <w:bottom w:w="28" w:type="dxa"/>
        </w:tblCellMar>
        <w:tblLook w:val="04A0" w:firstRow="1" w:lastRow="0" w:firstColumn="1" w:lastColumn="0" w:noHBand="0" w:noVBand="1"/>
        <w:tblDescription w:val="Proportion of forms of employment of VET teachers and Australian workforce"/>
      </w:tblPr>
      <w:tblGrid>
        <w:gridCol w:w="2969"/>
        <w:gridCol w:w="2966"/>
        <w:gridCol w:w="2967"/>
      </w:tblGrid>
      <w:tr w:rsidR="00A6421D" w:rsidRPr="00512FD1" w14:paraId="7192CA37" w14:textId="77777777" w:rsidTr="0092461D">
        <w:trPr>
          <w:cnfStyle w:val="100000000000" w:firstRow="1" w:lastRow="0" w:firstColumn="0" w:lastColumn="0" w:oddVBand="0" w:evenVBand="0" w:oddHBand="0" w:evenHBand="0" w:firstRowFirstColumn="0" w:firstRowLastColumn="0" w:lastRowFirstColumn="0" w:lastRowLastColumn="0"/>
          <w:trHeight w:val="567"/>
        </w:trPr>
        <w:tc>
          <w:tcPr>
            <w:cnfStyle w:val="001000000100" w:firstRow="0" w:lastRow="0" w:firstColumn="1" w:lastColumn="0" w:oddVBand="0" w:evenVBand="0" w:oddHBand="0" w:evenHBand="0" w:firstRowFirstColumn="1" w:firstRowLastColumn="0" w:lastRowFirstColumn="0" w:lastRowLastColumn="0"/>
            <w:tcW w:w="2977" w:type="dxa"/>
          </w:tcPr>
          <w:p w14:paraId="0B2236E3" w14:textId="77777777" w:rsidR="00A6421D" w:rsidRPr="00512FD1" w:rsidRDefault="00A6421D" w:rsidP="0092461D">
            <w:pPr>
              <w:spacing w:before="80"/>
              <w:rPr>
                <w:rFonts w:cs="Arial"/>
                <w:color w:val="auto"/>
              </w:rPr>
            </w:pPr>
          </w:p>
        </w:tc>
        <w:tc>
          <w:tcPr>
            <w:tcW w:w="2977" w:type="dxa"/>
          </w:tcPr>
          <w:p w14:paraId="3AA051BF" w14:textId="6C320826" w:rsidR="00A6421D" w:rsidRPr="007330CE" w:rsidRDefault="00CC6D50" w:rsidP="0092461D">
            <w:pPr>
              <w:pStyle w:val="Tableheader"/>
              <w:spacing w:before="80" w:after="0"/>
              <w:cnfStyle w:val="100000000000" w:firstRow="1" w:lastRow="0" w:firstColumn="0" w:lastColumn="0" w:oddVBand="0" w:evenVBand="0" w:oddHBand="0" w:evenHBand="0" w:firstRowFirstColumn="0" w:firstRowLastColumn="0" w:lastRowFirstColumn="0" w:lastRowLastColumn="0"/>
            </w:pPr>
            <w:r>
              <w:t>VET teachers</w:t>
            </w:r>
          </w:p>
        </w:tc>
        <w:tc>
          <w:tcPr>
            <w:tcW w:w="2977" w:type="dxa"/>
          </w:tcPr>
          <w:p w14:paraId="336CD777" w14:textId="33DB6462" w:rsidR="00A6421D" w:rsidRPr="007330CE" w:rsidRDefault="00A6421D" w:rsidP="0092461D">
            <w:pPr>
              <w:pStyle w:val="Tableheader"/>
              <w:spacing w:before="80" w:after="0"/>
              <w:cnfStyle w:val="100000000000" w:firstRow="1" w:lastRow="0" w:firstColumn="0" w:lastColumn="0" w:oddVBand="0" w:evenVBand="0" w:oddHBand="0" w:evenHBand="0" w:firstRowFirstColumn="0" w:firstRowLastColumn="0" w:lastRowFirstColumn="0" w:lastRowLastColumn="0"/>
            </w:pPr>
            <w:r w:rsidRPr="007330CE">
              <w:t>Australian Workforce</w:t>
            </w:r>
          </w:p>
        </w:tc>
      </w:tr>
      <w:tr w:rsidR="00A6421D" w:rsidRPr="009A2DA5" w14:paraId="70FA3421" w14:textId="77777777" w:rsidTr="0092461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7" w:type="dxa"/>
            <w:vAlign w:val="center"/>
          </w:tcPr>
          <w:p w14:paraId="2764A5F4" w14:textId="77777777" w:rsidR="00A6421D" w:rsidRPr="007330CE" w:rsidRDefault="00A6421D" w:rsidP="0092461D">
            <w:pPr>
              <w:pStyle w:val="Tablebodycopy"/>
              <w:spacing w:before="0" w:after="0"/>
              <w:ind w:left="227"/>
            </w:pPr>
            <w:r w:rsidRPr="007330CE">
              <w:t>Permanent</w:t>
            </w:r>
          </w:p>
        </w:tc>
        <w:tc>
          <w:tcPr>
            <w:tcW w:w="2977" w:type="dxa"/>
            <w:vAlign w:val="center"/>
          </w:tcPr>
          <w:p w14:paraId="5B3F52C9" w14:textId="77777777" w:rsidR="00A6421D" w:rsidRPr="007330CE" w:rsidRDefault="00A6421D" w:rsidP="0092461D">
            <w:pPr>
              <w:pStyle w:val="Tablebodycopy"/>
              <w:spacing w:before="0" w:after="0"/>
              <w:jc w:val="center"/>
              <w:cnfStyle w:val="000000100000" w:firstRow="0" w:lastRow="0" w:firstColumn="0" w:lastColumn="0" w:oddVBand="0" w:evenVBand="0" w:oddHBand="1" w:evenHBand="0" w:firstRowFirstColumn="0" w:firstRowLastColumn="0" w:lastRowFirstColumn="0" w:lastRowLastColumn="0"/>
            </w:pPr>
            <w:r w:rsidRPr="007330CE">
              <w:t>55.8%</w:t>
            </w:r>
          </w:p>
        </w:tc>
        <w:tc>
          <w:tcPr>
            <w:tcW w:w="2977" w:type="dxa"/>
            <w:vAlign w:val="center"/>
          </w:tcPr>
          <w:p w14:paraId="2757DE5C" w14:textId="04828767" w:rsidR="00A6421D" w:rsidRPr="007330CE" w:rsidRDefault="00A6421D" w:rsidP="0092461D">
            <w:pPr>
              <w:pStyle w:val="Tablebodycopy"/>
              <w:spacing w:before="0" w:after="0"/>
              <w:jc w:val="center"/>
              <w:cnfStyle w:val="000000100000" w:firstRow="0" w:lastRow="0" w:firstColumn="0" w:lastColumn="0" w:oddVBand="0" w:evenVBand="0" w:oddHBand="1" w:evenHBand="0" w:firstRowFirstColumn="0" w:firstRowLastColumn="0" w:lastRowFirstColumn="0" w:lastRowLastColumn="0"/>
            </w:pPr>
            <w:r w:rsidRPr="007330CE">
              <w:t>69.8%</w:t>
            </w:r>
          </w:p>
        </w:tc>
      </w:tr>
      <w:tr w:rsidR="00A6421D" w:rsidRPr="009A2DA5" w14:paraId="54D6D557" w14:textId="77777777" w:rsidTr="0020761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7" w:type="dxa"/>
            <w:tcBorders>
              <w:bottom w:val="nil"/>
            </w:tcBorders>
            <w:vAlign w:val="center"/>
          </w:tcPr>
          <w:p w14:paraId="49AEC57B" w14:textId="77777777" w:rsidR="00A6421D" w:rsidRPr="007330CE" w:rsidRDefault="00A6421D" w:rsidP="0092461D">
            <w:pPr>
              <w:pStyle w:val="Tablebodycopy"/>
              <w:spacing w:before="0" w:after="0"/>
              <w:ind w:left="227"/>
            </w:pPr>
            <w:r w:rsidRPr="007330CE">
              <w:t>Fixed term</w:t>
            </w:r>
          </w:p>
        </w:tc>
        <w:tc>
          <w:tcPr>
            <w:tcW w:w="2977" w:type="dxa"/>
            <w:tcBorders>
              <w:bottom w:val="nil"/>
            </w:tcBorders>
            <w:vAlign w:val="center"/>
          </w:tcPr>
          <w:p w14:paraId="50DAE450" w14:textId="77777777" w:rsidR="00A6421D" w:rsidRPr="007330CE" w:rsidRDefault="00A6421D" w:rsidP="0092461D">
            <w:pPr>
              <w:pStyle w:val="Tablebodycopy"/>
              <w:spacing w:before="0" w:after="0"/>
              <w:jc w:val="center"/>
              <w:cnfStyle w:val="000000010000" w:firstRow="0" w:lastRow="0" w:firstColumn="0" w:lastColumn="0" w:oddVBand="0" w:evenVBand="0" w:oddHBand="0" w:evenHBand="1" w:firstRowFirstColumn="0" w:firstRowLastColumn="0" w:lastRowFirstColumn="0" w:lastRowLastColumn="0"/>
            </w:pPr>
            <w:r w:rsidRPr="007330CE">
              <w:t>14.8%</w:t>
            </w:r>
          </w:p>
        </w:tc>
        <w:tc>
          <w:tcPr>
            <w:tcW w:w="2977" w:type="dxa"/>
            <w:tcBorders>
              <w:bottom w:val="nil"/>
            </w:tcBorders>
            <w:vAlign w:val="center"/>
          </w:tcPr>
          <w:p w14:paraId="7875A8BA" w14:textId="77777777" w:rsidR="00A6421D" w:rsidRPr="007330CE" w:rsidRDefault="00A6421D" w:rsidP="0092461D">
            <w:pPr>
              <w:pStyle w:val="Tablebodycopy"/>
              <w:spacing w:before="0" w:after="0"/>
              <w:jc w:val="center"/>
              <w:cnfStyle w:val="000000010000" w:firstRow="0" w:lastRow="0" w:firstColumn="0" w:lastColumn="0" w:oddVBand="0" w:evenVBand="0" w:oddHBand="0" w:evenHBand="1" w:firstRowFirstColumn="0" w:firstRowLastColumn="0" w:lastRowFirstColumn="0" w:lastRowLastColumn="0"/>
            </w:pPr>
            <w:r w:rsidRPr="007330CE">
              <w:t>5.0%</w:t>
            </w:r>
          </w:p>
        </w:tc>
      </w:tr>
      <w:tr w:rsidR="00A6421D" w:rsidRPr="009A2DA5" w14:paraId="6B858CD9" w14:textId="77777777" w:rsidTr="0020761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7" w:type="dxa"/>
            <w:tcBorders>
              <w:bottom w:val="single" w:sz="8" w:space="0" w:color="2F005F"/>
            </w:tcBorders>
            <w:vAlign w:val="center"/>
          </w:tcPr>
          <w:p w14:paraId="50C3487D" w14:textId="77777777" w:rsidR="00A6421D" w:rsidRPr="007330CE" w:rsidRDefault="00A6421D" w:rsidP="0092461D">
            <w:pPr>
              <w:pStyle w:val="Tablebodycopy"/>
              <w:spacing w:before="0" w:after="0"/>
              <w:ind w:left="227"/>
            </w:pPr>
            <w:r w:rsidRPr="007330CE">
              <w:t>Casual</w:t>
            </w:r>
          </w:p>
        </w:tc>
        <w:tc>
          <w:tcPr>
            <w:tcW w:w="2977" w:type="dxa"/>
            <w:tcBorders>
              <w:bottom w:val="single" w:sz="8" w:space="0" w:color="2F005F"/>
            </w:tcBorders>
            <w:vAlign w:val="center"/>
          </w:tcPr>
          <w:p w14:paraId="6EC0D41A" w14:textId="77777777" w:rsidR="00A6421D" w:rsidRPr="007330CE" w:rsidRDefault="00A6421D" w:rsidP="0092461D">
            <w:pPr>
              <w:pStyle w:val="Tablebodycopy"/>
              <w:spacing w:before="0" w:after="0"/>
              <w:jc w:val="center"/>
              <w:cnfStyle w:val="000000100000" w:firstRow="0" w:lastRow="0" w:firstColumn="0" w:lastColumn="0" w:oddVBand="0" w:evenVBand="0" w:oddHBand="1" w:evenHBand="0" w:firstRowFirstColumn="0" w:firstRowLastColumn="0" w:lastRowFirstColumn="0" w:lastRowLastColumn="0"/>
            </w:pPr>
            <w:r w:rsidRPr="007330CE">
              <w:t>27.3%</w:t>
            </w:r>
          </w:p>
        </w:tc>
        <w:tc>
          <w:tcPr>
            <w:tcW w:w="2977" w:type="dxa"/>
            <w:tcBorders>
              <w:bottom w:val="single" w:sz="8" w:space="0" w:color="2F005F"/>
            </w:tcBorders>
            <w:vAlign w:val="center"/>
          </w:tcPr>
          <w:p w14:paraId="7695CA79" w14:textId="77777777" w:rsidR="00A6421D" w:rsidRPr="007330CE" w:rsidRDefault="00A6421D" w:rsidP="0092461D">
            <w:pPr>
              <w:pStyle w:val="Tablebodycopy"/>
              <w:spacing w:before="0" w:after="0"/>
              <w:jc w:val="center"/>
              <w:cnfStyle w:val="000000100000" w:firstRow="0" w:lastRow="0" w:firstColumn="0" w:lastColumn="0" w:oddVBand="0" w:evenVBand="0" w:oddHBand="1" w:evenHBand="0" w:firstRowFirstColumn="0" w:firstRowLastColumn="0" w:lastRowFirstColumn="0" w:lastRowLastColumn="0"/>
            </w:pPr>
            <w:r w:rsidRPr="007330CE">
              <w:t>21.1%</w:t>
            </w:r>
          </w:p>
        </w:tc>
      </w:tr>
    </w:tbl>
    <w:p w14:paraId="7D795BA3" w14:textId="3F61F825" w:rsidR="00A6421D" w:rsidRDefault="00A6421D" w:rsidP="008B2387">
      <w:pPr>
        <w:pStyle w:val="Source"/>
      </w:pPr>
      <w:r>
        <w:t xml:space="preserve">Source: ABS (2021) </w:t>
      </w:r>
      <w:r w:rsidR="000A3181">
        <w:t xml:space="preserve">Type of Employee by </w:t>
      </w:r>
      <w:r w:rsidR="00AD63C0">
        <w:t>Occupation</w:t>
      </w:r>
      <w:r>
        <w:t xml:space="preserve"> [</w:t>
      </w:r>
      <w:r w:rsidR="00123A90">
        <w:t xml:space="preserve">Employee Earnings and Hours </w:t>
      </w:r>
      <w:r>
        <w:t xml:space="preserve">TableBuilder] accessed 25 March 2024. </w:t>
      </w:r>
    </w:p>
    <w:p w14:paraId="33BD7154" w14:textId="6424BFC5" w:rsidR="00A6421D" w:rsidRDefault="00A6421D" w:rsidP="00280C65">
      <w:pPr>
        <w:pStyle w:val="Bodycopy"/>
        <w:rPr>
          <w:rFonts w:eastAsia="Times New Roman"/>
        </w:rPr>
      </w:pPr>
      <w:r w:rsidRPr="4E7A684B">
        <w:t xml:space="preserve">The proportion of </w:t>
      </w:r>
      <w:r w:rsidR="00CC6D50">
        <w:t>VET teachers</w:t>
      </w:r>
      <w:r w:rsidRPr="4E7A684B">
        <w:t xml:space="preserve"> employed as casuals has fluctuated in recent years, compared to the general workforce and similar industries (see </w:t>
      </w:r>
      <w:hyperlink w:anchor="Figure_2_13" w:history="1">
        <w:r w:rsidRPr="00E06A88">
          <w:rPr>
            <w:rStyle w:val="Hyperlink"/>
          </w:rPr>
          <w:t>Figure 2.1</w:t>
        </w:r>
        <w:r w:rsidR="50F1605C" w:rsidRPr="00E06A88">
          <w:rPr>
            <w:rStyle w:val="Hyperlink"/>
          </w:rPr>
          <w:t>3</w:t>
        </w:r>
      </w:hyperlink>
      <w:r w:rsidRPr="4E7A684B">
        <w:t xml:space="preserve">). </w:t>
      </w:r>
      <w:r w:rsidRPr="4E7A684B">
        <w:rPr>
          <w:rFonts w:eastAsia="Times New Roman"/>
        </w:rPr>
        <w:t xml:space="preserve">In August 2022, the proportion of </w:t>
      </w:r>
      <w:r w:rsidR="00CC6D50">
        <w:rPr>
          <w:rFonts w:eastAsia="Times New Roman"/>
        </w:rPr>
        <w:t>VET teachers</w:t>
      </w:r>
      <w:r w:rsidRPr="4E7A684B">
        <w:rPr>
          <w:rFonts w:eastAsia="Times New Roman"/>
        </w:rPr>
        <w:t xml:space="preserve"> without paid leave entitlement (a proxy for casual employment) had increased</w:t>
      </w:r>
      <w:r>
        <w:t xml:space="preserve"> by 12.1% since the first ABS Characteristics of Employment Survey in 2014. Conversely, the</w:t>
      </w:r>
      <w:r w:rsidRPr="4E7A684B">
        <w:rPr>
          <w:rFonts w:eastAsia="Times New Roman"/>
        </w:rPr>
        <w:t xml:space="preserve"> rate of casual employment across occupations has increased by 0.3% over the same period. </w:t>
      </w:r>
    </w:p>
    <w:p w14:paraId="05B179C3" w14:textId="063408BD" w:rsidR="00A6421D" w:rsidRDefault="00A6421D" w:rsidP="006E4AF8">
      <w:pPr>
        <w:pStyle w:val="Bodycopy"/>
        <w:spacing w:after="80"/>
        <w:rPr>
          <w:rFonts w:eastAsia="Arial"/>
          <w:color w:val="6929C4" w:themeColor="accent1"/>
        </w:rPr>
      </w:pPr>
      <w:r w:rsidRPr="7B7A6BEC">
        <w:rPr>
          <w:rFonts w:eastAsia="Arial"/>
        </w:rPr>
        <w:t>For example, Victorian TAFEs establish ongoing employment as the standard mode of employment and limit the circumstances under which teaching staff can be employed on a fixed term basis. This is discussed in more detail in the next section.</w:t>
      </w:r>
    </w:p>
    <w:p w14:paraId="0498E3F1" w14:textId="28C3D590" w:rsidR="00A6421D" w:rsidRDefault="0E555893" w:rsidP="00B67DD4">
      <w:pPr>
        <w:pStyle w:val="Caption"/>
        <w:keepNext/>
        <w:spacing w:before="120" w:after="120"/>
      </w:pPr>
      <w:bookmarkStart w:id="127" w:name="Figure_2_13"/>
      <w:r>
        <w:t xml:space="preserve">Figure </w:t>
      </w:r>
      <w:r w:rsidR="006558DC">
        <w:fldChar w:fldCharType="begin"/>
      </w:r>
      <w:r w:rsidR="006558DC">
        <w:instrText xml:space="preserve"> STYLEREF 1 \s </w:instrText>
      </w:r>
      <w:r w:rsidR="006558DC">
        <w:fldChar w:fldCharType="separate"/>
      </w:r>
      <w:r w:rsidR="00E7704E">
        <w:rPr>
          <w:noProof/>
        </w:rPr>
        <w:t>2</w:t>
      </w:r>
      <w:r w:rsidR="006558DC">
        <w:fldChar w:fldCharType="end"/>
      </w:r>
      <w:r w:rsidR="007D4DC4">
        <w:t>.</w:t>
      </w:r>
      <w:r w:rsidR="006558DC">
        <w:fldChar w:fldCharType="begin"/>
      </w:r>
      <w:r w:rsidR="006558DC">
        <w:instrText xml:space="preserve"> SEQ Figure \* ARABIC \s 1 </w:instrText>
      </w:r>
      <w:r w:rsidR="006558DC">
        <w:fldChar w:fldCharType="separate"/>
      </w:r>
      <w:r w:rsidR="00E7704E">
        <w:rPr>
          <w:noProof/>
        </w:rPr>
        <w:t>13</w:t>
      </w:r>
      <w:r w:rsidR="006558DC">
        <w:fldChar w:fldCharType="end"/>
      </w:r>
      <w:r>
        <w:t xml:space="preserve"> Proportion of casuals in selected occupations and across workforce, 2014</w:t>
      </w:r>
      <w:r w:rsidR="192237B4">
        <w:t xml:space="preserve"> </w:t>
      </w:r>
      <w:r w:rsidR="7CCC875B">
        <w:t>–</w:t>
      </w:r>
      <w:r w:rsidR="192237B4">
        <w:t xml:space="preserve"> </w:t>
      </w:r>
      <w:r>
        <w:t>2023</w:t>
      </w:r>
    </w:p>
    <w:bookmarkEnd w:id="127"/>
    <w:p w14:paraId="3A0ADDB2" w14:textId="589F0A33" w:rsidR="00B67DD4" w:rsidRPr="00B67DD4" w:rsidRDefault="00B67DD4" w:rsidP="00B67DD4">
      <w:pPr>
        <w:pStyle w:val="Bodycopy"/>
        <w:rPr>
          <w:lang w:val="en-US"/>
        </w:rPr>
      </w:pPr>
      <w:r>
        <w:rPr>
          <w:noProof/>
        </w:rPr>
        <w:drawing>
          <wp:anchor distT="0" distB="0" distL="114300" distR="114300" simplePos="0" relativeHeight="251658249" behindDoc="0" locked="0" layoutInCell="1" allowOverlap="0" wp14:anchorId="0BB8F3C2" wp14:editId="51D94AB8">
            <wp:simplePos x="0" y="0"/>
            <wp:positionH relativeFrom="margin">
              <wp:posOffset>10424</wp:posOffset>
            </wp:positionH>
            <wp:positionV relativeFrom="paragraph">
              <wp:posOffset>43180</wp:posOffset>
            </wp:positionV>
            <wp:extent cx="5644800" cy="2664000"/>
            <wp:effectExtent l="19050" t="19050" r="13335" b="22225"/>
            <wp:wrapNone/>
            <wp:docPr id="797426877"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26877" name="Picture 6">
                      <a:extLst>
                        <a:ext uri="{C183D7F6-B498-43B3-948B-1728B52AA6E4}">
                          <adec:decorative xmlns:adec="http://schemas.microsoft.com/office/drawing/2017/decorative" val="1"/>
                        </a:ext>
                      </a:extLst>
                    </pic:cNvPr>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3573"/>
                    <a:stretch/>
                  </pic:blipFill>
                  <pic:spPr bwMode="auto">
                    <a:xfrm>
                      <a:off x="0" y="0"/>
                      <a:ext cx="5644800" cy="2664000"/>
                    </a:xfrm>
                    <a:prstGeom prst="rect">
                      <a:avLst/>
                    </a:prstGeom>
                    <a:solidFill>
                      <a:schemeClr val="bg1"/>
                    </a:solidFill>
                    <a:ln w="635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W w:w="7597" w:type="dxa"/>
        <w:tblLayout w:type="fixed"/>
        <w:tblLook w:val="04A0" w:firstRow="1" w:lastRow="0" w:firstColumn="1" w:lastColumn="0" w:noHBand="0" w:noVBand="1"/>
        <w:tblCaption w:val="Figure 2.13 Proportion of casuals in selected occupations and across workforce, 2014 – 2023"/>
      </w:tblPr>
      <w:tblGrid>
        <w:gridCol w:w="1474"/>
        <w:gridCol w:w="567"/>
        <w:gridCol w:w="567"/>
        <w:gridCol w:w="567"/>
        <w:gridCol w:w="567"/>
        <w:gridCol w:w="567"/>
        <w:gridCol w:w="567"/>
        <w:gridCol w:w="567"/>
        <w:gridCol w:w="567"/>
        <w:gridCol w:w="567"/>
        <w:gridCol w:w="510"/>
        <w:gridCol w:w="510"/>
      </w:tblGrid>
      <w:tr w:rsidR="0089605A" w:rsidRPr="003B7F3E" w14:paraId="064EB0AC" w14:textId="77777777" w:rsidTr="0092461D">
        <w:trPr>
          <w:trHeight w:val="170"/>
        </w:trPr>
        <w:tc>
          <w:tcPr>
            <w:tcW w:w="1474" w:type="dxa"/>
            <w:shd w:val="clear" w:color="auto" w:fill="auto"/>
            <w:noWrap/>
            <w:vAlign w:val="center"/>
            <w:hideMark/>
          </w:tcPr>
          <w:p w14:paraId="3CB2E2BF" w14:textId="39E3AAC3" w:rsidR="003B7F3E" w:rsidRPr="003B7F3E" w:rsidRDefault="003B7F3E" w:rsidP="003B7F3E">
            <w:pPr>
              <w:spacing w:after="0" w:line="240" w:lineRule="auto"/>
              <w:rPr>
                <w:rFonts w:asciiTheme="minorHAnsi" w:eastAsia="Times New Roman" w:hAnsiTheme="minorHAnsi" w:cstheme="minorHAnsi"/>
                <w:color w:val="auto"/>
                <w:sz w:val="10"/>
                <w:szCs w:val="10"/>
                <w:lang w:eastAsia="en-AU"/>
              </w:rPr>
            </w:pPr>
          </w:p>
        </w:tc>
        <w:tc>
          <w:tcPr>
            <w:tcW w:w="567" w:type="dxa"/>
            <w:shd w:val="clear" w:color="auto" w:fill="auto"/>
            <w:noWrap/>
            <w:vAlign w:val="center"/>
            <w:hideMark/>
          </w:tcPr>
          <w:p w14:paraId="35B18344" w14:textId="3008455A"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2014</w:t>
            </w:r>
          </w:p>
        </w:tc>
        <w:tc>
          <w:tcPr>
            <w:tcW w:w="567" w:type="dxa"/>
            <w:shd w:val="clear" w:color="auto" w:fill="auto"/>
            <w:noWrap/>
            <w:vAlign w:val="center"/>
            <w:hideMark/>
          </w:tcPr>
          <w:p w14:paraId="7605A549" w14:textId="00DDB8D1"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2015</w:t>
            </w:r>
          </w:p>
        </w:tc>
        <w:tc>
          <w:tcPr>
            <w:tcW w:w="567" w:type="dxa"/>
            <w:shd w:val="clear" w:color="auto" w:fill="auto"/>
            <w:noWrap/>
            <w:vAlign w:val="center"/>
            <w:hideMark/>
          </w:tcPr>
          <w:p w14:paraId="51A2DCB3" w14:textId="1110A36D"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2016</w:t>
            </w:r>
          </w:p>
        </w:tc>
        <w:tc>
          <w:tcPr>
            <w:tcW w:w="567" w:type="dxa"/>
            <w:shd w:val="clear" w:color="auto" w:fill="auto"/>
            <w:noWrap/>
            <w:vAlign w:val="center"/>
            <w:hideMark/>
          </w:tcPr>
          <w:p w14:paraId="6FF9B08B"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2017</w:t>
            </w:r>
          </w:p>
        </w:tc>
        <w:tc>
          <w:tcPr>
            <w:tcW w:w="567" w:type="dxa"/>
            <w:shd w:val="clear" w:color="auto" w:fill="auto"/>
            <w:noWrap/>
            <w:vAlign w:val="center"/>
            <w:hideMark/>
          </w:tcPr>
          <w:p w14:paraId="58F6A574" w14:textId="38184383"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2018</w:t>
            </w:r>
          </w:p>
        </w:tc>
        <w:tc>
          <w:tcPr>
            <w:tcW w:w="567" w:type="dxa"/>
            <w:shd w:val="clear" w:color="auto" w:fill="auto"/>
            <w:noWrap/>
            <w:vAlign w:val="center"/>
            <w:hideMark/>
          </w:tcPr>
          <w:p w14:paraId="09362EC8"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2019</w:t>
            </w:r>
          </w:p>
        </w:tc>
        <w:tc>
          <w:tcPr>
            <w:tcW w:w="567" w:type="dxa"/>
            <w:shd w:val="clear" w:color="auto" w:fill="auto"/>
            <w:noWrap/>
            <w:vAlign w:val="center"/>
            <w:hideMark/>
          </w:tcPr>
          <w:p w14:paraId="7EAD67C0"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2020</w:t>
            </w:r>
          </w:p>
        </w:tc>
        <w:tc>
          <w:tcPr>
            <w:tcW w:w="567" w:type="dxa"/>
            <w:shd w:val="clear" w:color="auto" w:fill="auto"/>
            <w:noWrap/>
            <w:vAlign w:val="center"/>
            <w:hideMark/>
          </w:tcPr>
          <w:p w14:paraId="5D721A53"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2021</w:t>
            </w:r>
          </w:p>
        </w:tc>
        <w:tc>
          <w:tcPr>
            <w:tcW w:w="567" w:type="dxa"/>
            <w:shd w:val="clear" w:color="auto" w:fill="auto"/>
            <w:noWrap/>
            <w:vAlign w:val="center"/>
            <w:hideMark/>
          </w:tcPr>
          <w:p w14:paraId="7D68B971"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2022</w:t>
            </w:r>
          </w:p>
        </w:tc>
        <w:tc>
          <w:tcPr>
            <w:tcW w:w="510" w:type="dxa"/>
            <w:shd w:val="clear" w:color="auto" w:fill="auto"/>
            <w:noWrap/>
            <w:vAlign w:val="center"/>
            <w:hideMark/>
          </w:tcPr>
          <w:p w14:paraId="359F1558"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2023</w:t>
            </w:r>
          </w:p>
        </w:tc>
        <w:tc>
          <w:tcPr>
            <w:tcW w:w="510" w:type="dxa"/>
            <w:shd w:val="clear" w:color="auto" w:fill="auto"/>
            <w:noWrap/>
            <w:vAlign w:val="center"/>
            <w:hideMark/>
          </w:tcPr>
          <w:p w14:paraId="33029D06"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p>
        </w:tc>
      </w:tr>
      <w:tr w:rsidR="0089605A" w:rsidRPr="003B7F3E" w14:paraId="31418944" w14:textId="77777777" w:rsidTr="0092461D">
        <w:trPr>
          <w:trHeight w:val="170"/>
        </w:trPr>
        <w:tc>
          <w:tcPr>
            <w:tcW w:w="1474" w:type="dxa"/>
            <w:shd w:val="clear" w:color="auto" w:fill="auto"/>
            <w:noWrap/>
            <w:vAlign w:val="center"/>
            <w:hideMark/>
          </w:tcPr>
          <w:p w14:paraId="13DC6086" w14:textId="6B749DF5"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Vocational Education Teachers</w:t>
            </w:r>
          </w:p>
        </w:tc>
        <w:tc>
          <w:tcPr>
            <w:tcW w:w="567" w:type="dxa"/>
            <w:shd w:val="clear" w:color="auto" w:fill="auto"/>
            <w:noWrap/>
            <w:vAlign w:val="center"/>
            <w:hideMark/>
          </w:tcPr>
          <w:p w14:paraId="086FA456" w14:textId="4632DA76"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23.1%</w:t>
            </w:r>
          </w:p>
        </w:tc>
        <w:tc>
          <w:tcPr>
            <w:tcW w:w="567" w:type="dxa"/>
            <w:shd w:val="clear" w:color="auto" w:fill="auto"/>
            <w:noWrap/>
            <w:vAlign w:val="center"/>
            <w:hideMark/>
          </w:tcPr>
          <w:p w14:paraId="3E003ECD" w14:textId="3C65D3D3"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17.9%</w:t>
            </w:r>
          </w:p>
        </w:tc>
        <w:tc>
          <w:tcPr>
            <w:tcW w:w="567" w:type="dxa"/>
            <w:shd w:val="clear" w:color="auto" w:fill="auto"/>
            <w:noWrap/>
            <w:vAlign w:val="center"/>
            <w:hideMark/>
          </w:tcPr>
          <w:p w14:paraId="2A7603DC" w14:textId="7C6EEF12"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24.4%</w:t>
            </w:r>
          </w:p>
        </w:tc>
        <w:tc>
          <w:tcPr>
            <w:tcW w:w="567" w:type="dxa"/>
            <w:shd w:val="clear" w:color="auto" w:fill="auto"/>
            <w:noWrap/>
            <w:vAlign w:val="center"/>
            <w:hideMark/>
          </w:tcPr>
          <w:p w14:paraId="0C7ECA0B" w14:textId="4EC6F3A3"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20.9%</w:t>
            </w:r>
          </w:p>
        </w:tc>
        <w:tc>
          <w:tcPr>
            <w:tcW w:w="567" w:type="dxa"/>
            <w:shd w:val="clear" w:color="auto" w:fill="auto"/>
            <w:noWrap/>
            <w:vAlign w:val="center"/>
            <w:hideMark/>
          </w:tcPr>
          <w:p w14:paraId="7719C788" w14:textId="0287A518"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16.9%</w:t>
            </w:r>
          </w:p>
        </w:tc>
        <w:tc>
          <w:tcPr>
            <w:tcW w:w="567" w:type="dxa"/>
            <w:shd w:val="clear" w:color="auto" w:fill="auto"/>
            <w:noWrap/>
            <w:vAlign w:val="center"/>
            <w:hideMark/>
          </w:tcPr>
          <w:p w14:paraId="3308ADCF"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13.8%</w:t>
            </w:r>
          </w:p>
        </w:tc>
        <w:tc>
          <w:tcPr>
            <w:tcW w:w="567" w:type="dxa"/>
            <w:shd w:val="clear" w:color="auto" w:fill="auto"/>
            <w:noWrap/>
            <w:vAlign w:val="center"/>
            <w:hideMark/>
          </w:tcPr>
          <w:p w14:paraId="6F00AC59" w14:textId="32F7BEF0"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29.1%</w:t>
            </w:r>
          </w:p>
        </w:tc>
        <w:tc>
          <w:tcPr>
            <w:tcW w:w="567" w:type="dxa"/>
            <w:shd w:val="clear" w:color="auto" w:fill="auto"/>
            <w:noWrap/>
            <w:vAlign w:val="center"/>
            <w:hideMark/>
          </w:tcPr>
          <w:p w14:paraId="07E0BD7C" w14:textId="2ED3C4E8"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12.6%</w:t>
            </w:r>
          </w:p>
        </w:tc>
        <w:tc>
          <w:tcPr>
            <w:tcW w:w="567" w:type="dxa"/>
            <w:shd w:val="clear" w:color="auto" w:fill="auto"/>
            <w:noWrap/>
            <w:vAlign w:val="center"/>
            <w:hideMark/>
          </w:tcPr>
          <w:p w14:paraId="53D1E7EE" w14:textId="56196E76"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25.9%</w:t>
            </w:r>
          </w:p>
        </w:tc>
        <w:tc>
          <w:tcPr>
            <w:tcW w:w="510" w:type="dxa"/>
            <w:shd w:val="clear" w:color="auto" w:fill="auto"/>
            <w:noWrap/>
            <w:vAlign w:val="center"/>
            <w:hideMark/>
          </w:tcPr>
          <w:p w14:paraId="36BB83E8"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p>
        </w:tc>
        <w:tc>
          <w:tcPr>
            <w:tcW w:w="510" w:type="dxa"/>
            <w:shd w:val="clear" w:color="auto" w:fill="auto"/>
            <w:noWrap/>
            <w:vAlign w:val="center"/>
            <w:hideMark/>
          </w:tcPr>
          <w:p w14:paraId="52C02B14"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2.8%</w:t>
            </w:r>
          </w:p>
        </w:tc>
      </w:tr>
      <w:tr w:rsidR="0089605A" w:rsidRPr="003B7F3E" w14:paraId="2B408735" w14:textId="77777777" w:rsidTr="0092461D">
        <w:trPr>
          <w:trHeight w:val="170"/>
        </w:trPr>
        <w:tc>
          <w:tcPr>
            <w:tcW w:w="1474" w:type="dxa"/>
            <w:shd w:val="clear" w:color="auto" w:fill="auto"/>
            <w:noWrap/>
            <w:vAlign w:val="center"/>
            <w:hideMark/>
          </w:tcPr>
          <w:p w14:paraId="3A3BB7DE" w14:textId="216681E1"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University Lecturers and Tutors</w:t>
            </w:r>
          </w:p>
        </w:tc>
        <w:tc>
          <w:tcPr>
            <w:tcW w:w="567" w:type="dxa"/>
            <w:shd w:val="clear" w:color="auto" w:fill="auto"/>
            <w:noWrap/>
            <w:vAlign w:val="center"/>
            <w:hideMark/>
          </w:tcPr>
          <w:p w14:paraId="2009820A" w14:textId="7CA81470"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38.3%</w:t>
            </w:r>
          </w:p>
        </w:tc>
        <w:tc>
          <w:tcPr>
            <w:tcW w:w="567" w:type="dxa"/>
            <w:shd w:val="clear" w:color="auto" w:fill="auto"/>
            <w:noWrap/>
            <w:vAlign w:val="center"/>
            <w:hideMark/>
          </w:tcPr>
          <w:p w14:paraId="27CE6A90" w14:textId="24FE9136"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40.9%</w:t>
            </w:r>
          </w:p>
        </w:tc>
        <w:tc>
          <w:tcPr>
            <w:tcW w:w="567" w:type="dxa"/>
            <w:shd w:val="clear" w:color="auto" w:fill="auto"/>
            <w:noWrap/>
            <w:vAlign w:val="center"/>
            <w:hideMark/>
          </w:tcPr>
          <w:p w14:paraId="34DAE13E" w14:textId="1C52A876"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26.5%</w:t>
            </w:r>
          </w:p>
        </w:tc>
        <w:tc>
          <w:tcPr>
            <w:tcW w:w="567" w:type="dxa"/>
            <w:shd w:val="clear" w:color="auto" w:fill="auto"/>
            <w:noWrap/>
            <w:vAlign w:val="center"/>
            <w:hideMark/>
          </w:tcPr>
          <w:p w14:paraId="4BFFD393" w14:textId="2925B956"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35.9%</w:t>
            </w:r>
          </w:p>
        </w:tc>
        <w:tc>
          <w:tcPr>
            <w:tcW w:w="567" w:type="dxa"/>
            <w:shd w:val="clear" w:color="auto" w:fill="auto"/>
            <w:noWrap/>
            <w:vAlign w:val="center"/>
            <w:hideMark/>
          </w:tcPr>
          <w:p w14:paraId="30649641" w14:textId="1B15175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38.2%</w:t>
            </w:r>
          </w:p>
        </w:tc>
        <w:tc>
          <w:tcPr>
            <w:tcW w:w="567" w:type="dxa"/>
            <w:shd w:val="clear" w:color="auto" w:fill="auto"/>
            <w:noWrap/>
            <w:vAlign w:val="center"/>
            <w:hideMark/>
          </w:tcPr>
          <w:p w14:paraId="1DE50C04"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32.1%</w:t>
            </w:r>
          </w:p>
        </w:tc>
        <w:tc>
          <w:tcPr>
            <w:tcW w:w="567" w:type="dxa"/>
            <w:shd w:val="clear" w:color="auto" w:fill="auto"/>
            <w:noWrap/>
            <w:vAlign w:val="center"/>
            <w:hideMark/>
          </w:tcPr>
          <w:p w14:paraId="770AA51B"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26.1%</w:t>
            </w:r>
          </w:p>
        </w:tc>
        <w:tc>
          <w:tcPr>
            <w:tcW w:w="567" w:type="dxa"/>
            <w:shd w:val="clear" w:color="auto" w:fill="auto"/>
            <w:noWrap/>
            <w:vAlign w:val="center"/>
            <w:hideMark/>
          </w:tcPr>
          <w:p w14:paraId="6E6CEABA"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25.6%</w:t>
            </w:r>
          </w:p>
        </w:tc>
        <w:tc>
          <w:tcPr>
            <w:tcW w:w="567" w:type="dxa"/>
            <w:shd w:val="clear" w:color="auto" w:fill="auto"/>
            <w:noWrap/>
            <w:vAlign w:val="center"/>
            <w:hideMark/>
          </w:tcPr>
          <w:p w14:paraId="6375CD64"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31.7%</w:t>
            </w:r>
          </w:p>
        </w:tc>
        <w:tc>
          <w:tcPr>
            <w:tcW w:w="510" w:type="dxa"/>
            <w:shd w:val="clear" w:color="auto" w:fill="auto"/>
            <w:noWrap/>
            <w:vAlign w:val="center"/>
            <w:hideMark/>
          </w:tcPr>
          <w:p w14:paraId="39555DDB"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33.5%</w:t>
            </w:r>
          </w:p>
        </w:tc>
        <w:tc>
          <w:tcPr>
            <w:tcW w:w="510" w:type="dxa"/>
            <w:shd w:val="clear" w:color="auto" w:fill="auto"/>
            <w:noWrap/>
            <w:vAlign w:val="center"/>
            <w:hideMark/>
          </w:tcPr>
          <w:p w14:paraId="1AFE5CF3"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-6.5%</w:t>
            </w:r>
          </w:p>
        </w:tc>
      </w:tr>
      <w:tr w:rsidR="0089605A" w:rsidRPr="003B7F3E" w14:paraId="0AE20BCC" w14:textId="77777777" w:rsidTr="0092461D">
        <w:trPr>
          <w:trHeight w:val="170"/>
        </w:trPr>
        <w:tc>
          <w:tcPr>
            <w:tcW w:w="1474" w:type="dxa"/>
            <w:shd w:val="clear" w:color="auto" w:fill="auto"/>
            <w:noWrap/>
            <w:vAlign w:val="center"/>
            <w:hideMark/>
          </w:tcPr>
          <w:p w14:paraId="658FC72E"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Secondary School Teachers</w:t>
            </w:r>
          </w:p>
        </w:tc>
        <w:tc>
          <w:tcPr>
            <w:tcW w:w="567" w:type="dxa"/>
            <w:shd w:val="clear" w:color="auto" w:fill="auto"/>
            <w:noWrap/>
            <w:vAlign w:val="center"/>
            <w:hideMark/>
          </w:tcPr>
          <w:p w14:paraId="57D92220"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6.4%</w:t>
            </w:r>
          </w:p>
        </w:tc>
        <w:tc>
          <w:tcPr>
            <w:tcW w:w="567" w:type="dxa"/>
            <w:shd w:val="clear" w:color="auto" w:fill="auto"/>
            <w:noWrap/>
            <w:vAlign w:val="center"/>
            <w:hideMark/>
          </w:tcPr>
          <w:p w14:paraId="3FFF0D7A"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9.5%</w:t>
            </w:r>
          </w:p>
        </w:tc>
        <w:tc>
          <w:tcPr>
            <w:tcW w:w="567" w:type="dxa"/>
            <w:shd w:val="clear" w:color="auto" w:fill="auto"/>
            <w:noWrap/>
            <w:vAlign w:val="center"/>
            <w:hideMark/>
          </w:tcPr>
          <w:p w14:paraId="36B4D1B8" w14:textId="32A0253E"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10.8%</w:t>
            </w:r>
          </w:p>
        </w:tc>
        <w:tc>
          <w:tcPr>
            <w:tcW w:w="567" w:type="dxa"/>
            <w:shd w:val="clear" w:color="auto" w:fill="auto"/>
            <w:noWrap/>
            <w:vAlign w:val="center"/>
            <w:hideMark/>
          </w:tcPr>
          <w:p w14:paraId="51DE55DC" w14:textId="755E3726"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7.9%</w:t>
            </w:r>
          </w:p>
        </w:tc>
        <w:tc>
          <w:tcPr>
            <w:tcW w:w="567" w:type="dxa"/>
            <w:shd w:val="clear" w:color="auto" w:fill="auto"/>
            <w:noWrap/>
            <w:vAlign w:val="center"/>
            <w:hideMark/>
          </w:tcPr>
          <w:p w14:paraId="5990C6D7" w14:textId="53B74538"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11.3%</w:t>
            </w:r>
          </w:p>
        </w:tc>
        <w:tc>
          <w:tcPr>
            <w:tcW w:w="567" w:type="dxa"/>
            <w:shd w:val="clear" w:color="auto" w:fill="auto"/>
            <w:noWrap/>
            <w:vAlign w:val="center"/>
            <w:hideMark/>
          </w:tcPr>
          <w:p w14:paraId="222911DB"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11.5%</w:t>
            </w:r>
          </w:p>
        </w:tc>
        <w:tc>
          <w:tcPr>
            <w:tcW w:w="567" w:type="dxa"/>
            <w:shd w:val="clear" w:color="auto" w:fill="auto"/>
            <w:noWrap/>
            <w:vAlign w:val="center"/>
            <w:hideMark/>
          </w:tcPr>
          <w:p w14:paraId="1C9EB9AE"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7.7%</w:t>
            </w:r>
          </w:p>
        </w:tc>
        <w:tc>
          <w:tcPr>
            <w:tcW w:w="567" w:type="dxa"/>
            <w:shd w:val="clear" w:color="auto" w:fill="auto"/>
            <w:noWrap/>
            <w:vAlign w:val="center"/>
            <w:hideMark/>
          </w:tcPr>
          <w:p w14:paraId="104607C1"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7.1%</w:t>
            </w:r>
          </w:p>
        </w:tc>
        <w:tc>
          <w:tcPr>
            <w:tcW w:w="567" w:type="dxa"/>
            <w:shd w:val="clear" w:color="auto" w:fill="auto"/>
            <w:noWrap/>
            <w:vAlign w:val="center"/>
            <w:hideMark/>
          </w:tcPr>
          <w:p w14:paraId="69A42BC9"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7.0%</w:t>
            </w:r>
          </w:p>
        </w:tc>
        <w:tc>
          <w:tcPr>
            <w:tcW w:w="510" w:type="dxa"/>
            <w:shd w:val="clear" w:color="auto" w:fill="auto"/>
            <w:noWrap/>
            <w:vAlign w:val="center"/>
            <w:hideMark/>
          </w:tcPr>
          <w:p w14:paraId="5A30B275"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6.9%</w:t>
            </w:r>
          </w:p>
        </w:tc>
        <w:tc>
          <w:tcPr>
            <w:tcW w:w="510" w:type="dxa"/>
            <w:shd w:val="clear" w:color="auto" w:fill="auto"/>
            <w:noWrap/>
            <w:vAlign w:val="center"/>
            <w:hideMark/>
          </w:tcPr>
          <w:p w14:paraId="193B16B0"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0.6%</w:t>
            </w:r>
          </w:p>
        </w:tc>
      </w:tr>
      <w:tr w:rsidR="0089605A" w:rsidRPr="003B7F3E" w14:paraId="7493D258" w14:textId="77777777" w:rsidTr="0092461D">
        <w:trPr>
          <w:trHeight w:val="170"/>
        </w:trPr>
        <w:tc>
          <w:tcPr>
            <w:tcW w:w="1474" w:type="dxa"/>
            <w:shd w:val="clear" w:color="auto" w:fill="auto"/>
            <w:noWrap/>
            <w:vAlign w:val="center"/>
            <w:hideMark/>
          </w:tcPr>
          <w:p w14:paraId="1CEB4AE2"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Early Childhood (Pre-primary School) Teachers</w:t>
            </w:r>
          </w:p>
        </w:tc>
        <w:tc>
          <w:tcPr>
            <w:tcW w:w="567" w:type="dxa"/>
            <w:shd w:val="clear" w:color="auto" w:fill="auto"/>
            <w:noWrap/>
            <w:vAlign w:val="center"/>
            <w:hideMark/>
          </w:tcPr>
          <w:p w14:paraId="09A4754E" w14:textId="681F0678"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9.9%</w:t>
            </w:r>
          </w:p>
        </w:tc>
        <w:tc>
          <w:tcPr>
            <w:tcW w:w="567" w:type="dxa"/>
            <w:shd w:val="clear" w:color="auto" w:fill="auto"/>
            <w:noWrap/>
            <w:vAlign w:val="center"/>
            <w:hideMark/>
          </w:tcPr>
          <w:p w14:paraId="0534E378"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15.5%</w:t>
            </w:r>
          </w:p>
        </w:tc>
        <w:tc>
          <w:tcPr>
            <w:tcW w:w="567" w:type="dxa"/>
            <w:shd w:val="clear" w:color="auto" w:fill="auto"/>
            <w:noWrap/>
            <w:vAlign w:val="center"/>
            <w:hideMark/>
          </w:tcPr>
          <w:p w14:paraId="59071390"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16.4%</w:t>
            </w:r>
          </w:p>
        </w:tc>
        <w:tc>
          <w:tcPr>
            <w:tcW w:w="567" w:type="dxa"/>
            <w:shd w:val="clear" w:color="auto" w:fill="auto"/>
            <w:noWrap/>
            <w:vAlign w:val="center"/>
            <w:hideMark/>
          </w:tcPr>
          <w:p w14:paraId="7F865227" w14:textId="373A74C9"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10.1%</w:t>
            </w:r>
          </w:p>
        </w:tc>
        <w:tc>
          <w:tcPr>
            <w:tcW w:w="567" w:type="dxa"/>
            <w:shd w:val="clear" w:color="auto" w:fill="auto"/>
            <w:noWrap/>
            <w:vAlign w:val="center"/>
            <w:hideMark/>
          </w:tcPr>
          <w:p w14:paraId="5F0A9003" w14:textId="3119DE83"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11.8%</w:t>
            </w:r>
          </w:p>
        </w:tc>
        <w:tc>
          <w:tcPr>
            <w:tcW w:w="567" w:type="dxa"/>
            <w:shd w:val="clear" w:color="auto" w:fill="auto"/>
            <w:noWrap/>
            <w:vAlign w:val="center"/>
            <w:hideMark/>
          </w:tcPr>
          <w:p w14:paraId="3343A805" w14:textId="14C568DA"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p>
        </w:tc>
        <w:tc>
          <w:tcPr>
            <w:tcW w:w="567" w:type="dxa"/>
            <w:shd w:val="clear" w:color="auto" w:fill="auto"/>
            <w:noWrap/>
            <w:vAlign w:val="center"/>
            <w:hideMark/>
          </w:tcPr>
          <w:p w14:paraId="459194FE"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9.8%</w:t>
            </w:r>
          </w:p>
        </w:tc>
        <w:tc>
          <w:tcPr>
            <w:tcW w:w="567" w:type="dxa"/>
            <w:shd w:val="clear" w:color="auto" w:fill="auto"/>
            <w:noWrap/>
            <w:vAlign w:val="center"/>
            <w:hideMark/>
          </w:tcPr>
          <w:p w14:paraId="7D0DB18E"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16.8%</w:t>
            </w:r>
          </w:p>
        </w:tc>
        <w:tc>
          <w:tcPr>
            <w:tcW w:w="567" w:type="dxa"/>
            <w:shd w:val="clear" w:color="auto" w:fill="auto"/>
            <w:noWrap/>
            <w:vAlign w:val="center"/>
            <w:hideMark/>
          </w:tcPr>
          <w:p w14:paraId="11619A43"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8.2%</w:t>
            </w:r>
          </w:p>
        </w:tc>
        <w:tc>
          <w:tcPr>
            <w:tcW w:w="510" w:type="dxa"/>
            <w:shd w:val="clear" w:color="auto" w:fill="auto"/>
            <w:noWrap/>
            <w:vAlign w:val="center"/>
            <w:hideMark/>
          </w:tcPr>
          <w:p w14:paraId="6867B19D"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18.0%</w:t>
            </w:r>
          </w:p>
        </w:tc>
        <w:tc>
          <w:tcPr>
            <w:tcW w:w="510" w:type="dxa"/>
            <w:shd w:val="clear" w:color="auto" w:fill="auto"/>
            <w:noWrap/>
            <w:vAlign w:val="center"/>
            <w:hideMark/>
          </w:tcPr>
          <w:p w14:paraId="6D15B37E"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-1.7%</w:t>
            </w:r>
          </w:p>
        </w:tc>
      </w:tr>
      <w:tr w:rsidR="0089605A" w:rsidRPr="003B7F3E" w14:paraId="52C779D7" w14:textId="77777777" w:rsidTr="0092461D">
        <w:trPr>
          <w:trHeight w:val="170"/>
        </w:trPr>
        <w:tc>
          <w:tcPr>
            <w:tcW w:w="1474" w:type="dxa"/>
            <w:shd w:val="clear" w:color="auto" w:fill="auto"/>
            <w:noWrap/>
            <w:vAlign w:val="center"/>
            <w:hideMark/>
          </w:tcPr>
          <w:p w14:paraId="65F9779F"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All occupations</w:t>
            </w:r>
          </w:p>
        </w:tc>
        <w:tc>
          <w:tcPr>
            <w:tcW w:w="567" w:type="dxa"/>
            <w:shd w:val="clear" w:color="auto" w:fill="auto"/>
            <w:noWrap/>
            <w:vAlign w:val="center"/>
            <w:hideMark/>
          </w:tcPr>
          <w:p w14:paraId="2E6F0021"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19.7%</w:t>
            </w:r>
          </w:p>
        </w:tc>
        <w:tc>
          <w:tcPr>
            <w:tcW w:w="567" w:type="dxa"/>
            <w:shd w:val="clear" w:color="auto" w:fill="auto"/>
            <w:noWrap/>
            <w:vAlign w:val="center"/>
            <w:hideMark/>
          </w:tcPr>
          <w:p w14:paraId="7364C502"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20.0%</w:t>
            </w:r>
          </w:p>
        </w:tc>
        <w:tc>
          <w:tcPr>
            <w:tcW w:w="567" w:type="dxa"/>
            <w:shd w:val="clear" w:color="auto" w:fill="auto"/>
            <w:noWrap/>
            <w:vAlign w:val="center"/>
            <w:hideMark/>
          </w:tcPr>
          <w:p w14:paraId="7BE6C174" w14:textId="008D0E7C"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20.7%</w:t>
            </w:r>
          </w:p>
        </w:tc>
        <w:tc>
          <w:tcPr>
            <w:tcW w:w="567" w:type="dxa"/>
            <w:shd w:val="clear" w:color="auto" w:fill="auto"/>
            <w:noWrap/>
            <w:vAlign w:val="center"/>
            <w:hideMark/>
          </w:tcPr>
          <w:p w14:paraId="5E98765A" w14:textId="77CA194E"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20.7%</w:t>
            </w:r>
          </w:p>
        </w:tc>
        <w:tc>
          <w:tcPr>
            <w:tcW w:w="567" w:type="dxa"/>
            <w:shd w:val="clear" w:color="auto" w:fill="auto"/>
            <w:noWrap/>
            <w:vAlign w:val="center"/>
            <w:hideMark/>
          </w:tcPr>
          <w:p w14:paraId="1A01343D" w14:textId="50F17DB2"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20.4%</w:t>
            </w:r>
          </w:p>
        </w:tc>
        <w:tc>
          <w:tcPr>
            <w:tcW w:w="567" w:type="dxa"/>
            <w:shd w:val="clear" w:color="auto" w:fill="auto"/>
            <w:noWrap/>
            <w:vAlign w:val="center"/>
            <w:hideMark/>
          </w:tcPr>
          <w:p w14:paraId="3B3DBDF6" w14:textId="10E895B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20.1%</w:t>
            </w:r>
          </w:p>
        </w:tc>
        <w:tc>
          <w:tcPr>
            <w:tcW w:w="567" w:type="dxa"/>
            <w:shd w:val="clear" w:color="auto" w:fill="auto"/>
            <w:noWrap/>
            <w:vAlign w:val="center"/>
            <w:hideMark/>
          </w:tcPr>
          <w:p w14:paraId="4AAD49E1"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18.3%</w:t>
            </w:r>
          </w:p>
        </w:tc>
        <w:tc>
          <w:tcPr>
            <w:tcW w:w="567" w:type="dxa"/>
            <w:shd w:val="clear" w:color="auto" w:fill="auto"/>
            <w:noWrap/>
            <w:vAlign w:val="center"/>
            <w:hideMark/>
          </w:tcPr>
          <w:p w14:paraId="74F80976"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18.7%</w:t>
            </w:r>
          </w:p>
        </w:tc>
        <w:tc>
          <w:tcPr>
            <w:tcW w:w="567" w:type="dxa"/>
            <w:shd w:val="clear" w:color="auto" w:fill="auto"/>
            <w:noWrap/>
            <w:vAlign w:val="center"/>
            <w:hideMark/>
          </w:tcPr>
          <w:p w14:paraId="6A8FF411" w14:textId="5BD9415D"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19.8%</w:t>
            </w:r>
          </w:p>
        </w:tc>
        <w:tc>
          <w:tcPr>
            <w:tcW w:w="510" w:type="dxa"/>
            <w:shd w:val="clear" w:color="auto" w:fill="auto"/>
            <w:noWrap/>
            <w:vAlign w:val="center"/>
            <w:hideMark/>
          </w:tcPr>
          <w:p w14:paraId="2F93284A"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18.9%</w:t>
            </w:r>
          </w:p>
        </w:tc>
        <w:tc>
          <w:tcPr>
            <w:tcW w:w="510" w:type="dxa"/>
            <w:shd w:val="clear" w:color="auto" w:fill="auto"/>
            <w:noWrap/>
            <w:vAlign w:val="center"/>
            <w:hideMark/>
          </w:tcPr>
          <w:p w14:paraId="3B7D58E1" w14:textId="77777777" w:rsidR="003B7F3E" w:rsidRPr="003B7F3E" w:rsidRDefault="003B7F3E" w:rsidP="003B7F3E">
            <w:pPr>
              <w:spacing w:after="0" w:line="240" w:lineRule="auto"/>
              <w:rPr>
                <w:rFonts w:asciiTheme="minorHAnsi" w:eastAsia="Times New Roman" w:hAnsiTheme="minorHAnsi" w:cstheme="minorHAnsi"/>
                <w:color w:val="000000"/>
                <w:sz w:val="10"/>
                <w:szCs w:val="10"/>
                <w:lang w:eastAsia="en-AU"/>
              </w:rPr>
            </w:pPr>
            <w:r w:rsidRPr="003B7F3E">
              <w:rPr>
                <w:rFonts w:asciiTheme="minorHAnsi" w:eastAsia="Times New Roman" w:hAnsiTheme="minorHAnsi" w:cstheme="minorHAnsi"/>
                <w:color w:val="000000"/>
                <w:sz w:val="10"/>
                <w:szCs w:val="10"/>
                <w:lang w:eastAsia="en-AU"/>
              </w:rPr>
              <w:t>0.1%</w:t>
            </w:r>
          </w:p>
        </w:tc>
      </w:tr>
    </w:tbl>
    <w:p w14:paraId="5707FBFD" w14:textId="27068AC2" w:rsidR="003B7F3E" w:rsidRPr="003B7F3E" w:rsidRDefault="003B7F3E" w:rsidP="003B7F3E">
      <w:pPr>
        <w:rPr>
          <w:lang w:val="en-US"/>
        </w:rPr>
      </w:pPr>
    </w:p>
    <w:p w14:paraId="1648A025" w14:textId="7679FA67" w:rsidR="00F47EA3" w:rsidRDefault="00F47EA3" w:rsidP="00FD4F41">
      <w:pPr>
        <w:rPr>
          <w:lang w:val="en-US"/>
        </w:rPr>
      </w:pPr>
    </w:p>
    <w:p w14:paraId="448E1E32" w14:textId="469474BE" w:rsidR="0089605A" w:rsidRDefault="0089605A" w:rsidP="00FD4F41">
      <w:pPr>
        <w:rPr>
          <w:lang w:val="en-US"/>
        </w:rPr>
      </w:pPr>
    </w:p>
    <w:p w14:paraId="1A8123EA" w14:textId="102BFDB2" w:rsidR="0089605A" w:rsidRDefault="0089605A" w:rsidP="00FD4F41">
      <w:pPr>
        <w:rPr>
          <w:lang w:val="en-US"/>
        </w:rPr>
      </w:pPr>
    </w:p>
    <w:p w14:paraId="384A16FD" w14:textId="7224A5E8" w:rsidR="0089605A" w:rsidRDefault="0092461D" w:rsidP="00FD4F41">
      <w:pPr>
        <w:rPr>
          <w:lang w:val="en-US"/>
        </w:rPr>
      </w:pPr>
      <w:r>
        <w:rPr>
          <w:lang w:val="en-US"/>
        </w:rPr>
        <w:br/>
      </w:r>
    </w:p>
    <w:p w14:paraId="30A73A25" w14:textId="77777777" w:rsidR="00B42612" w:rsidRDefault="00B42612" w:rsidP="008B2387">
      <w:pPr>
        <w:pStyle w:val="Source"/>
      </w:pPr>
    </w:p>
    <w:p w14:paraId="1445BCA6" w14:textId="30B52708" w:rsidR="00A6421D" w:rsidRDefault="0E555893" w:rsidP="008B2387">
      <w:pPr>
        <w:pStyle w:val="Source"/>
      </w:pPr>
      <w:r>
        <w:t xml:space="preserve">Source: ABS (2023) </w:t>
      </w:r>
      <w:r w:rsidR="7C343FFD">
        <w:t>Status in employment of main job by Reference year by Occupation of main job, [</w:t>
      </w:r>
      <w:r>
        <w:t xml:space="preserve">Characteristics of Employment TableBuilder] accessed 25 March 2024. </w:t>
      </w:r>
    </w:p>
    <w:p w14:paraId="6F425B2E" w14:textId="5A1BA8B9" w:rsidR="00B42612" w:rsidRPr="00B42612" w:rsidRDefault="00A6421D" w:rsidP="008B2387">
      <w:pPr>
        <w:pStyle w:val="Source"/>
      </w:pPr>
      <w:r>
        <w:t xml:space="preserve">Note: Some data points have been omitted due to unreliable estimates. </w:t>
      </w:r>
    </w:p>
    <w:p w14:paraId="36694ABE" w14:textId="77777777" w:rsidR="00A6421D" w:rsidRDefault="00A6421D" w:rsidP="002D4813">
      <w:pPr>
        <w:pStyle w:val="Heading4"/>
      </w:pPr>
      <w:r>
        <w:lastRenderedPageBreak/>
        <w:t>Gender differences in part-</w:t>
      </w:r>
      <w:r w:rsidRPr="009C474E">
        <w:t>time and casual</w:t>
      </w:r>
      <w:r>
        <w:t xml:space="preserve"> employment </w:t>
      </w:r>
    </w:p>
    <w:p w14:paraId="00652EB9" w14:textId="33113068" w:rsidR="00A6421D" w:rsidRDefault="00A6421D" w:rsidP="00E368D6">
      <w:pPr>
        <w:pStyle w:val="Bodycopy"/>
        <w:spacing w:after="240"/>
      </w:pPr>
      <w:r>
        <w:t>In line with the Australian workforce at large, females make up a higher proportion of part-time, and casual VET workers than males</w:t>
      </w:r>
      <w:r w:rsidR="00746109">
        <w:t xml:space="preserve">, </w:t>
      </w:r>
      <w:r>
        <w:t xml:space="preserve">see </w:t>
      </w:r>
      <w:hyperlink w:anchor="Table_2_7" w:history="1">
        <w:r w:rsidRPr="00334993">
          <w:rPr>
            <w:rStyle w:val="Hyperlink"/>
          </w:rPr>
          <w:t>Table 2.7</w:t>
        </w:r>
      </w:hyperlink>
      <w:r>
        <w:t xml:space="preserve">. For example, despite making up 49.5% of </w:t>
      </w:r>
      <w:r w:rsidR="00CC6D50">
        <w:t>VET teachers</w:t>
      </w:r>
      <w:r>
        <w:t xml:space="preserve">, 63.4% of part-time </w:t>
      </w:r>
      <w:r w:rsidR="00CC6D50">
        <w:t>VET teachers</w:t>
      </w:r>
      <w:r>
        <w:t xml:space="preserve"> and 55.2% of casual </w:t>
      </w:r>
      <w:r w:rsidR="00CC6D50">
        <w:t>VET teachers</w:t>
      </w:r>
      <w:r>
        <w:t xml:space="preserve"> are female. In the VET workforce overall, 68.2% of part-time employees are female, slightly higher than the Australian workforce where 64.7% of part-time employees are female. </w:t>
      </w:r>
    </w:p>
    <w:p w14:paraId="44BE1E90" w14:textId="74D36120" w:rsidR="00A6421D" w:rsidRDefault="00A6421D" w:rsidP="00A6421D">
      <w:pPr>
        <w:pStyle w:val="Caption"/>
        <w:keepNext/>
      </w:pPr>
      <w:bookmarkStart w:id="128" w:name="Table_2_7"/>
      <w:r>
        <w:t xml:space="preserve">Table </w:t>
      </w:r>
      <w:r w:rsidR="004B692A">
        <w:fldChar w:fldCharType="begin"/>
      </w:r>
      <w:r w:rsidR="004B692A">
        <w:instrText xml:space="preserve"> STYLEREF 1 \s </w:instrText>
      </w:r>
      <w:r w:rsidR="004B692A">
        <w:fldChar w:fldCharType="separate"/>
      </w:r>
      <w:r w:rsidR="00E7704E">
        <w:rPr>
          <w:noProof/>
        </w:rPr>
        <w:t>2</w:t>
      </w:r>
      <w:r w:rsidR="004B692A">
        <w:fldChar w:fldCharType="end"/>
      </w:r>
      <w:r w:rsidR="004B692A">
        <w:t>.</w:t>
      </w:r>
      <w:r w:rsidR="004B692A">
        <w:fldChar w:fldCharType="begin"/>
      </w:r>
      <w:r w:rsidR="004B692A">
        <w:instrText xml:space="preserve"> SEQ Table \* ARABIC \s 1 </w:instrText>
      </w:r>
      <w:r w:rsidR="004B692A">
        <w:fldChar w:fldCharType="separate"/>
      </w:r>
      <w:r w:rsidR="00E7704E">
        <w:rPr>
          <w:noProof/>
        </w:rPr>
        <w:t>7</w:t>
      </w:r>
      <w:r w:rsidR="004B692A">
        <w:fldChar w:fldCharType="end"/>
      </w:r>
      <w:r>
        <w:t xml:space="preserve"> Proportion of females who make up the workforce, as well as the part-time and casual employees</w:t>
      </w:r>
    </w:p>
    <w:bookmarkEnd w:id="128"/>
    <w:tbl>
      <w:tblPr>
        <w:tblStyle w:val="JSATable1"/>
        <w:tblW w:w="8902" w:type="dxa"/>
        <w:tblLook w:val="04A0" w:firstRow="1" w:lastRow="0" w:firstColumn="1" w:lastColumn="0" w:noHBand="0" w:noVBand="1"/>
        <w:tblCaption w:val="Table 2.7 "/>
        <w:tblDescription w:val="Proportion of females who make up the workforce, as well as the part-time and casual employees"/>
      </w:tblPr>
      <w:tblGrid>
        <w:gridCol w:w="3953"/>
        <w:gridCol w:w="1650"/>
        <w:gridCol w:w="1649"/>
        <w:gridCol w:w="1650"/>
      </w:tblGrid>
      <w:tr w:rsidR="00A6421D" w:rsidRPr="00512FD1" w14:paraId="10105C19" w14:textId="77777777" w:rsidTr="00E368D6">
        <w:trPr>
          <w:cnfStyle w:val="100000000000" w:firstRow="1" w:lastRow="0" w:firstColumn="0" w:lastColumn="0" w:oddVBand="0" w:evenVBand="0" w:oddHBand="0" w:evenHBand="0" w:firstRowFirstColumn="0" w:firstRowLastColumn="0" w:lastRowFirstColumn="0" w:lastRowLastColumn="0"/>
          <w:trHeight w:val="1163"/>
          <w:tblHeader/>
        </w:trPr>
        <w:tc>
          <w:tcPr>
            <w:cnfStyle w:val="001000000100" w:firstRow="0" w:lastRow="0" w:firstColumn="1" w:lastColumn="0" w:oddVBand="0" w:evenVBand="0" w:oddHBand="0" w:evenHBand="0" w:firstRowFirstColumn="1" w:firstRowLastColumn="0" w:lastRowFirstColumn="0" w:lastRowLastColumn="0"/>
            <w:tcW w:w="3969" w:type="dxa"/>
          </w:tcPr>
          <w:p w14:paraId="4CA74C5C" w14:textId="77777777" w:rsidR="00A6421D" w:rsidRPr="00512FD1" w:rsidRDefault="00A6421D" w:rsidP="00B6693B">
            <w:pPr>
              <w:spacing w:before="40" w:after="100"/>
              <w:rPr>
                <w:rFonts w:cs="Arial"/>
                <w:color w:val="auto"/>
              </w:rPr>
            </w:pPr>
          </w:p>
        </w:tc>
        <w:tc>
          <w:tcPr>
            <w:tcW w:w="1654" w:type="dxa"/>
          </w:tcPr>
          <w:p w14:paraId="492949AD" w14:textId="5D1A8FFC" w:rsidR="00A6421D" w:rsidRDefault="00A6421D" w:rsidP="00D84A3A">
            <w:pPr>
              <w:pStyle w:val="Tableheader"/>
              <w:cnfStyle w:val="100000000000" w:firstRow="1" w:lastRow="0" w:firstColumn="0" w:lastColumn="0" w:oddVBand="0" w:evenVBand="0" w:oddHBand="0" w:evenHBand="0" w:firstRowFirstColumn="0" w:firstRowLastColumn="0" w:lastRowFirstColumn="0" w:lastRowLastColumn="0"/>
            </w:pPr>
            <w:r>
              <w:t xml:space="preserve">VET </w:t>
            </w:r>
            <w:r w:rsidR="009C474E">
              <w:br/>
            </w:r>
            <w:r>
              <w:t>Workforce</w:t>
            </w:r>
          </w:p>
        </w:tc>
        <w:tc>
          <w:tcPr>
            <w:tcW w:w="1654" w:type="dxa"/>
          </w:tcPr>
          <w:p w14:paraId="4FFC4D09" w14:textId="5F12916F" w:rsidR="00A6421D" w:rsidRPr="00512FD1" w:rsidRDefault="00A6421D" w:rsidP="00D84A3A">
            <w:pPr>
              <w:pStyle w:val="Tableheader"/>
              <w:cnfStyle w:val="100000000000" w:firstRow="1" w:lastRow="0" w:firstColumn="0" w:lastColumn="0" w:oddVBand="0" w:evenVBand="0" w:oddHBand="0" w:evenHBand="0" w:firstRowFirstColumn="0" w:firstRowLastColumn="0" w:lastRowFirstColumn="0" w:lastRowLastColumn="0"/>
            </w:pPr>
            <w:r w:rsidRPr="102CB99C">
              <w:t xml:space="preserve">VET </w:t>
            </w:r>
            <w:r w:rsidR="009C474E">
              <w:br/>
            </w:r>
            <w:r>
              <w:t>Teachers</w:t>
            </w:r>
          </w:p>
        </w:tc>
        <w:tc>
          <w:tcPr>
            <w:tcW w:w="1654" w:type="dxa"/>
          </w:tcPr>
          <w:p w14:paraId="1D242E49" w14:textId="77777777" w:rsidR="00A6421D" w:rsidRPr="00512FD1" w:rsidRDefault="00A6421D" w:rsidP="00D84A3A">
            <w:pPr>
              <w:pStyle w:val="Tableheader"/>
              <w:cnfStyle w:val="100000000000" w:firstRow="1" w:lastRow="0" w:firstColumn="0" w:lastColumn="0" w:oddVBand="0" w:evenVBand="0" w:oddHBand="0" w:evenHBand="0" w:firstRowFirstColumn="0" w:firstRowLastColumn="0" w:lastRowFirstColumn="0" w:lastRowLastColumn="0"/>
            </w:pPr>
            <w:r>
              <w:t>Australian Workforce</w:t>
            </w:r>
          </w:p>
        </w:tc>
      </w:tr>
      <w:tr w:rsidR="00A6421D" w:rsidRPr="009A2DA5" w14:paraId="1417DB76" w14:textId="77777777" w:rsidTr="00E368D6">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969" w:type="dxa"/>
            <w:vAlign w:val="center"/>
          </w:tcPr>
          <w:p w14:paraId="5EA9D9B0" w14:textId="77777777" w:rsidR="00A6421D" w:rsidRPr="009A2DA5" w:rsidRDefault="00A6421D" w:rsidP="007142B3">
            <w:pPr>
              <w:pStyle w:val="Tablebodycopy"/>
            </w:pPr>
            <w:r>
              <w:t>% Female (All employees)</w:t>
            </w:r>
            <w:r w:rsidRPr="2C8D78EB">
              <w:rPr>
                <w:vertAlign w:val="superscript"/>
              </w:rPr>
              <w:t xml:space="preserve"> a</w:t>
            </w:r>
          </w:p>
        </w:tc>
        <w:tc>
          <w:tcPr>
            <w:tcW w:w="1654" w:type="dxa"/>
            <w:vAlign w:val="center"/>
          </w:tcPr>
          <w:p w14:paraId="35110E07" w14:textId="77777777" w:rsidR="00A6421D" w:rsidRPr="00522329" w:rsidRDefault="00A6421D" w:rsidP="007142B3">
            <w:pPr>
              <w:pStyle w:val="Tablebodycopy"/>
              <w:jc w:val="center"/>
              <w:cnfStyle w:val="000000100000" w:firstRow="0" w:lastRow="0" w:firstColumn="0" w:lastColumn="0" w:oddVBand="0" w:evenVBand="0" w:oddHBand="1" w:evenHBand="0" w:firstRowFirstColumn="0" w:firstRowLastColumn="0" w:lastRowFirstColumn="0" w:lastRowLastColumn="0"/>
            </w:pPr>
            <w:r w:rsidRPr="00522329">
              <w:t>57.</w:t>
            </w:r>
            <w:r>
              <w:t>2</w:t>
            </w:r>
            <w:r w:rsidRPr="00522329">
              <w:t>%</w:t>
            </w:r>
          </w:p>
        </w:tc>
        <w:tc>
          <w:tcPr>
            <w:tcW w:w="1654" w:type="dxa"/>
            <w:vAlign w:val="center"/>
          </w:tcPr>
          <w:p w14:paraId="6A53FB41" w14:textId="77777777" w:rsidR="00A6421D" w:rsidRPr="00522329" w:rsidRDefault="00A6421D" w:rsidP="007142B3">
            <w:pPr>
              <w:pStyle w:val="Tablebodycopy"/>
              <w:jc w:val="center"/>
              <w:cnfStyle w:val="000000100000" w:firstRow="0" w:lastRow="0" w:firstColumn="0" w:lastColumn="0" w:oddVBand="0" w:evenVBand="0" w:oddHBand="1" w:evenHBand="0" w:firstRowFirstColumn="0" w:firstRowLastColumn="0" w:lastRowFirstColumn="0" w:lastRowLastColumn="0"/>
            </w:pPr>
            <w:r w:rsidRPr="00522329">
              <w:t>49.5%</w:t>
            </w:r>
          </w:p>
        </w:tc>
        <w:tc>
          <w:tcPr>
            <w:tcW w:w="1654" w:type="dxa"/>
            <w:vAlign w:val="center"/>
          </w:tcPr>
          <w:p w14:paraId="32DAEF37" w14:textId="77777777" w:rsidR="00A6421D" w:rsidRPr="009A2DA5" w:rsidRDefault="00A6421D" w:rsidP="007142B3">
            <w:pPr>
              <w:pStyle w:val="Tablebodycopy"/>
              <w:jc w:val="center"/>
              <w:cnfStyle w:val="000000100000" w:firstRow="0" w:lastRow="0" w:firstColumn="0" w:lastColumn="0" w:oddVBand="0" w:evenVBand="0" w:oddHBand="1" w:evenHBand="0" w:firstRowFirstColumn="0" w:firstRowLastColumn="0" w:lastRowFirstColumn="0" w:lastRowLastColumn="0"/>
            </w:pPr>
            <w:r>
              <w:t>48.5%</w:t>
            </w:r>
          </w:p>
        </w:tc>
      </w:tr>
      <w:tr w:rsidR="00A6421D" w:rsidRPr="009A2DA5" w14:paraId="7ACAFD98" w14:textId="77777777" w:rsidTr="00207618">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969" w:type="dxa"/>
            <w:tcBorders>
              <w:bottom w:val="nil"/>
            </w:tcBorders>
            <w:vAlign w:val="center"/>
          </w:tcPr>
          <w:p w14:paraId="724B0678" w14:textId="7E988C63" w:rsidR="00A6421D" w:rsidRPr="009A2DA5" w:rsidRDefault="00A6421D" w:rsidP="007142B3">
            <w:pPr>
              <w:pStyle w:val="Tablebodycopy"/>
            </w:pPr>
            <w:r>
              <w:t>% Female (Part-time employees)</w:t>
            </w:r>
            <w:r w:rsidR="00E73E5E">
              <w:t xml:space="preserve"> </w:t>
            </w:r>
            <w:r w:rsidRPr="2C8D78EB">
              <w:rPr>
                <w:vertAlign w:val="superscript"/>
              </w:rPr>
              <w:t>a</w:t>
            </w:r>
          </w:p>
        </w:tc>
        <w:tc>
          <w:tcPr>
            <w:tcW w:w="1654" w:type="dxa"/>
            <w:tcBorders>
              <w:bottom w:val="nil"/>
            </w:tcBorders>
            <w:vAlign w:val="center"/>
          </w:tcPr>
          <w:p w14:paraId="43442A2C" w14:textId="77777777" w:rsidR="00A6421D" w:rsidRPr="00522329" w:rsidRDefault="00A6421D" w:rsidP="007142B3">
            <w:pPr>
              <w:pStyle w:val="Tablebodycopy"/>
              <w:jc w:val="center"/>
              <w:cnfStyle w:val="000000010000" w:firstRow="0" w:lastRow="0" w:firstColumn="0" w:lastColumn="0" w:oddVBand="0" w:evenVBand="0" w:oddHBand="0" w:evenHBand="1" w:firstRowFirstColumn="0" w:firstRowLastColumn="0" w:lastRowFirstColumn="0" w:lastRowLastColumn="0"/>
            </w:pPr>
            <w:r w:rsidRPr="00522329">
              <w:t>68.2%</w:t>
            </w:r>
          </w:p>
        </w:tc>
        <w:tc>
          <w:tcPr>
            <w:tcW w:w="1654" w:type="dxa"/>
            <w:tcBorders>
              <w:bottom w:val="nil"/>
            </w:tcBorders>
            <w:vAlign w:val="center"/>
          </w:tcPr>
          <w:p w14:paraId="2912A823" w14:textId="77777777" w:rsidR="00A6421D" w:rsidRPr="00522329" w:rsidRDefault="00A6421D" w:rsidP="007142B3">
            <w:pPr>
              <w:pStyle w:val="Tablebodycopy"/>
              <w:jc w:val="center"/>
              <w:cnfStyle w:val="000000010000" w:firstRow="0" w:lastRow="0" w:firstColumn="0" w:lastColumn="0" w:oddVBand="0" w:evenVBand="0" w:oddHBand="0" w:evenHBand="1" w:firstRowFirstColumn="0" w:firstRowLastColumn="0" w:lastRowFirstColumn="0" w:lastRowLastColumn="0"/>
            </w:pPr>
            <w:r w:rsidRPr="00522329">
              <w:t>63.4%</w:t>
            </w:r>
          </w:p>
        </w:tc>
        <w:tc>
          <w:tcPr>
            <w:tcW w:w="1654" w:type="dxa"/>
            <w:tcBorders>
              <w:bottom w:val="nil"/>
            </w:tcBorders>
            <w:vAlign w:val="center"/>
          </w:tcPr>
          <w:p w14:paraId="4BC90B80" w14:textId="77777777" w:rsidR="00A6421D" w:rsidRPr="009A2DA5" w:rsidRDefault="00A6421D" w:rsidP="007142B3">
            <w:pPr>
              <w:pStyle w:val="Tablebodycopy"/>
              <w:jc w:val="center"/>
              <w:cnfStyle w:val="000000010000" w:firstRow="0" w:lastRow="0" w:firstColumn="0" w:lastColumn="0" w:oddVBand="0" w:evenVBand="0" w:oddHBand="0" w:evenHBand="1" w:firstRowFirstColumn="0" w:firstRowLastColumn="0" w:lastRowFirstColumn="0" w:lastRowLastColumn="0"/>
            </w:pPr>
            <w:r>
              <w:t>64.7%</w:t>
            </w:r>
          </w:p>
        </w:tc>
      </w:tr>
      <w:tr w:rsidR="00A6421D" w:rsidRPr="009A2DA5" w14:paraId="74E9AAB5" w14:textId="77777777" w:rsidTr="00207618">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969" w:type="dxa"/>
            <w:tcBorders>
              <w:bottom w:val="single" w:sz="8" w:space="0" w:color="2F005F"/>
            </w:tcBorders>
            <w:vAlign w:val="center"/>
          </w:tcPr>
          <w:p w14:paraId="586FB717" w14:textId="3D4EB11E" w:rsidR="00A6421D" w:rsidRPr="009A2DA5" w:rsidRDefault="00A6421D" w:rsidP="007142B3">
            <w:pPr>
              <w:pStyle w:val="Tablebodycopy"/>
            </w:pPr>
            <w:r>
              <w:t>% Female (Casual employees)</w:t>
            </w:r>
            <w:r w:rsidR="00E73E5E">
              <w:t xml:space="preserve"> </w:t>
            </w:r>
            <w:r w:rsidRPr="2C8D78EB">
              <w:rPr>
                <w:vertAlign w:val="superscript"/>
              </w:rPr>
              <w:t>b</w:t>
            </w:r>
          </w:p>
        </w:tc>
        <w:tc>
          <w:tcPr>
            <w:tcW w:w="1654" w:type="dxa"/>
            <w:tcBorders>
              <w:bottom w:val="single" w:sz="8" w:space="0" w:color="2F005F"/>
            </w:tcBorders>
            <w:vAlign w:val="center"/>
          </w:tcPr>
          <w:p w14:paraId="50CFC565" w14:textId="77777777" w:rsidR="00A6421D" w:rsidRDefault="00A6421D" w:rsidP="007142B3">
            <w:pPr>
              <w:pStyle w:val="Tablebodycopy"/>
              <w:jc w:val="center"/>
              <w:cnfStyle w:val="000000100000" w:firstRow="0" w:lastRow="0" w:firstColumn="0" w:lastColumn="0" w:oddVBand="0" w:evenVBand="0" w:oddHBand="1" w:evenHBand="0" w:firstRowFirstColumn="0" w:firstRowLastColumn="0" w:lastRowFirstColumn="0" w:lastRowLastColumn="0"/>
            </w:pPr>
            <w:r>
              <w:t>-</w:t>
            </w:r>
          </w:p>
        </w:tc>
        <w:tc>
          <w:tcPr>
            <w:tcW w:w="1654" w:type="dxa"/>
            <w:tcBorders>
              <w:bottom w:val="single" w:sz="8" w:space="0" w:color="2F005F"/>
            </w:tcBorders>
            <w:vAlign w:val="center"/>
          </w:tcPr>
          <w:p w14:paraId="4DD49DF0" w14:textId="77777777" w:rsidR="00A6421D" w:rsidRDefault="00A6421D" w:rsidP="007142B3">
            <w:pPr>
              <w:pStyle w:val="Tablebodycopy"/>
              <w:jc w:val="center"/>
              <w:cnfStyle w:val="000000100000" w:firstRow="0" w:lastRow="0" w:firstColumn="0" w:lastColumn="0" w:oddVBand="0" w:evenVBand="0" w:oddHBand="1" w:evenHBand="0" w:firstRowFirstColumn="0" w:firstRowLastColumn="0" w:lastRowFirstColumn="0" w:lastRowLastColumn="0"/>
            </w:pPr>
            <w:r>
              <w:t>55.2%</w:t>
            </w:r>
          </w:p>
        </w:tc>
        <w:tc>
          <w:tcPr>
            <w:tcW w:w="1654" w:type="dxa"/>
            <w:tcBorders>
              <w:bottom w:val="single" w:sz="8" w:space="0" w:color="2F005F"/>
            </w:tcBorders>
            <w:vAlign w:val="center"/>
          </w:tcPr>
          <w:p w14:paraId="70BBEFC1" w14:textId="77777777" w:rsidR="00A6421D" w:rsidRPr="009A2DA5" w:rsidRDefault="00A6421D" w:rsidP="007142B3">
            <w:pPr>
              <w:pStyle w:val="Tablebodycopy"/>
              <w:jc w:val="center"/>
              <w:cnfStyle w:val="000000100000" w:firstRow="0" w:lastRow="0" w:firstColumn="0" w:lastColumn="0" w:oddVBand="0" w:evenVBand="0" w:oddHBand="1" w:evenHBand="0" w:firstRowFirstColumn="0" w:firstRowLastColumn="0" w:lastRowFirstColumn="0" w:lastRowLastColumn="0"/>
            </w:pPr>
            <w:r>
              <w:t>57.4%</w:t>
            </w:r>
          </w:p>
        </w:tc>
      </w:tr>
    </w:tbl>
    <w:p w14:paraId="4346DBAA" w14:textId="5238383A" w:rsidR="00A6421D" w:rsidRPr="00930724" w:rsidRDefault="00A6421D" w:rsidP="00E368D6">
      <w:pPr>
        <w:pStyle w:val="Source"/>
        <w:spacing w:after="360"/>
        <w:rPr>
          <w:b/>
          <w:bCs/>
        </w:rPr>
      </w:pPr>
      <w:r>
        <w:t xml:space="preserve">Sources: (a) ABS (2021) </w:t>
      </w:r>
      <w:r w:rsidR="00B14765">
        <w:t>Labour Force Status (LFSP) by</w:t>
      </w:r>
      <w:r w:rsidR="00B14765" w:rsidRPr="53CEDE8B">
        <w:t xml:space="preserve"> </w:t>
      </w:r>
      <w:r w:rsidR="00B14765">
        <w:t>Occupation (OCCP)</w:t>
      </w:r>
      <w:r w:rsidR="00963967">
        <w:t>,</w:t>
      </w:r>
      <w:r w:rsidR="00446751">
        <w:t xml:space="preserve"> </w:t>
      </w:r>
      <w:r w:rsidR="00B14765">
        <w:t>Industry of Employment (INDP)</w:t>
      </w:r>
      <w:r>
        <w:t xml:space="preserve"> </w:t>
      </w:r>
      <w:r w:rsidR="00963967">
        <w:t xml:space="preserve">and Sex (SEXP), </w:t>
      </w:r>
      <w:r>
        <w:t>[Census TableBuilder], accessed 25 March 2024, (b) ABS (2021)</w:t>
      </w:r>
      <w:r w:rsidR="00B73AB9">
        <w:t xml:space="preserve"> </w:t>
      </w:r>
      <w:r w:rsidR="00036B92">
        <w:t>Paid leave entitlement and by Sex</w:t>
      </w:r>
      <w:r w:rsidR="00895C5E">
        <w:t xml:space="preserve"> and Occupation</w:t>
      </w:r>
      <w:r>
        <w:t xml:space="preserve"> </w:t>
      </w:r>
      <w:r w:rsidR="00B73AB9">
        <w:t>[</w:t>
      </w:r>
      <w:r>
        <w:t>Employee Earnings and Hours TableBuilder]</w:t>
      </w:r>
      <w:r w:rsidR="00B73AB9">
        <w:t>,</w:t>
      </w:r>
      <w:r>
        <w:t xml:space="preserve"> accessed </w:t>
      </w:r>
      <w:r w:rsidR="007142B3">
        <w:br/>
      </w:r>
      <w:r>
        <w:t>25 March 2024</w:t>
      </w:r>
      <w:r w:rsidR="00E368D6">
        <w:t>.</w:t>
      </w:r>
    </w:p>
    <w:p w14:paraId="1065D09E" w14:textId="1AACDDFD" w:rsidR="00A6421D" w:rsidRPr="00AD7DBE" w:rsidRDefault="00A6421D" w:rsidP="00A6421D">
      <w:pPr>
        <w:pStyle w:val="Heading3"/>
      </w:pPr>
      <w:bookmarkStart w:id="129" w:name="_Toc1664496511"/>
      <w:bookmarkStart w:id="130" w:name="_Toc115720646"/>
      <w:r>
        <w:t xml:space="preserve">Multiple </w:t>
      </w:r>
      <w:r w:rsidR="00464E76">
        <w:t>j</w:t>
      </w:r>
      <w:r>
        <w:t>obs</w:t>
      </w:r>
      <w:bookmarkEnd w:id="129"/>
      <w:bookmarkEnd w:id="130"/>
    </w:p>
    <w:p w14:paraId="098B6BA7" w14:textId="77777777" w:rsidR="00E73E5E" w:rsidRPr="00E73E5E" w:rsidRDefault="00E73E5E" w:rsidP="00E73E5E">
      <w:pPr>
        <w:pStyle w:val="Bodycopy"/>
      </w:pPr>
      <w:r w:rsidRPr="00E73E5E">
        <w:t xml:space="preserve">PLIDA data does not support the widely held belief in the sector that multiple job holding is more common among VET teachers than the workforce overall. The PLIDA data show that, in 2021/22, 31.5% of VET teachers declared income from multiple jobs, a somewhat higher proportion than university lecturers (30.8%) but lower than either university tutors (36.5%) or secondary school teachers (32.3%). </w:t>
      </w:r>
    </w:p>
    <w:p w14:paraId="1942263F" w14:textId="03811190" w:rsidR="00A6421D" w:rsidRPr="00E73E5E" w:rsidRDefault="00A6421D" w:rsidP="00E73E5E">
      <w:pPr>
        <w:pStyle w:val="Bodycopy"/>
      </w:pPr>
      <w:r w:rsidRPr="00E73E5E">
        <w:t xml:space="preserve">At 31.5%, </w:t>
      </w:r>
      <w:r w:rsidR="00CC6D50" w:rsidRPr="00E73E5E">
        <w:t>VET teachers</w:t>
      </w:r>
      <w:r w:rsidRPr="00E73E5E">
        <w:t xml:space="preserve"> are </w:t>
      </w:r>
      <w:r w:rsidR="007D69EC" w:rsidRPr="00E73E5E">
        <w:t xml:space="preserve">almost as </w:t>
      </w:r>
      <w:r w:rsidRPr="00E73E5E">
        <w:t xml:space="preserve">likely to declare more than one income source than the median across all occupations (32.8%). Workers in 64.0% of all occupations are more likely than </w:t>
      </w:r>
      <w:r w:rsidR="00CC6D50" w:rsidRPr="00E73E5E">
        <w:t>VET teachers</w:t>
      </w:r>
      <w:r w:rsidRPr="00E73E5E">
        <w:t xml:space="preserve"> to declare more than one income source. The proportion of </w:t>
      </w:r>
      <w:r w:rsidR="00CC6D50" w:rsidRPr="00E73E5E">
        <w:t>VET teachers</w:t>
      </w:r>
      <w:r w:rsidRPr="00E73E5E">
        <w:t xml:space="preserve"> who declare more than one income source has fallen over the last decade, from 33.2% in FY2012/13. </w:t>
      </w:r>
    </w:p>
    <w:p w14:paraId="31C3980D" w14:textId="0D4ED071" w:rsidR="005B5425" w:rsidRPr="00E73E5E" w:rsidRDefault="00E73E5E" w:rsidP="00E73E5E">
      <w:pPr>
        <w:pStyle w:val="Bodycopy"/>
      </w:pPr>
      <w:r w:rsidRPr="00E73E5E">
        <w:t>Secondary school teachers were also more likely to declare more than one income source in FY2012/13 (37.7%). Other tertiary teachers were less likely to declare multiple income sources in FY2012/13 – university lecturers 29.1% and university tutors (31.3%) – than in FY2021/22. One limitation of this PLIDA data is that it will only record someone as a VET teacher if that is their highest earning occupation in that year.</w:t>
      </w:r>
    </w:p>
    <w:p w14:paraId="193C2CD9" w14:textId="77777777" w:rsidR="00E368D6" w:rsidRDefault="00E368D6">
      <w:pPr>
        <w:rPr>
          <w:rFonts w:eastAsiaTheme="majorEastAsia" w:cstheme="majorBidi"/>
          <w:b/>
          <w:color w:val="4B0885"/>
          <w:sz w:val="26"/>
          <w:szCs w:val="24"/>
        </w:rPr>
      </w:pPr>
      <w:bookmarkStart w:id="131" w:name="_Toc804961169"/>
      <w:bookmarkStart w:id="132" w:name="_Toc726853874"/>
      <w:r>
        <w:br w:type="page"/>
      </w:r>
    </w:p>
    <w:p w14:paraId="4283F40D" w14:textId="07E5E2D8" w:rsidR="00A6421D" w:rsidRPr="00AD7DBE" w:rsidRDefault="00A6421D" w:rsidP="00A6421D">
      <w:pPr>
        <w:pStyle w:val="Heading3"/>
        <w:rPr>
          <w:rFonts w:cs="Arial"/>
          <w:b w:val="0"/>
          <w:color w:val="012749"/>
        </w:rPr>
      </w:pPr>
      <w:r>
        <w:lastRenderedPageBreak/>
        <w:t>Pay</w:t>
      </w:r>
      <w:bookmarkEnd w:id="131"/>
      <w:bookmarkEnd w:id="132"/>
      <w:r>
        <w:t xml:space="preserve"> </w:t>
      </w:r>
    </w:p>
    <w:p w14:paraId="0FD6E142" w14:textId="1AEB4B7B" w:rsidR="004B692A" w:rsidRDefault="00A6421D" w:rsidP="009548B1">
      <w:pPr>
        <w:pStyle w:val="Bodycopy"/>
      </w:pPr>
      <w:r>
        <w:t xml:space="preserve">On different indicators (average income and median earnings) the VET workforce is generally paid more than the Australian workforce but less than their counterparts in other education industry sectors and/or other teaching occupations. The average annual income for the VET workforce is 8.1% higher than the Australian </w:t>
      </w:r>
      <w:r w:rsidR="001D61E8">
        <w:t>workforce</w:t>
      </w:r>
      <w:r>
        <w:t xml:space="preserve"> average at $81,245 compared to $74,679</w:t>
      </w:r>
      <w:r w:rsidR="009D0C4D">
        <w:t xml:space="preserve">, see </w:t>
      </w:r>
      <w:hyperlink w:anchor="Table_2_8" w:history="1">
        <w:r w:rsidR="009D0C4D" w:rsidRPr="00334993">
          <w:rPr>
            <w:rStyle w:val="Hyperlink"/>
          </w:rPr>
          <w:t>Table 2.8</w:t>
        </w:r>
      </w:hyperlink>
      <w:r>
        <w:t>.</w:t>
      </w:r>
    </w:p>
    <w:p w14:paraId="4FEB541E" w14:textId="44709B59" w:rsidR="00A6421D" w:rsidDel="00090BD2" w:rsidRDefault="00A6421D" w:rsidP="009548B1">
      <w:pPr>
        <w:pStyle w:val="Bodycopy"/>
        <w:rPr>
          <w:vertAlign w:val="superscript"/>
        </w:rPr>
      </w:pPr>
      <w:r>
        <w:t xml:space="preserve">The </w:t>
      </w:r>
      <w:r w:rsidR="00CB29F6">
        <w:t>Teach, Train, and Assess</w:t>
      </w:r>
      <w:r>
        <w:t xml:space="preserve"> segment average annual income is $</w:t>
      </w:r>
      <w:r w:rsidR="00F966B2">
        <w:t xml:space="preserve">79,546 </w:t>
      </w:r>
      <w:r>
        <w:t xml:space="preserve">which is still higher than the average Australian workforce annual income </w:t>
      </w:r>
      <w:r w:rsidR="00EA3093">
        <w:t>but</w:t>
      </w:r>
      <w:r w:rsidR="009D3CB0">
        <w:t xml:space="preserve"> </w:t>
      </w:r>
      <w:r w:rsidR="00963AB2">
        <w:t>slightly lower than</w:t>
      </w:r>
      <w:r>
        <w:t xml:space="preserve"> Vocational Education Teachers (from a narrower ANZSCO classification) at $79,</w:t>
      </w:r>
      <w:r w:rsidR="009D3CB0">
        <w:t>859</w:t>
      </w:r>
      <w:r>
        <w:t>. This also aligns closely with NCVER student outcomes data which indicates that the median salary in the first full-time job upon completion of a Certificate IV in TAE is approximately $79,000.</w:t>
      </w:r>
      <w:r w:rsidRPr="7AD33374">
        <w:rPr>
          <w:rFonts w:asciiTheme="minorHAnsi" w:eastAsiaTheme="minorEastAsia" w:hAnsiTheme="minorHAnsi"/>
          <w:vertAlign w:val="superscript"/>
        </w:rPr>
        <w:endnoteReference w:id="25"/>
      </w:r>
      <w:r w:rsidRPr="00B842B5">
        <w:rPr>
          <w:vertAlign w:val="superscript"/>
        </w:rPr>
        <w:t xml:space="preserve"> </w:t>
      </w:r>
    </w:p>
    <w:p w14:paraId="6DB8AD7B" w14:textId="5A7E4D6E" w:rsidR="00662CE5" w:rsidRDefault="00A6421D" w:rsidP="009548B1">
      <w:pPr>
        <w:pStyle w:val="Bodycopy"/>
      </w:pPr>
      <w:r>
        <w:t xml:space="preserve">The Leadership segment has the highest average annual income at $111,810, followed by Quality Assurance and Compliance and Curriculum and Learning Design at $90,685 and $85,154 respectively. The Administration and Operations segment is relatively close to the income of </w:t>
      </w:r>
      <w:r w:rsidR="00CB29F6">
        <w:t>Teach, Train, and Assess</w:t>
      </w:r>
      <w:r>
        <w:t xml:space="preserve"> at average annual income of $75,726, with the Learning Support segment considerably lower paid at average annual income of $66,185. </w:t>
      </w:r>
    </w:p>
    <w:p w14:paraId="1CDCED7D" w14:textId="7A8D3516" w:rsidR="004B692A" w:rsidRDefault="004B692A" w:rsidP="004B692A">
      <w:pPr>
        <w:pStyle w:val="ChartandTablelabel"/>
      </w:pPr>
      <w:bookmarkStart w:id="133" w:name="Table_2_8"/>
      <w:r>
        <w:t xml:space="preserve">Table </w:t>
      </w:r>
      <w:r>
        <w:fldChar w:fldCharType="begin"/>
      </w:r>
      <w:r>
        <w:instrText xml:space="preserve"> STYLEREF 1 \s </w:instrText>
      </w:r>
      <w:r>
        <w:fldChar w:fldCharType="separate"/>
      </w:r>
      <w:r w:rsidR="00E7704E">
        <w:rPr>
          <w:noProof/>
        </w:rPr>
        <w:t>2</w:t>
      </w:r>
      <w:r>
        <w:fldChar w:fldCharType="end"/>
      </w:r>
      <w:r>
        <w:t>.</w:t>
      </w:r>
      <w:r>
        <w:fldChar w:fldCharType="begin"/>
      </w:r>
      <w:r>
        <w:instrText xml:space="preserve"> SEQ Table \* ARABIC \s 1 </w:instrText>
      </w:r>
      <w:r>
        <w:fldChar w:fldCharType="separate"/>
      </w:r>
      <w:r w:rsidR="00E7704E">
        <w:rPr>
          <w:noProof/>
        </w:rPr>
        <w:t>8</w:t>
      </w:r>
      <w:r>
        <w:fldChar w:fldCharType="end"/>
      </w:r>
      <w:r>
        <w:t xml:space="preserve"> </w:t>
      </w:r>
      <w:r w:rsidRPr="006C2FD7">
        <w:t xml:space="preserve">Average annual income by </w:t>
      </w:r>
      <w:r>
        <w:t>w</w:t>
      </w:r>
      <w:r w:rsidRPr="006C2FD7">
        <w:t>orkforce segments</w:t>
      </w:r>
    </w:p>
    <w:bookmarkEnd w:id="133"/>
    <w:tbl>
      <w:tblPr>
        <w:tblStyle w:val="JSATable1"/>
        <w:tblW w:w="8902" w:type="dxa"/>
        <w:tblCellMar>
          <w:left w:w="170" w:type="dxa"/>
        </w:tblCellMar>
        <w:tblLook w:val="04A0" w:firstRow="1" w:lastRow="0" w:firstColumn="1" w:lastColumn="0" w:noHBand="0" w:noVBand="1"/>
        <w:tblDescription w:val="Average annual income by workforce segments"/>
      </w:tblPr>
      <w:tblGrid>
        <w:gridCol w:w="4395"/>
        <w:gridCol w:w="4498"/>
        <w:gridCol w:w="9"/>
      </w:tblGrid>
      <w:tr w:rsidR="00AA0EA2" w14:paraId="04862253" w14:textId="77777777" w:rsidTr="00212D91">
        <w:trPr>
          <w:cnfStyle w:val="100000000000" w:firstRow="1" w:lastRow="0" w:firstColumn="0" w:lastColumn="0" w:oddVBand="0" w:evenVBand="0" w:oddHBand="0" w:evenHBand="0" w:firstRowFirstColumn="0" w:firstRowLastColumn="0" w:lastRowFirstColumn="0" w:lastRowLastColumn="0"/>
          <w:trHeight w:val="1020"/>
          <w:tblHeader/>
        </w:trPr>
        <w:tc>
          <w:tcPr>
            <w:cnfStyle w:val="001000000100" w:firstRow="0" w:lastRow="0" w:firstColumn="1" w:lastColumn="0" w:oddVBand="0" w:evenVBand="0" w:oddHBand="0" w:evenHBand="0" w:firstRowFirstColumn="1" w:firstRowLastColumn="0" w:lastRowFirstColumn="0" w:lastRowLastColumn="0"/>
            <w:tcW w:w="4395" w:type="dxa"/>
          </w:tcPr>
          <w:p w14:paraId="50AC1F49" w14:textId="77777777" w:rsidR="00AA0EA2" w:rsidRPr="00DC68AF" w:rsidRDefault="00AA0EA2" w:rsidP="00580A3B">
            <w:pPr>
              <w:pStyle w:val="Tableheader"/>
              <w:ind w:left="117" w:firstLine="114"/>
              <w:jc w:val="left"/>
            </w:pPr>
          </w:p>
        </w:tc>
        <w:tc>
          <w:tcPr>
            <w:tcW w:w="4507" w:type="dxa"/>
            <w:gridSpan w:val="2"/>
          </w:tcPr>
          <w:p w14:paraId="7639051D" w14:textId="77777777" w:rsidR="00AA0EA2" w:rsidRPr="00DC68AF" w:rsidRDefault="00AA0EA2" w:rsidP="00B42612">
            <w:pPr>
              <w:pStyle w:val="Tableheader"/>
              <w:cnfStyle w:val="100000000000" w:firstRow="1" w:lastRow="0" w:firstColumn="0" w:lastColumn="0" w:oddVBand="0" w:evenVBand="0" w:oddHBand="0" w:evenHBand="0" w:firstRowFirstColumn="0" w:firstRowLastColumn="0" w:lastRowFirstColumn="0" w:lastRowLastColumn="0"/>
            </w:pPr>
            <w:r w:rsidRPr="077B2C6E">
              <w:t xml:space="preserve">Average Annual </w:t>
            </w:r>
            <w:r>
              <w:t>Income</w:t>
            </w:r>
          </w:p>
        </w:tc>
      </w:tr>
      <w:tr w:rsidR="00A6421D" w14:paraId="39ABB038" w14:textId="77777777" w:rsidTr="003605D8">
        <w:trPr>
          <w:gridAfter w:val="1"/>
          <w:cnfStyle w:val="000000100000" w:firstRow="0" w:lastRow="0" w:firstColumn="0" w:lastColumn="0" w:oddVBand="0" w:evenVBand="0" w:oddHBand="1" w:evenHBand="0" w:firstRowFirstColumn="0" w:firstRowLastColumn="0" w:lastRowFirstColumn="0" w:lastRowLastColumn="0"/>
          <w:wAfter w:w="9" w:type="dxa"/>
          <w:trHeight w:val="567"/>
        </w:trPr>
        <w:tc>
          <w:tcPr>
            <w:cnfStyle w:val="001000000000" w:firstRow="0" w:lastRow="0" w:firstColumn="1" w:lastColumn="0" w:oddVBand="0" w:evenVBand="0" w:oddHBand="0" w:evenHBand="0" w:firstRowFirstColumn="0" w:firstRowLastColumn="0" w:lastRowFirstColumn="0" w:lastRowLastColumn="0"/>
            <w:tcW w:w="4395" w:type="dxa"/>
            <w:vAlign w:val="center"/>
          </w:tcPr>
          <w:p w14:paraId="28DF7623" w14:textId="0745FEF9" w:rsidR="00A6421D" w:rsidRPr="00121C43" w:rsidRDefault="00A6421D" w:rsidP="003605D8">
            <w:pPr>
              <w:pStyle w:val="Tablebodycopy"/>
              <w:spacing w:before="0" w:after="0"/>
              <w:ind w:left="108" w:hanging="53"/>
              <w:rPr>
                <w:b/>
              </w:rPr>
            </w:pPr>
            <w:r w:rsidRPr="7306D1EA">
              <w:rPr>
                <w:b/>
              </w:rPr>
              <w:t>All VET Workforce</w:t>
            </w:r>
          </w:p>
        </w:tc>
        <w:tc>
          <w:tcPr>
            <w:tcW w:w="4498" w:type="dxa"/>
            <w:vAlign w:val="center"/>
          </w:tcPr>
          <w:p w14:paraId="1FC3E818" w14:textId="77777777" w:rsidR="00A6421D" w:rsidRDefault="00A6421D" w:rsidP="003605D8">
            <w:pPr>
              <w:pStyle w:val="Tablebodycopy"/>
              <w:spacing w:before="0" w:after="0"/>
              <w:ind w:left="108"/>
              <w:jc w:val="center"/>
              <w:cnfStyle w:val="000000100000" w:firstRow="0" w:lastRow="0" w:firstColumn="0" w:lastColumn="0" w:oddVBand="0" w:evenVBand="0" w:oddHBand="1" w:evenHBand="0" w:firstRowFirstColumn="0" w:firstRowLastColumn="0" w:lastRowFirstColumn="0" w:lastRowLastColumn="0"/>
            </w:pPr>
            <w:r w:rsidRPr="008547C7">
              <w:t>$81,</w:t>
            </w:r>
            <w:r>
              <w:t>245</w:t>
            </w:r>
          </w:p>
        </w:tc>
      </w:tr>
      <w:tr w:rsidR="00A6421D" w14:paraId="51015C69" w14:textId="77777777" w:rsidTr="003605D8">
        <w:trPr>
          <w:gridAfter w:val="1"/>
          <w:cnfStyle w:val="000000010000" w:firstRow="0" w:lastRow="0" w:firstColumn="0" w:lastColumn="0" w:oddVBand="0" w:evenVBand="0" w:oddHBand="0" w:evenHBand="1" w:firstRowFirstColumn="0" w:firstRowLastColumn="0" w:lastRowFirstColumn="0" w:lastRowLastColumn="0"/>
          <w:wAfter w:w="9" w:type="dxa"/>
          <w:trHeight w:val="567"/>
        </w:trPr>
        <w:tc>
          <w:tcPr>
            <w:cnfStyle w:val="001000000000" w:firstRow="0" w:lastRow="0" w:firstColumn="1" w:lastColumn="0" w:oddVBand="0" w:evenVBand="0" w:oddHBand="0" w:evenHBand="0" w:firstRowFirstColumn="0" w:firstRowLastColumn="0" w:lastRowFirstColumn="0" w:lastRowLastColumn="0"/>
            <w:tcW w:w="4395" w:type="dxa"/>
            <w:vAlign w:val="center"/>
          </w:tcPr>
          <w:p w14:paraId="0A942379" w14:textId="1218363F" w:rsidR="00A6421D" w:rsidRDefault="00CB29F6" w:rsidP="003605D8">
            <w:pPr>
              <w:pStyle w:val="Tablebodycopy"/>
              <w:spacing w:before="0" w:after="0"/>
              <w:ind w:left="108" w:hanging="53"/>
            </w:pPr>
            <w:r>
              <w:t>Teach, Train, and Assess</w:t>
            </w:r>
          </w:p>
        </w:tc>
        <w:tc>
          <w:tcPr>
            <w:tcW w:w="4498" w:type="dxa"/>
            <w:vAlign w:val="center"/>
          </w:tcPr>
          <w:p w14:paraId="7021853D" w14:textId="77777777" w:rsidR="00A6421D" w:rsidRDefault="00A6421D" w:rsidP="003605D8">
            <w:pPr>
              <w:pStyle w:val="Tablebodycopy"/>
              <w:spacing w:before="0" w:after="0"/>
              <w:ind w:left="108"/>
              <w:jc w:val="center"/>
              <w:cnfStyle w:val="000000010000" w:firstRow="0" w:lastRow="0" w:firstColumn="0" w:lastColumn="0" w:oddVBand="0" w:evenVBand="0" w:oddHBand="0" w:evenHBand="1" w:firstRowFirstColumn="0" w:firstRowLastColumn="0" w:lastRowFirstColumn="0" w:lastRowLastColumn="0"/>
            </w:pPr>
            <w:r>
              <w:t>$79,546</w:t>
            </w:r>
          </w:p>
        </w:tc>
      </w:tr>
      <w:tr w:rsidR="00A6421D" w14:paraId="38D4AEAD" w14:textId="77777777" w:rsidTr="003605D8">
        <w:trPr>
          <w:gridAfter w:val="1"/>
          <w:cnfStyle w:val="000000100000" w:firstRow="0" w:lastRow="0" w:firstColumn="0" w:lastColumn="0" w:oddVBand="0" w:evenVBand="0" w:oddHBand="1" w:evenHBand="0" w:firstRowFirstColumn="0" w:firstRowLastColumn="0" w:lastRowFirstColumn="0" w:lastRowLastColumn="0"/>
          <w:wAfter w:w="9" w:type="dxa"/>
          <w:trHeight w:val="567"/>
        </w:trPr>
        <w:tc>
          <w:tcPr>
            <w:cnfStyle w:val="001000000000" w:firstRow="0" w:lastRow="0" w:firstColumn="1" w:lastColumn="0" w:oddVBand="0" w:evenVBand="0" w:oddHBand="0" w:evenHBand="0" w:firstRowFirstColumn="0" w:firstRowLastColumn="0" w:lastRowFirstColumn="0" w:lastRowLastColumn="0"/>
            <w:tcW w:w="4395" w:type="dxa"/>
            <w:vAlign w:val="center"/>
          </w:tcPr>
          <w:p w14:paraId="3C430DAC" w14:textId="07AFFA36" w:rsidR="00A6421D" w:rsidRDefault="00A6421D" w:rsidP="003605D8">
            <w:pPr>
              <w:pStyle w:val="Tablebodycopy"/>
              <w:spacing w:before="0" w:after="0"/>
              <w:ind w:left="108" w:hanging="53"/>
            </w:pPr>
            <w:r>
              <w:t>Curriculum and Learning Design</w:t>
            </w:r>
          </w:p>
        </w:tc>
        <w:tc>
          <w:tcPr>
            <w:tcW w:w="4498" w:type="dxa"/>
            <w:vAlign w:val="center"/>
          </w:tcPr>
          <w:p w14:paraId="73705E0B" w14:textId="77777777" w:rsidR="00A6421D" w:rsidRDefault="00A6421D" w:rsidP="003605D8">
            <w:pPr>
              <w:pStyle w:val="Tablebodycopy"/>
              <w:spacing w:before="0" w:after="0"/>
              <w:ind w:left="108"/>
              <w:jc w:val="center"/>
              <w:cnfStyle w:val="000000100000" w:firstRow="0" w:lastRow="0" w:firstColumn="0" w:lastColumn="0" w:oddVBand="0" w:evenVBand="0" w:oddHBand="1" w:evenHBand="0" w:firstRowFirstColumn="0" w:firstRowLastColumn="0" w:lastRowFirstColumn="0" w:lastRowLastColumn="0"/>
            </w:pPr>
            <w:r>
              <w:t>$85,154</w:t>
            </w:r>
          </w:p>
        </w:tc>
      </w:tr>
      <w:tr w:rsidR="00A6421D" w14:paraId="3EB90A99" w14:textId="77777777" w:rsidTr="003605D8">
        <w:trPr>
          <w:gridAfter w:val="1"/>
          <w:cnfStyle w:val="000000010000" w:firstRow="0" w:lastRow="0" w:firstColumn="0" w:lastColumn="0" w:oddVBand="0" w:evenVBand="0" w:oddHBand="0" w:evenHBand="1" w:firstRowFirstColumn="0" w:firstRowLastColumn="0" w:lastRowFirstColumn="0" w:lastRowLastColumn="0"/>
          <w:wAfter w:w="9" w:type="dxa"/>
          <w:trHeight w:val="567"/>
        </w:trPr>
        <w:tc>
          <w:tcPr>
            <w:cnfStyle w:val="001000000000" w:firstRow="0" w:lastRow="0" w:firstColumn="1" w:lastColumn="0" w:oddVBand="0" w:evenVBand="0" w:oddHBand="0" w:evenHBand="0" w:firstRowFirstColumn="0" w:firstRowLastColumn="0" w:lastRowFirstColumn="0" w:lastRowLastColumn="0"/>
            <w:tcW w:w="4395" w:type="dxa"/>
            <w:vAlign w:val="center"/>
          </w:tcPr>
          <w:p w14:paraId="523E053A" w14:textId="77777777" w:rsidR="00A6421D" w:rsidRDefault="00A6421D" w:rsidP="003605D8">
            <w:pPr>
              <w:pStyle w:val="Tablebodycopy"/>
              <w:spacing w:before="0" w:after="0"/>
              <w:ind w:left="108" w:hanging="53"/>
            </w:pPr>
            <w:r>
              <w:t>Learning Support</w:t>
            </w:r>
          </w:p>
        </w:tc>
        <w:tc>
          <w:tcPr>
            <w:tcW w:w="4498" w:type="dxa"/>
            <w:vAlign w:val="center"/>
          </w:tcPr>
          <w:p w14:paraId="305B6EDE" w14:textId="77777777" w:rsidR="00A6421D" w:rsidRDefault="00A6421D" w:rsidP="003605D8">
            <w:pPr>
              <w:pStyle w:val="Tablebodycopy"/>
              <w:spacing w:before="0" w:after="0"/>
              <w:ind w:left="108"/>
              <w:jc w:val="center"/>
              <w:cnfStyle w:val="000000010000" w:firstRow="0" w:lastRow="0" w:firstColumn="0" w:lastColumn="0" w:oddVBand="0" w:evenVBand="0" w:oddHBand="0" w:evenHBand="1" w:firstRowFirstColumn="0" w:firstRowLastColumn="0" w:lastRowFirstColumn="0" w:lastRowLastColumn="0"/>
            </w:pPr>
            <w:r>
              <w:t>$66,185</w:t>
            </w:r>
          </w:p>
        </w:tc>
      </w:tr>
      <w:tr w:rsidR="00A6421D" w14:paraId="3379EF47" w14:textId="77777777" w:rsidTr="003605D8">
        <w:trPr>
          <w:gridAfter w:val="1"/>
          <w:cnfStyle w:val="000000100000" w:firstRow="0" w:lastRow="0" w:firstColumn="0" w:lastColumn="0" w:oddVBand="0" w:evenVBand="0" w:oddHBand="1" w:evenHBand="0" w:firstRowFirstColumn="0" w:firstRowLastColumn="0" w:lastRowFirstColumn="0" w:lastRowLastColumn="0"/>
          <w:wAfter w:w="9" w:type="dxa"/>
          <w:trHeight w:val="567"/>
        </w:trPr>
        <w:tc>
          <w:tcPr>
            <w:cnfStyle w:val="001000000000" w:firstRow="0" w:lastRow="0" w:firstColumn="1" w:lastColumn="0" w:oddVBand="0" w:evenVBand="0" w:oddHBand="0" w:evenHBand="0" w:firstRowFirstColumn="0" w:firstRowLastColumn="0" w:lastRowFirstColumn="0" w:lastRowLastColumn="0"/>
            <w:tcW w:w="4395" w:type="dxa"/>
            <w:vAlign w:val="center"/>
          </w:tcPr>
          <w:p w14:paraId="5BD86227" w14:textId="2D0D33EB" w:rsidR="00A6421D" w:rsidRDefault="00A6421D" w:rsidP="003605D8">
            <w:pPr>
              <w:pStyle w:val="Tablebodycopy"/>
              <w:spacing w:before="0" w:after="0"/>
              <w:ind w:left="108" w:hanging="53"/>
            </w:pPr>
            <w:r>
              <w:t>Quality and Compliance</w:t>
            </w:r>
          </w:p>
        </w:tc>
        <w:tc>
          <w:tcPr>
            <w:tcW w:w="4498" w:type="dxa"/>
            <w:vAlign w:val="center"/>
          </w:tcPr>
          <w:p w14:paraId="173A5274" w14:textId="77777777" w:rsidR="00A6421D" w:rsidRDefault="00A6421D" w:rsidP="003605D8">
            <w:pPr>
              <w:pStyle w:val="Tablebodycopy"/>
              <w:spacing w:before="0" w:after="0"/>
              <w:ind w:left="108"/>
              <w:jc w:val="center"/>
              <w:cnfStyle w:val="000000100000" w:firstRow="0" w:lastRow="0" w:firstColumn="0" w:lastColumn="0" w:oddVBand="0" w:evenVBand="0" w:oddHBand="1" w:evenHBand="0" w:firstRowFirstColumn="0" w:firstRowLastColumn="0" w:lastRowFirstColumn="0" w:lastRowLastColumn="0"/>
            </w:pPr>
            <w:r w:rsidRPr="00E63828">
              <w:t>$</w:t>
            </w:r>
            <w:r>
              <w:t>90,685</w:t>
            </w:r>
          </w:p>
        </w:tc>
      </w:tr>
      <w:tr w:rsidR="00A6421D" w14:paraId="76C98410" w14:textId="77777777" w:rsidTr="003605D8">
        <w:trPr>
          <w:gridAfter w:val="1"/>
          <w:cnfStyle w:val="000000010000" w:firstRow="0" w:lastRow="0" w:firstColumn="0" w:lastColumn="0" w:oddVBand="0" w:evenVBand="0" w:oddHBand="0" w:evenHBand="1" w:firstRowFirstColumn="0" w:firstRowLastColumn="0" w:lastRowFirstColumn="0" w:lastRowLastColumn="0"/>
          <w:wAfter w:w="9" w:type="dxa"/>
          <w:trHeight w:val="567"/>
        </w:trPr>
        <w:tc>
          <w:tcPr>
            <w:cnfStyle w:val="001000000000" w:firstRow="0" w:lastRow="0" w:firstColumn="1" w:lastColumn="0" w:oddVBand="0" w:evenVBand="0" w:oddHBand="0" w:evenHBand="0" w:firstRowFirstColumn="0" w:firstRowLastColumn="0" w:lastRowFirstColumn="0" w:lastRowLastColumn="0"/>
            <w:tcW w:w="4395" w:type="dxa"/>
            <w:vAlign w:val="center"/>
          </w:tcPr>
          <w:p w14:paraId="67DD470A" w14:textId="4D4C6EDB" w:rsidR="00A6421D" w:rsidRDefault="00A6421D" w:rsidP="003605D8">
            <w:pPr>
              <w:pStyle w:val="Tablebodycopy"/>
              <w:spacing w:before="0" w:after="0"/>
              <w:ind w:left="108" w:hanging="53"/>
            </w:pPr>
            <w:r>
              <w:t>Administration and Operations</w:t>
            </w:r>
          </w:p>
        </w:tc>
        <w:tc>
          <w:tcPr>
            <w:tcW w:w="4498" w:type="dxa"/>
            <w:vAlign w:val="center"/>
          </w:tcPr>
          <w:p w14:paraId="2EFB3914" w14:textId="77777777" w:rsidR="00A6421D" w:rsidRDefault="00A6421D" w:rsidP="003605D8">
            <w:pPr>
              <w:pStyle w:val="Tablebodycopy"/>
              <w:spacing w:before="0" w:after="0"/>
              <w:ind w:left="108"/>
              <w:jc w:val="center"/>
              <w:cnfStyle w:val="000000010000" w:firstRow="0" w:lastRow="0" w:firstColumn="0" w:lastColumn="0" w:oddVBand="0" w:evenVBand="0" w:oddHBand="0" w:evenHBand="1" w:firstRowFirstColumn="0" w:firstRowLastColumn="0" w:lastRowFirstColumn="0" w:lastRowLastColumn="0"/>
            </w:pPr>
            <w:r>
              <w:t>$75,726</w:t>
            </w:r>
          </w:p>
        </w:tc>
      </w:tr>
      <w:tr w:rsidR="00A6421D" w14:paraId="49711EF5" w14:textId="77777777" w:rsidTr="00207618">
        <w:trPr>
          <w:gridAfter w:val="1"/>
          <w:cnfStyle w:val="000000100000" w:firstRow="0" w:lastRow="0" w:firstColumn="0" w:lastColumn="0" w:oddVBand="0" w:evenVBand="0" w:oddHBand="1" w:evenHBand="0" w:firstRowFirstColumn="0" w:firstRowLastColumn="0" w:lastRowFirstColumn="0" w:lastRowLastColumn="0"/>
          <w:wAfter w:w="9" w:type="dxa"/>
          <w:trHeight w:val="567"/>
        </w:trPr>
        <w:tc>
          <w:tcPr>
            <w:cnfStyle w:val="001000000000" w:firstRow="0" w:lastRow="0" w:firstColumn="1" w:lastColumn="0" w:oddVBand="0" w:evenVBand="0" w:oddHBand="0" w:evenHBand="0" w:firstRowFirstColumn="0" w:firstRowLastColumn="0" w:lastRowFirstColumn="0" w:lastRowLastColumn="0"/>
            <w:tcW w:w="4395" w:type="dxa"/>
            <w:tcBorders>
              <w:bottom w:val="nil"/>
            </w:tcBorders>
            <w:vAlign w:val="center"/>
          </w:tcPr>
          <w:p w14:paraId="2BDC44D0" w14:textId="77777777" w:rsidR="00A6421D" w:rsidRDefault="00A6421D" w:rsidP="003605D8">
            <w:pPr>
              <w:pStyle w:val="Tablebodycopy"/>
              <w:spacing w:before="0" w:after="0"/>
              <w:ind w:left="108" w:hanging="53"/>
            </w:pPr>
            <w:r>
              <w:t>Leadership</w:t>
            </w:r>
          </w:p>
        </w:tc>
        <w:tc>
          <w:tcPr>
            <w:tcW w:w="4498" w:type="dxa"/>
            <w:tcBorders>
              <w:bottom w:val="nil"/>
            </w:tcBorders>
            <w:vAlign w:val="center"/>
          </w:tcPr>
          <w:p w14:paraId="3C48A1BA" w14:textId="6FDD835A" w:rsidR="00A6421D" w:rsidRDefault="00A6421D" w:rsidP="003605D8">
            <w:pPr>
              <w:pStyle w:val="Tablebodycopy"/>
              <w:spacing w:before="0" w:after="0"/>
              <w:ind w:left="108"/>
              <w:jc w:val="center"/>
              <w:cnfStyle w:val="000000100000" w:firstRow="0" w:lastRow="0" w:firstColumn="0" w:lastColumn="0" w:oddVBand="0" w:evenVBand="0" w:oddHBand="1" w:evenHBand="0" w:firstRowFirstColumn="0" w:firstRowLastColumn="0" w:lastRowFirstColumn="0" w:lastRowLastColumn="0"/>
            </w:pPr>
            <w:r>
              <w:t>$111,810</w:t>
            </w:r>
          </w:p>
        </w:tc>
      </w:tr>
      <w:tr w:rsidR="00A6421D" w14:paraId="7422442F" w14:textId="77777777" w:rsidTr="00207618">
        <w:trPr>
          <w:gridAfter w:val="1"/>
          <w:cnfStyle w:val="000000010000" w:firstRow="0" w:lastRow="0" w:firstColumn="0" w:lastColumn="0" w:oddVBand="0" w:evenVBand="0" w:oddHBand="0" w:evenHBand="1" w:firstRowFirstColumn="0" w:firstRowLastColumn="0" w:lastRowFirstColumn="0" w:lastRowLastColumn="0"/>
          <w:wAfter w:w="9" w:type="dxa"/>
          <w:trHeight w:val="567"/>
        </w:trPr>
        <w:tc>
          <w:tcPr>
            <w:cnfStyle w:val="001000000000" w:firstRow="0" w:lastRow="0" w:firstColumn="1" w:lastColumn="0" w:oddVBand="0" w:evenVBand="0" w:oddHBand="0" w:evenHBand="0" w:firstRowFirstColumn="0" w:firstRowLastColumn="0" w:lastRowFirstColumn="0" w:lastRowLastColumn="0"/>
            <w:tcW w:w="4395" w:type="dxa"/>
            <w:tcBorders>
              <w:bottom w:val="single" w:sz="8" w:space="0" w:color="2F005F"/>
            </w:tcBorders>
            <w:vAlign w:val="center"/>
          </w:tcPr>
          <w:p w14:paraId="13BD744C" w14:textId="77777777" w:rsidR="00A6421D" w:rsidRPr="00121C43" w:rsidRDefault="00A6421D" w:rsidP="003605D8">
            <w:pPr>
              <w:pStyle w:val="Tablebodycopy"/>
              <w:spacing w:before="0" w:after="0"/>
              <w:ind w:left="108" w:hanging="53"/>
              <w:rPr>
                <w:b/>
              </w:rPr>
            </w:pPr>
            <w:r w:rsidRPr="7306D1EA">
              <w:rPr>
                <w:b/>
              </w:rPr>
              <w:t>Australian Workforce</w:t>
            </w:r>
          </w:p>
        </w:tc>
        <w:tc>
          <w:tcPr>
            <w:tcW w:w="4498" w:type="dxa"/>
            <w:tcBorders>
              <w:bottom w:val="single" w:sz="8" w:space="0" w:color="2F005F"/>
            </w:tcBorders>
            <w:vAlign w:val="center"/>
          </w:tcPr>
          <w:p w14:paraId="66235289" w14:textId="4A928BE4" w:rsidR="00A6421D" w:rsidRDefault="00A6421D" w:rsidP="003605D8">
            <w:pPr>
              <w:pStyle w:val="Tablebodycopy"/>
              <w:spacing w:before="0" w:after="0"/>
              <w:ind w:left="108"/>
              <w:jc w:val="center"/>
              <w:cnfStyle w:val="000000010000" w:firstRow="0" w:lastRow="0" w:firstColumn="0" w:lastColumn="0" w:oddVBand="0" w:evenVBand="0" w:oddHBand="0" w:evenHBand="1" w:firstRowFirstColumn="0" w:firstRowLastColumn="0" w:lastRowFirstColumn="0" w:lastRowLastColumn="0"/>
            </w:pPr>
            <w:r w:rsidRPr="106A86D3">
              <w:t>$74,679</w:t>
            </w:r>
          </w:p>
        </w:tc>
      </w:tr>
    </w:tbl>
    <w:p w14:paraId="619EA6EC" w14:textId="580764A7" w:rsidR="00A6421D" w:rsidRPr="001E188D" w:rsidRDefault="00A6421D" w:rsidP="008B2387">
      <w:pPr>
        <w:pStyle w:val="Source"/>
      </w:pPr>
      <w:r>
        <w:t>Source: ABS (2021)</w:t>
      </w:r>
      <w:r w:rsidR="00001622">
        <w:t xml:space="preserve"> </w:t>
      </w:r>
      <w:r w:rsidR="00B1279F">
        <w:t>Total Personal I</w:t>
      </w:r>
      <w:r w:rsidR="00001622">
        <w:t>ncome (INCP) by</w:t>
      </w:r>
      <w:r>
        <w:t xml:space="preserve"> </w:t>
      </w:r>
      <w:r w:rsidR="00001622">
        <w:t>Labour Force Status (LFSP), Occupation (OCCP) and Industry of Employment (INDP)</w:t>
      </w:r>
      <w:r w:rsidR="00BE6A7F">
        <w:t>,</w:t>
      </w:r>
      <w:r>
        <w:t xml:space="preserve"> [Census </w:t>
      </w:r>
      <w:r w:rsidR="00556A6C">
        <w:t xml:space="preserve">TableBuilder] </w:t>
      </w:r>
      <w:r w:rsidR="00556A6C" w:rsidRPr="00FA53F0">
        <w:t>accessed</w:t>
      </w:r>
      <w:r w:rsidRPr="00FA53F0">
        <w:t xml:space="preserve"> 17 November 2023.</w:t>
      </w:r>
      <w:r>
        <w:t xml:space="preserve"> </w:t>
      </w:r>
    </w:p>
    <w:p w14:paraId="76FFF112" w14:textId="61DAE7D6" w:rsidR="000B23BA" w:rsidRDefault="00A6421D" w:rsidP="008B2387">
      <w:pPr>
        <w:pStyle w:val="Source"/>
      </w:pPr>
      <w:r w:rsidRPr="00FA53F0">
        <w:t xml:space="preserve">**Note: Occupations within the </w:t>
      </w:r>
      <w:r>
        <w:t>Workforce</w:t>
      </w:r>
      <w:r w:rsidRPr="00FA53F0">
        <w:t xml:space="preserve"> segment of Quality Assurance and Compliance have a count of 168, largely dominated by Quality Assurance Managers. </w:t>
      </w:r>
      <w:r>
        <w:t xml:space="preserve">Weekly reported income has been annualised. </w:t>
      </w:r>
      <w:r w:rsidR="00BB30B9">
        <w:br/>
      </w:r>
    </w:p>
    <w:p w14:paraId="484A77E5" w14:textId="5A38BE76" w:rsidR="00A6421D" w:rsidRDefault="00A6421D" w:rsidP="00E16D4F">
      <w:pPr>
        <w:pStyle w:val="Bodycopy"/>
      </w:pPr>
      <w:r>
        <w:t>When comparing across industries (using ANZSIC classifications), average annual income in VET (</w:t>
      </w:r>
      <w:r w:rsidRPr="20F2DF88">
        <w:rPr>
          <w:i/>
          <w:iCs/>
        </w:rPr>
        <w:t>8101 Technical and Vocational Education and Training</w:t>
      </w:r>
      <w:r>
        <w:t>) is lower than all comparative education sectors except for primary education</w:t>
      </w:r>
      <w:r w:rsidR="00B844B2">
        <w:t xml:space="preserve">, </w:t>
      </w:r>
      <w:r>
        <w:t xml:space="preserve">see </w:t>
      </w:r>
      <w:hyperlink w:anchor="Figure_2_14" w:history="1">
        <w:r w:rsidRPr="002075A4">
          <w:rPr>
            <w:rStyle w:val="Hyperlink"/>
          </w:rPr>
          <w:t>Figure 2.</w:t>
        </w:r>
        <w:r w:rsidR="003E500C" w:rsidRPr="002075A4">
          <w:rPr>
            <w:rStyle w:val="Hyperlink"/>
          </w:rPr>
          <w:t>14</w:t>
        </w:r>
      </w:hyperlink>
      <w:r>
        <w:t xml:space="preserve">. </w:t>
      </w:r>
    </w:p>
    <w:p w14:paraId="34FF2BA0" w14:textId="5B58C4BB" w:rsidR="00662CE5" w:rsidRDefault="0006426B" w:rsidP="0006426B">
      <w:pPr>
        <w:pStyle w:val="ChartandTablelabel"/>
      </w:pPr>
      <w:bookmarkStart w:id="134" w:name="Figure_2_14"/>
      <w:r>
        <w:lastRenderedPageBreak/>
        <w:t xml:space="preserve">Figure </w:t>
      </w:r>
      <w:r>
        <w:fldChar w:fldCharType="begin"/>
      </w:r>
      <w:r>
        <w:instrText xml:space="preserve"> STYLEREF 1 \s </w:instrText>
      </w:r>
      <w:r>
        <w:fldChar w:fldCharType="separate"/>
      </w:r>
      <w:r w:rsidR="00E7704E">
        <w:rPr>
          <w:noProof/>
        </w:rPr>
        <w:t>2</w:t>
      </w:r>
      <w:r>
        <w:fldChar w:fldCharType="end"/>
      </w:r>
      <w:r>
        <w:t>.</w:t>
      </w:r>
      <w:r>
        <w:fldChar w:fldCharType="begin"/>
      </w:r>
      <w:r>
        <w:instrText xml:space="preserve"> SEQ Figure \* ARABIC \s 1 </w:instrText>
      </w:r>
      <w:r>
        <w:fldChar w:fldCharType="separate"/>
      </w:r>
      <w:r w:rsidR="00E7704E">
        <w:rPr>
          <w:noProof/>
        </w:rPr>
        <w:t>14</w:t>
      </w:r>
      <w:r>
        <w:fldChar w:fldCharType="end"/>
      </w:r>
      <w:r>
        <w:t xml:space="preserve"> Average annual income across industries</w:t>
      </w:r>
    </w:p>
    <w:bookmarkEnd w:id="134"/>
    <w:p w14:paraId="7E7BEBE0" w14:textId="1F0A1941" w:rsidR="00A6421D" w:rsidRPr="00A062B8" w:rsidRDefault="0006426B" w:rsidP="007F7313">
      <w:pPr>
        <w:pStyle w:val="Source"/>
        <w:spacing w:line="240" w:lineRule="auto"/>
      </w:pPr>
      <w:r>
        <w:rPr>
          <w:noProof/>
        </w:rPr>
        <w:drawing>
          <wp:inline distT="0" distB="0" distL="0" distR="0" wp14:anchorId="46990742" wp14:editId="0E5CD2AB">
            <wp:extent cx="5638477" cy="1836000"/>
            <wp:effectExtent l="19050" t="19050" r="19685" b="12065"/>
            <wp:docPr id="568943568" name="Picture 4" descr="Higher Education - $95,029&#10;Secondary Education - $85,002&#10;Combined Primary and Secondary Education - $84,148&#10;Technical and Vocational Education and Training - $82,653&#10;Primary Education - $75,551&#10;Australian Workforce - $74,67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943568" name="Picture 4" descr="Higher Education - $95,029&#10;Secondary Education - $85,002&#10;Combined Primary and Secondary Education - $84,148&#10;Technical and Vocational Education and Training - $82,653&#10;Primary Education - $75,551&#10;Australian Workforce - $74,679&#10;"/>
                    <pic:cNvPicPr/>
                  </pic:nvPicPr>
                  <pic:blipFill rotWithShape="1">
                    <a:blip r:embed="rId33" cstate="print">
                      <a:extLst>
                        <a:ext uri="{28A0092B-C50C-407E-A947-70E740481C1C}">
                          <a14:useLocalDpi xmlns:a14="http://schemas.microsoft.com/office/drawing/2010/main" val="0"/>
                        </a:ext>
                      </a:extLst>
                    </a:blip>
                    <a:srcRect l="-1029" t="-13591" r="-1029" b="-224"/>
                    <a:stretch/>
                  </pic:blipFill>
                  <pic:spPr bwMode="auto">
                    <a:xfrm>
                      <a:off x="0" y="0"/>
                      <a:ext cx="5648400" cy="1839231"/>
                    </a:xfrm>
                    <a:prstGeom prst="rect">
                      <a:avLst/>
                    </a:prstGeom>
                    <a:solidFill>
                      <a:schemeClr val="bg1"/>
                    </a:solidFill>
                    <a:ln w="635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4B4451">
        <w:br/>
      </w:r>
      <w:r w:rsidR="004B4451">
        <w:br/>
      </w:r>
      <w:r w:rsidR="00A6421D" w:rsidRPr="009E4064">
        <w:t xml:space="preserve">Source: </w:t>
      </w:r>
      <w:r w:rsidR="003E500C" w:rsidRPr="009E4064">
        <w:t>ABS (2021) Total Personal Income (INCP) by Labour Force Status (LFSP) and Industry of Employment (INDP), [Census TableBuilder] accessed 17 November 2023.</w:t>
      </w:r>
      <w:r w:rsidR="004B4451">
        <w:br/>
      </w:r>
    </w:p>
    <w:p w14:paraId="0FC1FCDD" w14:textId="5A91466D" w:rsidR="003E3975" w:rsidRDefault="0E555893" w:rsidP="00E16D4F">
      <w:pPr>
        <w:pStyle w:val="Bodycopy"/>
      </w:pPr>
      <w:r>
        <w:t xml:space="preserve">Likewise, from an occupational perspective (using ANZSCO classifications) the median weekly total cash earnings of </w:t>
      </w:r>
      <w:r w:rsidR="00CC6D50">
        <w:t>VET teachers</w:t>
      </w:r>
      <w:r>
        <w:t xml:space="preserve"> are higher than the Australian </w:t>
      </w:r>
      <w:r w:rsidR="001D61E8">
        <w:t>workforce</w:t>
      </w:r>
      <w:r>
        <w:t xml:space="preserve"> by 11.1% ($1886 compared to $1697 for total weekly cash earnings) but less than counterparts in teaching or other education roles.</w:t>
      </w:r>
      <w:r w:rsidR="006F37D0" w:rsidRPr="00D34047">
        <w:rPr>
          <w:rStyle w:val="FootnoteReference"/>
        </w:rPr>
        <w:footnoteReference w:id="7"/>
      </w:r>
      <w:r w:rsidR="69510FBF">
        <w:t xml:space="preserve"> </w:t>
      </w:r>
      <w:r>
        <w:t xml:space="preserve">For example, </w:t>
      </w:r>
      <w:r w:rsidR="00F13473">
        <w:t>Secondary school teachers</w:t>
      </w:r>
      <w:r>
        <w:t xml:space="preserve"> and </w:t>
      </w:r>
      <w:r w:rsidR="005B5425">
        <w:t>university lecturers</w:t>
      </w:r>
      <w:r>
        <w:t xml:space="preserve"> and </w:t>
      </w:r>
      <w:r w:rsidR="005B5425">
        <w:t>t</w:t>
      </w:r>
      <w:r>
        <w:t xml:space="preserve">utors (as classified under ANZSCO) earn 14.8% and 44.9% more respectively. </w:t>
      </w:r>
    </w:p>
    <w:p w14:paraId="61863B24" w14:textId="1732A23C" w:rsidR="003E3975" w:rsidRDefault="0E555893" w:rsidP="00E16D4F">
      <w:pPr>
        <w:pStyle w:val="Bodycopy"/>
      </w:pPr>
      <w:r>
        <w:t xml:space="preserve">Interestingly, as noted in Chapter 1, Training and Development Professionals and Education Advisors and Reviewers who make up almost half and a third of the Curriculum and Learning Design segment earn more than </w:t>
      </w:r>
      <w:r w:rsidR="00CC6D50">
        <w:t>VET teachers</w:t>
      </w:r>
      <w:r>
        <w:t xml:space="preserve"> by 13.8% and 21.4%.</w:t>
      </w:r>
      <w:r w:rsidR="00A6421D" w:rsidRPr="00D34047">
        <w:rPr>
          <w:rStyle w:val="FootnoteReference"/>
        </w:rPr>
        <w:footnoteReference w:id="8"/>
      </w:r>
      <w:r>
        <w:t xml:space="preserve"> These occupations are spread across different education (and non-education) sectors which likely explains the higher earnings for these roles but also points towards the lower pay in VET compared to secondary schooling and higher education. It is also notable that </w:t>
      </w:r>
      <w:r w:rsidR="00CC6D50">
        <w:t>VET teachers</w:t>
      </w:r>
      <w:r>
        <w:t xml:space="preserve"> in public institutions earn 10.3% more than </w:t>
      </w:r>
      <w:r w:rsidR="00CC6D50">
        <w:t>VET teachers</w:t>
      </w:r>
      <w:r>
        <w:t xml:space="preserve"> overall, and 24.4% more than </w:t>
      </w:r>
      <w:r w:rsidR="00CC6D50">
        <w:t>VET teachers</w:t>
      </w:r>
      <w:r>
        <w:t xml:space="preserve"> in private RTOs.</w:t>
      </w:r>
      <w:r w:rsidR="00A6421D" w:rsidRPr="609C132D">
        <w:rPr>
          <w:rStyle w:val="EndnoteReference"/>
        </w:rPr>
        <w:endnoteReference w:id="26"/>
      </w:r>
      <w:r>
        <w:t xml:space="preserve"> </w:t>
      </w:r>
    </w:p>
    <w:p w14:paraId="526C916C" w14:textId="2A9BB104" w:rsidR="004731CD" w:rsidRDefault="0E555893" w:rsidP="00E16D4F">
      <w:pPr>
        <w:pStyle w:val="Bodycopy"/>
      </w:pPr>
      <w:r>
        <w:t xml:space="preserve">In Chapter 4, we use PLIDA data in the workforce transitions section to show further evidence of the lower pay of </w:t>
      </w:r>
      <w:r w:rsidR="00CC6D50">
        <w:t>VET teachers</w:t>
      </w:r>
      <w:r>
        <w:t xml:space="preserve"> and how those </w:t>
      </w:r>
      <w:r w:rsidR="0E8C74DD">
        <w:t>moving</w:t>
      </w:r>
      <w:r>
        <w:t xml:space="preserve"> out of the profession experience pay rises. However, this is not necessarily due to a return to industry, more so other teaching professions and or management positions (potentially in VET).  </w:t>
      </w:r>
    </w:p>
    <w:p w14:paraId="0875430A" w14:textId="77777777" w:rsidR="00D04D28" w:rsidRDefault="00D04D28">
      <w:pPr>
        <w:rPr>
          <w:rFonts w:cs="Arial"/>
          <w:b/>
          <w:bCs/>
          <w:color w:val="012749"/>
        </w:rPr>
      </w:pPr>
      <w:r>
        <w:br w:type="page"/>
      </w:r>
    </w:p>
    <w:p w14:paraId="06BFD69D" w14:textId="447CF2A3" w:rsidR="00A6421D" w:rsidRDefault="00A6421D" w:rsidP="002D4813">
      <w:pPr>
        <w:pStyle w:val="Heading4"/>
      </w:pPr>
      <w:r>
        <w:lastRenderedPageBreak/>
        <w:t>Gender Pay Gap in VET</w:t>
      </w:r>
      <w:r w:rsidR="004B7B3E">
        <w:rPr>
          <w:rStyle w:val="FootnoteReference"/>
        </w:rPr>
        <w:footnoteReference w:id="9"/>
      </w:r>
    </w:p>
    <w:p w14:paraId="1C73B013" w14:textId="32A9AD98" w:rsidR="00E6229F" w:rsidRDefault="00A6421D" w:rsidP="00306640">
      <w:pPr>
        <w:pStyle w:val="Bodycopy"/>
      </w:pPr>
      <w:r>
        <w:t>There is a 16% gender pay gap in the VET workforce with women earning an average annual income $14,773 less than their male counterparts</w:t>
      </w:r>
      <w:r w:rsidR="006F1B46">
        <w:t xml:space="preserve">, see </w:t>
      </w:r>
      <w:hyperlink w:anchor="Table_2_9" w:history="1">
        <w:r w:rsidR="006F1B46" w:rsidRPr="00334993">
          <w:rPr>
            <w:rStyle w:val="Hyperlink"/>
          </w:rPr>
          <w:t>Table 2.9</w:t>
        </w:r>
      </w:hyperlink>
      <w:r>
        <w:t xml:space="preserve">. The pay gap is even higher for </w:t>
      </w:r>
      <w:r w:rsidR="00CC6D50">
        <w:t>VET teachers</w:t>
      </w:r>
      <w:r>
        <w:t xml:space="preserve">, </w:t>
      </w:r>
      <w:r w:rsidR="00CA16FA">
        <w:t>trainers</w:t>
      </w:r>
      <w:r>
        <w:t xml:space="preserve"> and </w:t>
      </w:r>
      <w:r w:rsidR="00CA16FA">
        <w:t>a</w:t>
      </w:r>
      <w:r>
        <w:t xml:space="preserve">ssessors where it is a 17% pay gap. For full-time workers, this gender pay gap reduces to 9% for overall VET workforce and 7% for the </w:t>
      </w:r>
      <w:r w:rsidR="00CB29F6">
        <w:t>Teach, Train, and Assess</w:t>
      </w:r>
      <w:r>
        <w:t xml:space="preserve"> segment. This demonstrates that the higher </w:t>
      </w:r>
      <w:r w:rsidR="009F4E0E">
        <w:t xml:space="preserve">proportion </w:t>
      </w:r>
      <w:r>
        <w:t xml:space="preserve">of female </w:t>
      </w:r>
      <w:r w:rsidR="009F4E0E">
        <w:t xml:space="preserve">casual staff </w:t>
      </w:r>
      <w:r>
        <w:t xml:space="preserve">in the VET workforce exacerbates the gender pay gap. The pay gap persists across all segments and is greatest in Administration and Operations (19%) and smallest in the most feminised segment </w:t>
      </w:r>
      <w:r w:rsidR="0000395E">
        <w:t>–</w:t>
      </w:r>
      <w:r>
        <w:t xml:space="preserve"> Learning Support (9%) where full time females earn 1% more. </w:t>
      </w:r>
    </w:p>
    <w:p w14:paraId="4138E793" w14:textId="1392094A" w:rsidR="00C6161D" w:rsidRDefault="00C6161D" w:rsidP="00C6161D">
      <w:pPr>
        <w:pStyle w:val="Caption"/>
        <w:keepNext/>
      </w:pPr>
      <w:bookmarkStart w:id="135" w:name="Table_2_9"/>
      <w:r>
        <w:t xml:space="preserve">Table </w:t>
      </w:r>
      <w:r w:rsidR="004B692A">
        <w:fldChar w:fldCharType="begin"/>
      </w:r>
      <w:r w:rsidR="004B692A">
        <w:instrText xml:space="preserve"> STYLEREF 1 \s </w:instrText>
      </w:r>
      <w:r w:rsidR="004B692A">
        <w:fldChar w:fldCharType="separate"/>
      </w:r>
      <w:r w:rsidR="00E7704E">
        <w:rPr>
          <w:noProof/>
        </w:rPr>
        <w:t>2</w:t>
      </w:r>
      <w:r w:rsidR="004B692A">
        <w:fldChar w:fldCharType="end"/>
      </w:r>
      <w:r w:rsidR="004B692A">
        <w:t>.</w:t>
      </w:r>
      <w:r w:rsidR="004B692A">
        <w:fldChar w:fldCharType="begin"/>
      </w:r>
      <w:r w:rsidR="004B692A">
        <w:instrText xml:space="preserve"> SEQ Table \* ARABIC \s 1 </w:instrText>
      </w:r>
      <w:r w:rsidR="004B692A">
        <w:fldChar w:fldCharType="separate"/>
      </w:r>
      <w:r w:rsidR="00E7704E">
        <w:rPr>
          <w:noProof/>
        </w:rPr>
        <w:t>9</w:t>
      </w:r>
      <w:r w:rsidR="004B692A">
        <w:fldChar w:fldCharType="end"/>
      </w:r>
      <w:r>
        <w:t xml:space="preserve"> Pay gap across segments and workforces</w:t>
      </w:r>
    </w:p>
    <w:bookmarkEnd w:id="135"/>
    <w:tbl>
      <w:tblPr>
        <w:tblStyle w:val="JSATable1"/>
        <w:tblW w:w="8902" w:type="dxa"/>
        <w:tblLook w:val="04A0" w:firstRow="1" w:lastRow="0" w:firstColumn="1" w:lastColumn="0" w:noHBand="0" w:noVBand="1"/>
        <w:tblDescription w:val="Pay gap across segments and workforces"/>
      </w:tblPr>
      <w:tblGrid>
        <w:gridCol w:w="5431"/>
        <w:gridCol w:w="1737"/>
        <w:gridCol w:w="1734"/>
      </w:tblGrid>
      <w:tr w:rsidR="00A6421D" w14:paraId="1B118776" w14:textId="77777777" w:rsidTr="00446751">
        <w:trPr>
          <w:cnfStyle w:val="100000000000" w:firstRow="1" w:lastRow="0" w:firstColumn="0" w:lastColumn="0" w:oddVBand="0" w:evenVBand="0" w:oddHBand="0" w:evenHBand="0" w:firstRowFirstColumn="0" w:firstRowLastColumn="0" w:lastRowFirstColumn="0" w:lastRowLastColumn="0"/>
          <w:trHeight w:val="1088"/>
        </w:trPr>
        <w:tc>
          <w:tcPr>
            <w:cnfStyle w:val="001000000100" w:firstRow="0" w:lastRow="0" w:firstColumn="1" w:lastColumn="0" w:oddVBand="0" w:evenVBand="0" w:oddHBand="0" w:evenHBand="0" w:firstRowFirstColumn="1" w:firstRowLastColumn="0" w:lastRowFirstColumn="0" w:lastRowLastColumn="0"/>
            <w:tcW w:w="5499" w:type="dxa"/>
          </w:tcPr>
          <w:p w14:paraId="5316A641" w14:textId="77777777" w:rsidR="00A6421D" w:rsidRPr="00717A3F" w:rsidRDefault="00A6421D" w:rsidP="00306640">
            <w:pPr>
              <w:pStyle w:val="Tablebodycopy"/>
              <w:ind w:left="0"/>
              <w:rPr>
                <w:color w:val="FFFFFF" w:themeColor="background1"/>
              </w:rPr>
            </w:pPr>
          </w:p>
        </w:tc>
        <w:tc>
          <w:tcPr>
            <w:tcW w:w="1757" w:type="dxa"/>
          </w:tcPr>
          <w:p w14:paraId="26F4F171" w14:textId="246B2536" w:rsidR="00A6421D" w:rsidRPr="00717A3F" w:rsidRDefault="00A6421D" w:rsidP="00306640">
            <w:pPr>
              <w:pStyle w:val="Tableheader"/>
              <w:cnfStyle w:val="100000000000" w:firstRow="1" w:lastRow="0" w:firstColumn="0" w:lastColumn="0" w:oddVBand="0" w:evenVBand="0" w:oddHBand="0" w:evenHBand="0" w:firstRowFirstColumn="0" w:firstRowLastColumn="0" w:lastRowFirstColumn="0" w:lastRowLastColumn="0"/>
            </w:pPr>
            <w:r>
              <w:t>Pay gap</w:t>
            </w:r>
          </w:p>
        </w:tc>
        <w:tc>
          <w:tcPr>
            <w:tcW w:w="1757" w:type="dxa"/>
          </w:tcPr>
          <w:p w14:paraId="1DDF501F" w14:textId="57170089" w:rsidR="00A6421D" w:rsidRPr="009B0CF1" w:rsidRDefault="00A6421D" w:rsidP="00306640">
            <w:pPr>
              <w:pStyle w:val="Tableheader"/>
              <w:cnfStyle w:val="100000000000" w:firstRow="1" w:lastRow="0" w:firstColumn="0" w:lastColumn="0" w:oddVBand="0" w:evenVBand="0" w:oddHBand="0" w:evenHBand="0" w:firstRowFirstColumn="0" w:firstRowLastColumn="0" w:lastRowFirstColumn="0" w:lastRowLastColumn="0"/>
              <w:rPr>
                <w:bCs/>
              </w:rPr>
            </w:pPr>
            <w:r>
              <w:rPr>
                <w:bCs/>
              </w:rPr>
              <w:t>Full-time</w:t>
            </w:r>
            <w:r w:rsidR="00306640">
              <w:rPr>
                <w:bCs/>
              </w:rPr>
              <w:br/>
            </w:r>
            <w:r w:rsidRPr="009B0CF1">
              <w:rPr>
                <w:bCs/>
              </w:rPr>
              <w:t>pay gap</w:t>
            </w:r>
          </w:p>
        </w:tc>
      </w:tr>
      <w:tr w:rsidR="00A6421D" w14:paraId="0667C94A" w14:textId="77777777" w:rsidTr="0044675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499" w:type="dxa"/>
            <w:shd w:val="clear" w:color="auto" w:fill="auto"/>
            <w:vAlign w:val="center"/>
          </w:tcPr>
          <w:p w14:paraId="0A867750" w14:textId="77777777" w:rsidR="00A6421D" w:rsidRPr="00913E4A" w:rsidRDefault="00A6421D" w:rsidP="00BE57B7">
            <w:pPr>
              <w:pStyle w:val="Tablebodycopy"/>
              <w:ind w:left="227"/>
              <w:rPr>
                <w:b/>
              </w:rPr>
            </w:pPr>
            <w:r w:rsidRPr="61EE3CFB">
              <w:rPr>
                <w:b/>
              </w:rPr>
              <w:t>VET Workforce</w:t>
            </w:r>
          </w:p>
        </w:tc>
        <w:tc>
          <w:tcPr>
            <w:tcW w:w="1757" w:type="dxa"/>
            <w:shd w:val="clear" w:color="auto" w:fill="auto"/>
            <w:vAlign w:val="center"/>
          </w:tcPr>
          <w:p w14:paraId="639BE970" w14:textId="77777777" w:rsidR="00A6421D" w:rsidRPr="00FF0DCE" w:rsidRDefault="00A6421D" w:rsidP="00306640">
            <w:pPr>
              <w:pStyle w:val="Tablebodycopy"/>
              <w:jc w:val="center"/>
              <w:cnfStyle w:val="000000100000" w:firstRow="0" w:lastRow="0" w:firstColumn="0" w:lastColumn="0" w:oddVBand="0" w:evenVBand="0" w:oddHBand="1" w:evenHBand="0" w:firstRowFirstColumn="0" w:firstRowLastColumn="0" w:lastRowFirstColumn="0" w:lastRowLastColumn="0"/>
              <w:rPr>
                <w:color w:val="auto"/>
              </w:rPr>
            </w:pPr>
            <w:r w:rsidRPr="00FF0DCE">
              <w:rPr>
                <w:color w:val="auto"/>
              </w:rPr>
              <w:t>16%</w:t>
            </w:r>
          </w:p>
        </w:tc>
        <w:tc>
          <w:tcPr>
            <w:tcW w:w="1757" w:type="dxa"/>
            <w:shd w:val="clear" w:color="auto" w:fill="auto"/>
            <w:vAlign w:val="center"/>
          </w:tcPr>
          <w:p w14:paraId="6F57626C" w14:textId="77777777" w:rsidR="00A6421D" w:rsidRPr="00FF0DCE" w:rsidRDefault="00A6421D" w:rsidP="00306640">
            <w:pPr>
              <w:pStyle w:val="Tablebodycopy"/>
              <w:jc w:val="center"/>
              <w:cnfStyle w:val="000000100000" w:firstRow="0" w:lastRow="0" w:firstColumn="0" w:lastColumn="0" w:oddVBand="0" w:evenVBand="0" w:oddHBand="1" w:evenHBand="0" w:firstRowFirstColumn="0" w:firstRowLastColumn="0" w:lastRowFirstColumn="0" w:lastRowLastColumn="0"/>
              <w:rPr>
                <w:color w:val="auto"/>
              </w:rPr>
            </w:pPr>
            <w:r w:rsidRPr="00FF0DCE">
              <w:rPr>
                <w:color w:val="auto"/>
              </w:rPr>
              <w:t>9%</w:t>
            </w:r>
          </w:p>
        </w:tc>
      </w:tr>
      <w:tr w:rsidR="00A6421D" w14:paraId="79267499" w14:textId="77777777" w:rsidTr="00446751">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499" w:type="dxa"/>
            <w:vAlign w:val="center"/>
          </w:tcPr>
          <w:p w14:paraId="56A1DFB1" w14:textId="782F2279" w:rsidR="00A6421D" w:rsidRPr="00BD77F8" w:rsidRDefault="00CB29F6" w:rsidP="00BE57B7">
            <w:pPr>
              <w:pStyle w:val="Tablebodycopy"/>
              <w:ind w:left="227"/>
              <w:rPr>
                <w:b/>
                <w:bCs/>
              </w:rPr>
            </w:pPr>
            <w:r>
              <w:t>Teach, Train, and Assess</w:t>
            </w:r>
          </w:p>
        </w:tc>
        <w:tc>
          <w:tcPr>
            <w:tcW w:w="1757" w:type="dxa"/>
            <w:vAlign w:val="center"/>
          </w:tcPr>
          <w:p w14:paraId="1B0F71E7" w14:textId="77777777" w:rsidR="00A6421D" w:rsidRPr="00FF0DCE" w:rsidRDefault="00A6421D" w:rsidP="00306640">
            <w:pPr>
              <w:pStyle w:val="Tablebodycopy"/>
              <w:jc w:val="center"/>
              <w:cnfStyle w:val="000000010000" w:firstRow="0" w:lastRow="0" w:firstColumn="0" w:lastColumn="0" w:oddVBand="0" w:evenVBand="0" w:oddHBand="0" w:evenHBand="1" w:firstRowFirstColumn="0" w:firstRowLastColumn="0" w:lastRowFirstColumn="0" w:lastRowLastColumn="0"/>
              <w:rPr>
                <w:color w:val="auto"/>
              </w:rPr>
            </w:pPr>
            <w:r w:rsidRPr="00FF0DCE">
              <w:rPr>
                <w:color w:val="auto"/>
              </w:rPr>
              <w:t>17%</w:t>
            </w:r>
          </w:p>
        </w:tc>
        <w:tc>
          <w:tcPr>
            <w:tcW w:w="1757" w:type="dxa"/>
            <w:vAlign w:val="center"/>
          </w:tcPr>
          <w:p w14:paraId="3A917446" w14:textId="77777777" w:rsidR="00A6421D" w:rsidRPr="00FF0DCE" w:rsidRDefault="00A6421D" w:rsidP="00306640">
            <w:pPr>
              <w:pStyle w:val="Tablebodycopy"/>
              <w:jc w:val="center"/>
              <w:cnfStyle w:val="000000010000" w:firstRow="0" w:lastRow="0" w:firstColumn="0" w:lastColumn="0" w:oddVBand="0" w:evenVBand="0" w:oddHBand="0" w:evenHBand="1" w:firstRowFirstColumn="0" w:firstRowLastColumn="0" w:lastRowFirstColumn="0" w:lastRowLastColumn="0"/>
              <w:rPr>
                <w:color w:val="auto"/>
                <w:highlight w:val="yellow"/>
              </w:rPr>
            </w:pPr>
            <w:r w:rsidRPr="00FF0DCE">
              <w:rPr>
                <w:color w:val="auto"/>
              </w:rPr>
              <w:t>7</w:t>
            </w:r>
            <w:r w:rsidRPr="00FF0DCE" w:rsidDel="00E843DE">
              <w:rPr>
                <w:color w:val="auto"/>
              </w:rPr>
              <w:t>%</w:t>
            </w:r>
          </w:p>
        </w:tc>
      </w:tr>
      <w:tr w:rsidR="00A6421D" w14:paraId="27D33F15" w14:textId="77777777" w:rsidTr="0044675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499" w:type="dxa"/>
            <w:shd w:val="clear" w:color="auto" w:fill="auto"/>
            <w:vAlign w:val="center"/>
          </w:tcPr>
          <w:p w14:paraId="5354033F" w14:textId="77777777" w:rsidR="00A6421D" w:rsidRPr="00BD77F8" w:rsidRDefault="00A6421D" w:rsidP="00BE57B7">
            <w:pPr>
              <w:pStyle w:val="Tablebodycopy"/>
              <w:ind w:left="227"/>
              <w:rPr>
                <w:b/>
                <w:bCs/>
              </w:rPr>
            </w:pPr>
            <w:r w:rsidRPr="00717A3F">
              <w:t>Curriculum and Learning Design</w:t>
            </w:r>
          </w:p>
        </w:tc>
        <w:tc>
          <w:tcPr>
            <w:tcW w:w="1757" w:type="dxa"/>
            <w:shd w:val="clear" w:color="auto" w:fill="auto"/>
            <w:vAlign w:val="center"/>
          </w:tcPr>
          <w:p w14:paraId="590D76DB" w14:textId="77777777" w:rsidR="00A6421D" w:rsidRPr="00FF0DCE" w:rsidRDefault="00A6421D" w:rsidP="00306640">
            <w:pPr>
              <w:pStyle w:val="Tablebodycopy"/>
              <w:jc w:val="center"/>
              <w:cnfStyle w:val="000000100000" w:firstRow="0" w:lastRow="0" w:firstColumn="0" w:lastColumn="0" w:oddVBand="0" w:evenVBand="0" w:oddHBand="1" w:evenHBand="0" w:firstRowFirstColumn="0" w:firstRowLastColumn="0" w:lastRowFirstColumn="0" w:lastRowLastColumn="0"/>
              <w:rPr>
                <w:color w:val="auto"/>
              </w:rPr>
            </w:pPr>
            <w:r w:rsidRPr="00FF0DCE">
              <w:rPr>
                <w:color w:val="auto"/>
              </w:rPr>
              <w:t>12%</w:t>
            </w:r>
          </w:p>
        </w:tc>
        <w:tc>
          <w:tcPr>
            <w:tcW w:w="1757" w:type="dxa"/>
            <w:shd w:val="clear" w:color="auto" w:fill="auto"/>
            <w:vAlign w:val="center"/>
          </w:tcPr>
          <w:p w14:paraId="749589C5" w14:textId="77777777" w:rsidR="00A6421D" w:rsidRPr="00FF0DCE" w:rsidRDefault="00A6421D" w:rsidP="00306640">
            <w:pPr>
              <w:pStyle w:val="Tablebodycopy"/>
              <w:jc w:val="center"/>
              <w:cnfStyle w:val="000000100000" w:firstRow="0" w:lastRow="0" w:firstColumn="0" w:lastColumn="0" w:oddVBand="0" w:evenVBand="0" w:oddHBand="1" w:evenHBand="0" w:firstRowFirstColumn="0" w:firstRowLastColumn="0" w:lastRowFirstColumn="0" w:lastRowLastColumn="0"/>
              <w:rPr>
                <w:color w:val="auto"/>
              </w:rPr>
            </w:pPr>
            <w:r w:rsidRPr="00FF0DCE">
              <w:rPr>
                <w:color w:val="auto"/>
              </w:rPr>
              <w:t>6%</w:t>
            </w:r>
          </w:p>
        </w:tc>
      </w:tr>
      <w:tr w:rsidR="00A6421D" w14:paraId="53586EE9" w14:textId="77777777" w:rsidTr="00446751">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499" w:type="dxa"/>
            <w:vAlign w:val="center"/>
          </w:tcPr>
          <w:p w14:paraId="6E27CD7C" w14:textId="77777777" w:rsidR="00A6421D" w:rsidRPr="00BD77F8" w:rsidRDefault="00A6421D" w:rsidP="00BE57B7">
            <w:pPr>
              <w:pStyle w:val="Tablebodycopy"/>
              <w:ind w:left="227"/>
              <w:rPr>
                <w:b/>
                <w:bCs/>
              </w:rPr>
            </w:pPr>
            <w:r w:rsidRPr="00717A3F">
              <w:t>Learning Support</w:t>
            </w:r>
          </w:p>
        </w:tc>
        <w:tc>
          <w:tcPr>
            <w:tcW w:w="1757" w:type="dxa"/>
            <w:vAlign w:val="center"/>
          </w:tcPr>
          <w:p w14:paraId="08030B7B" w14:textId="77777777" w:rsidR="00A6421D" w:rsidRPr="00FF0DCE" w:rsidRDefault="00A6421D" w:rsidP="00306640">
            <w:pPr>
              <w:pStyle w:val="Tablebodycopy"/>
              <w:jc w:val="center"/>
              <w:cnfStyle w:val="000000010000" w:firstRow="0" w:lastRow="0" w:firstColumn="0" w:lastColumn="0" w:oddVBand="0" w:evenVBand="0" w:oddHBand="0" w:evenHBand="1" w:firstRowFirstColumn="0" w:firstRowLastColumn="0" w:lastRowFirstColumn="0" w:lastRowLastColumn="0"/>
              <w:rPr>
                <w:color w:val="auto"/>
              </w:rPr>
            </w:pPr>
            <w:r w:rsidRPr="00FF0DCE">
              <w:rPr>
                <w:color w:val="auto"/>
              </w:rPr>
              <w:t>9%</w:t>
            </w:r>
          </w:p>
        </w:tc>
        <w:tc>
          <w:tcPr>
            <w:tcW w:w="1757" w:type="dxa"/>
            <w:vAlign w:val="center"/>
          </w:tcPr>
          <w:p w14:paraId="77DC23DB" w14:textId="77777777" w:rsidR="00A6421D" w:rsidRPr="00FF0DCE" w:rsidRDefault="00A6421D" w:rsidP="00306640">
            <w:pPr>
              <w:pStyle w:val="Tablebodycopy"/>
              <w:jc w:val="center"/>
              <w:cnfStyle w:val="000000010000" w:firstRow="0" w:lastRow="0" w:firstColumn="0" w:lastColumn="0" w:oddVBand="0" w:evenVBand="0" w:oddHBand="0" w:evenHBand="1" w:firstRowFirstColumn="0" w:firstRowLastColumn="0" w:lastRowFirstColumn="0" w:lastRowLastColumn="0"/>
              <w:rPr>
                <w:color w:val="auto"/>
              </w:rPr>
            </w:pPr>
            <w:r w:rsidRPr="00FF0DCE">
              <w:rPr>
                <w:color w:val="auto"/>
              </w:rPr>
              <w:t>+1%</w:t>
            </w:r>
          </w:p>
        </w:tc>
      </w:tr>
      <w:tr w:rsidR="00A6421D" w14:paraId="2458E401" w14:textId="77777777" w:rsidTr="0044675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499" w:type="dxa"/>
            <w:shd w:val="clear" w:color="auto" w:fill="auto"/>
            <w:vAlign w:val="center"/>
          </w:tcPr>
          <w:p w14:paraId="02A3BF48" w14:textId="77777777" w:rsidR="00A6421D" w:rsidRPr="00BD77F8" w:rsidRDefault="00A6421D" w:rsidP="00BE57B7">
            <w:pPr>
              <w:pStyle w:val="Tablebodycopy"/>
              <w:ind w:left="227"/>
              <w:rPr>
                <w:b/>
                <w:bCs/>
              </w:rPr>
            </w:pPr>
            <w:r w:rsidRPr="00717A3F">
              <w:t>Quality and Compliance</w:t>
            </w:r>
          </w:p>
        </w:tc>
        <w:tc>
          <w:tcPr>
            <w:tcW w:w="1757" w:type="dxa"/>
            <w:shd w:val="clear" w:color="auto" w:fill="auto"/>
            <w:vAlign w:val="center"/>
          </w:tcPr>
          <w:p w14:paraId="5EEDF071" w14:textId="77777777" w:rsidR="00A6421D" w:rsidRPr="00FF0DCE" w:rsidRDefault="00A6421D" w:rsidP="00306640">
            <w:pPr>
              <w:pStyle w:val="Tablebodycopy"/>
              <w:jc w:val="center"/>
              <w:cnfStyle w:val="000000100000" w:firstRow="0" w:lastRow="0" w:firstColumn="0" w:lastColumn="0" w:oddVBand="0" w:evenVBand="0" w:oddHBand="1" w:evenHBand="0" w:firstRowFirstColumn="0" w:firstRowLastColumn="0" w:lastRowFirstColumn="0" w:lastRowLastColumn="0"/>
              <w:rPr>
                <w:color w:val="auto"/>
              </w:rPr>
            </w:pPr>
            <w:r w:rsidRPr="00FF0DCE">
              <w:rPr>
                <w:color w:val="auto"/>
              </w:rPr>
              <w:t>16%</w:t>
            </w:r>
          </w:p>
        </w:tc>
        <w:tc>
          <w:tcPr>
            <w:tcW w:w="1757" w:type="dxa"/>
            <w:shd w:val="clear" w:color="auto" w:fill="auto"/>
            <w:vAlign w:val="center"/>
          </w:tcPr>
          <w:p w14:paraId="692DFD3C" w14:textId="77777777" w:rsidR="00A6421D" w:rsidRPr="00FF0DCE" w:rsidRDefault="00A6421D" w:rsidP="00306640">
            <w:pPr>
              <w:pStyle w:val="Tablebodycopy"/>
              <w:jc w:val="center"/>
              <w:cnfStyle w:val="000000100000" w:firstRow="0" w:lastRow="0" w:firstColumn="0" w:lastColumn="0" w:oddVBand="0" w:evenVBand="0" w:oddHBand="1" w:evenHBand="0" w:firstRowFirstColumn="0" w:firstRowLastColumn="0" w:lastRowFirstColumn="0" w:lastRowLastColumn="0"/>
              <w:rPr>
                <w:color w:val="auto"/>
              </w:rPr>
            </w:pPr>
            <w:r w:rsidRPr="00FF0DCE">
              <w:rPr>
                <w:color w:val="auto"/>
              </w:rPr>
              <w:t>10%</w:t>
            </w:r>
          </w:p>
        </w:tc>
      </w:tr>
      <w:tr w:rsidR="00A6421D" w14:paraId="68B84A70" w14:textId="77777777" w:rsidTr="00446751">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499" w:type="dxa"/>
            <w:vAlign w:val="center"/>
          </w:tcPr>
          <w:p w14:paraId="012FC1D9" w14:textId="77777777" w:rsidR="00A6421D" w:rsidRPr="00BD77F8" w:rsidRDefault="00A6421D" w:rsidP="00BE57B7">
            <w:pPr>
              <w:pStyle w:val="Tablebodycopy"/>
              <w:ind w:left="227"/>
              <w:rPr>
                <w:b/>
                <w:bCs/>
              </w:rPr>
            </w:pPr>
            <w:r w:rsidRPr="00717A3F">
              <w:t>Administration and Operations</w:t>
            </w:r>
          </w:p>
        </w:tc>
        <w:tc>
          <w:tcPr>
            <w:tcW w:w="1757" w:type="dxa"/>
            <w:vAlign w:val="center"/>
          </w:tcPr>
          <w:p w14:paraId="202C6040" w14:textId="77777777" w:rsidR="00A6421D" w:rsidRPr="00FF0DCE" w:rsidRDefault="00A6421D" w:rsidP="00306640">
            <w:pPr>
              <w:pStyle w:val="Tablebodycopy"/>
              <w:jc w:val="center"/>
              <w:cnfStyle w:val="000000010000" w:firstRow="0" w:lastRow="0" w:firstColumn="0" w:lastColumn="0" w:oddVBand="0" w:evenVBand="0" w:oddHBand="0" w:evenHBand="1" w:firstRowFirstColumn="0" w:firstRowLastColumn="0" w:lastRowFirstColumn="0" w:lastRowLastColumn="0"/>
              <w:rPr>
                <w:color w:val="auto"/>
              </w:rPr>
            </w:pPr>
            <w:r w:rsidRPr="00FF0DCE">
              <w:rPr>
                <w:color w:val="auto"/>
              </w:rPr>
              <w:t>19%</w:t>
            </w:r>
          </w:p>
        </w:tc>
        <w:tc>
          <w:tcPr>
            <w:tcW w:w="1757" w:type="dxa"/>
            <w:vAlign w:val="center"/>
          </w:tcPr>
          <w:p w14:paraId="6175367D" w14:textId="77777777" w:rsidR="00A6421D" w:rsidRPr="00FF0DCE" w:rsidRDefault="00A6421D" w:rsidP="00306640">
            <w:pPr>
              <w:pStyle w:val="Tablebodycopy"/>
              <w:jc w:val="center"/>
              <w:cnfStyle w:val="000000010000" w:firstRow="0" w:lastRow="0" w:firstColumn="0" w:lastColumn="0" w:oddVBand="0" w:evenVBand="0" w:oddHBand="0" w:evenHBand="1" w:firstRowFirstColumn="0" w:firstRowLastColumn="0" w:lastRowFirstColumn="0" w:lastRowLastColumn="0"/>
              <w:rPr>
                <w:color w:val="auto"/>
              </w:rPr>
            </w:pPr>
            <w:r w:rsidRPr="00FF0DCE">
              <w:rPr>
                <w:color w:val="auto"/>
              </w:rPr>
              <w:t>13%</w:t>
            </w:r>
          </w:p>
        </w:tc>
      </w:tr>
      <w:tr w:rsidR="00A6421D" w14:paraId="086F7A39" w14:textId="77777777" w:rsidTr="0020761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499" w:type="dxa"/>
            <w:tcBorders>
              <w:bottom w:val="nil"/>
            </w:tcBorders>
            <w:shd w:val="clear" w:color="auto" w:fill="auto"/>
            <w:vAlign w:val="center"/>
          </w:tcPr>
          <w:p w14:paraId="010C97F0" w14:textId="77777777" w:rsidR="00A6421D" w:rsidRPr="00BD77F8" w:rsidRDefault="00A6421D" w:rsidP="00BE57B7">
            <w:pPr>
              <w:pStyle w:val="Tablebodycopy"/>
              <w:ind w:left="227"/>
              <w:rPr>
                <w:b/>
                <w:bCs/>
              </w:rPr>
            </w:pPr>
            <w:r w:rsidRPr="00717A3F">
              <w:t>Leadership</w:t>
            </w:r>
          </w:p>
        </w:tc>
        <w:tc>
          <w:tcPr>
            <w:tcW w:w="1757" w:type="dxa"/>
            <w:tcBorders>
              <w:bottom w:val="nil"/>
            </w:tcBorders>
            <w:shd w:val="clear" w:color="auto" w:fill="auto"/>
            <w:vAlign w:val="center"/>
          </w:tcPr>
          <w:p w14:paraId="5B2D7F38" w14:textId="77777777" w:rsidR="00A6421D" w:rsidRPr="00FF0DCE" w:rsidRDefault="00A6421D" w:rsidP="00306640">
            <w:pPr>
              <w:pStyle w:val="Tablebodycopy"/>
              <w:jc w:val="center"/>
              <w:cnfStyle w:val="000000100000" w:firstRow="0" w:lastRow="0" w:firstColumn="0" w:lastColumn="0" w:oddVBand="0" w:evenVBand="0" w:oddHBand="1" w:evenHBand="0" w:firstRowFirstColumn="0" w:firstRowLastColumn="0" w:lastRowFirstColumn="0" w:lastRowLastColumn="0"/>
              <w:rPr>
                <w:color w:val="auto"/>
              </w:rPr>
            </w:pPr>
            <w:r w:rsidRPr="00FF0DCE">
              <w:rPr>
                <w:color w:val="auto"/>
              </w:rPr>
              <w:t>13%</w:t>
            </w:r>
          </w:p>
        </w:tc>
        <w:tc>
          <w:tcPr>
            <w:tcW w:w="1757" w:type="dxa"/>
            <w:tcBorders>
              <w:bottom w:val="nil"/>
            </w:tcBorders>
            <w:shd w:val="clear" w:color="auto" w:fill="auto"/>
            <w:vAlign w:val="center"/>
          </w:tcPr>
          <w:p w14:paraId="7B76678D" w14:textId="77777777" w:rsidR="00A6421D" w:rsidRPr="00FF0DCE" w:rsidRDefault="00A6421D" w:rsidP="00306640">
            <w:pPr>
              <w:pStyle w:val="Tablebodycopy"/>
              <w:jc w:val="center"/>
              <w:cnfStyle w:val="000000100000" w:firstRow="0" w:lastRow="0" w:firstColumn="0" w:lastColumn="0" w:oddVBand="0" w:evenVBand="0" w:oddHBand="1" w:evenHBand="0" w:firstRowFirstColumn="0" w:firstRowLastColumn="0" w:lastRowFirstColumn="0" w:lastRowLastColumn="0"/>
              <w:rPr>
                <w:color w:val="auto"/>
              </w:rPr>
            </w:pPr>
            <w:r w:rsidRPr="00FF0DCE">
              <w:rPr>
                <w:color w:val="auto"/>
              </w:rPr>
              <w:t>9%</w:t>
            </w:r>
          </w:p>
        </w:tc>
      </w:tr>
      <w:tr w:rsidR="00A6421D" w14:paraId="16596006" w14:textId="77777777" w:rsidTr="00207618">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499" w:type="dxa"/>
            <w:tcBorders>
              <w:bottom w:val="single" w:sz="8" w:space="0" w:color="2F005F"/>
            </w:tcBorders>
            <w:vAlign w:val="center"/>
          </w:tcPr>
          <w:p w14:paraId="37B082B2" w14:textId="2C31DE75" w:rsidR="00A6421D" w:rsidRPr="00913E4A" w:rsidRDefault="00A6421D" w:rsidP="00BE57B7">
            <w:pPr>
              <w:pStyle w:val="Tablebodycopy"/>
              <w:ind w:left="227"/>
              <w:rPr>
                <w:b/>
                <w:bCs/>
              </w:rPr>
            </w:pPr>
            <w:r w:rsidRPr="609C132D">
              <w:rPr>
                <w:b/>
                <w:bCs/>
              </w:rPr>
              <w:t>Australian Workforce (various ABS figures)</w:t>
            </w:r>
            <w:r w:rsidR="001E73F3" w:rsidRPr="001E73F3">
              <w:rPr>
                <w:b/>
                <w:bCs/>
                <w:vertAlign w:val="superscript"/>
              </w:rPr>
              <w:t>a</w:t>
            </w:r>
          </w:p>
        </w:tc>
        <w:tc>
          <w:tcPr>
            <w:tcW w:w="1757" w:type="dxa"/>
            <w:tcBorders>
              <w:bottom w:val="single" w:sz="8" w:space="0" w:color="2F005F"/>
            </w:tcBorders>
            <w:vAlign w:val="center"/>
          </w:tcPr>
          <w:p w14:paraId="0992C407" w14:textId="77777777" w:rsidR="00A6421D" w:rsidRPr="00FF0DCE" w:rsidRDefault="00A6421D" w:rsidP="00306640">
            <w:pPr>
              <w:pStyle w:val="Tablebodycopy"/>
              <w:jc w:val="center"/>
              <w:cnfStyle w:val="000000010000" w:firstRow="0" w:lastRow="0" w:firstColumn="0" w:lastColumn="0" w:oddVBand="0" w:evenVBand="0" w:oddHBand="0" w:evenHBand="1" w:firstRowFirstColumn="0" w:firstRowLastColumn="0" w:lastRowFirstColumn="0" w:lastRowLastColumn="0"/>
              <w:rPr>
                <w:color w:val="auto"/>
              </w:rPr>
            </w:pPr>
            <w:r w:rsidRPr="00FF0DCE">
              <w:rPr>
                <w:color w:val="auto"/>
              </w:rPr>
              <w:t>8.4% - 26.7%</w:t>
            </w:r>
          </w:p>
        </w:tc>
        <w:tc>
          <w:tcPr>
            <w:tcW w:w="1757" w:type="dxa"/>
            <w:tcBorders>
              <w:bottom w:val="single" w:sz="8" w:space="0" w:color="2F005F"/>
            </w:tcBorders>
            <w:vAlign w:val="center"/>
          </w:tcPr>
          <w:p w14:paraId="5E770075" w14:textId="77777777" w:rsidR="00A6421D" w:rsidRPr="00FF0DCE" w:rsidRDefault="00A6421D" w:rsidP="00306640">
            <w:pPr>
              <w:pStyle w:val="Tablebodycopy"/>
              <w:jc w:val="center"/>
              <w:cnfStyle w:val="000000010000" w:firstRow="0" w:lastRow="0" w:firstColumn="0" w:lastColumn="0" w:oddVBand="0" w:evenVBand="0" w:oddHBand="0" w:evenHBand="1" w:firstRowFirstColumn="0" w:firstRowLastColumn="0" w:lastRowFirstColumn="0" w:lastRowLastColumn="0"/>
              <w:rPr>
                <w:color w:val="auto"/>
              </w:rPr>
            </w:pPr>
            <w:r w:rsidRPr="00FF0DCE">
              <w:rPr>
                <w:color w:val="auto"/>
              </w:rPr>
              <w:t>12%</w:t>
            </w:r>
          </w:p>
        </w:tc>
      </w:tr>
    </w:tbl>
    <w:p w14:paraId="1B8982FE" w14:textId="77777777" w:rsidR="001E73F3" w:rsidRDefault="00A6421D" w:rsidP="008B2387">
      <w:pPr>
        <w:pStyle w:val="Source"/>
      </w:pPr>
      <w:r w:rsidRPr="609C132D">
        <w:t xml:space="preserve">Source: </w:t>
      </w:r>
      <w:r w:rsidR="001E73F3">
        <w:t xml:space="preserve">ABS (2021) Total Personal Income (INCP) by Labour Force Status (LFSP), Occupation (OCCP) and Industry of Employment (INDP) and Sex (SEXP), [Census TableBuilder] </w:t>
      </w:r>
      <w:r w:rsidR="001E73F3" w:rsidRPr="00FA53F0">
        <w:t>accessed 17 November 2023.</w:t>
      </w:r>
      <w:r w:rsidR="001E73F3">
        <w:t xml:space="preserve"> </w:t>
      </w:r>
    </w:p>
    <w:p w14:paraId="17054039" w14:textId="6DAA8924" w:rsidR="00446751" w:rsidRPr="00446751" w:rsidRDefault="001E73F3" w:rsidP="00446751">
      <w:pPr>
        <w:pStyle w:val="Source"/>
      </w:pPr>
      <w:r>
        <w:t xml:space="preserve">Note: (a) </w:t>
      </w:r>
      <w:r w:rsidR="00A6421D" w:rsidRPr="609C132D">
        <w:t>There are various Gender Pay Gap ABS figures based on different measures and WGEA data indicates a November 2023 pay gap of 21.7%.</w:t>
      </w:r>
    </w:p>
    <w:p w14:paraId="1CBEE95C" w14:textId="0D795CE9" w:rsidR="00A6421D" w:rsidRDefault="00A6421D" w:rsidP="00306640">
      <w:pPr>
        <w:pStyle w:val="Heading4"/>
        <w:spacing w:before="240"/>
        <w:rPr>
          <w:color w:val="191919" w:themeColor="text1" w:themeTint="E6"/>
        </w:rPr>
      </w:pPr>
      <w:r>
        <w:lastRenderedPageBreak/>
        <w:t>Awards, employment agreements and union membership</w:t>
      </w:r>
    </w:p>
    <w:p w14:paraId="630B312E" w14:textId="77777777" w:rsidR="00A6421D" w:rsidRPr="00E16D4F" w:rsidRDefault="00A6421D" w:rsidP="00052446">
      <w:pPr>
        <w:pStyle w:val="Quote"/>
      </w:pPr>
      <w:r w:rsidRPr="00E16D4F">
        <w:t>In terms of industrial relations, the university and TAFE sectors share many similarities. Both are relatively highly unionised and yet highly casualised and both have developed workforce structures embedded over many years in awards and enterprise agreements. By comparison with university and TAFE institutes, industrial relations in private registered training organisations is historically characterised by low unionisation, little regulation and no common workforce development standard.</w:t>
      </w:r>
      <w:r w:rsidRPr="00BE57B7">
        <w:rPr>
          <w:rStyle w:val="EndnoteReference"/>
        </w:rPr>
        <w:endnoteReference w:id="27"/>
      </w:r>
    </w:p>
    <w:p w14:paraId="3F6AABD8" w14:textId="6DC00F99" w:rsidR="00A6421D" w:rsidRDefault="00A6421D" w:rsidP="00E16D4F">
      <w:pPr>
        <w:pStyle w:val="Bodycopy"/>
      </w:pPr>
      <w:r>
        <w:t xml:space="preserve">61.7% of </w:t>
      </w:r>
      <w:r w:rsidR="00CC6D50">
        <w:t>VET teachers</w:t>
      </w:r>
      <w:r>
        <w:t xml:space="preserve"> have their pay set by collective agreements (compared to just over a third for all employees) indicating strong EBA coverage in the sector, though not in comparison to secondary school or primary teachers where collective agreement coverage is above 95%.</w:t>
      </w:r>
      <w:r w:rsidRPr="5E557FE1">
        <w:rPr>
          <w:rStyle w:val="EndnoteReference"/>
        </w:rPr>
        <w:endnoteReference w:id="28"/>
      </w:r>
    </w:p>
    <w:p w14:paraId="54BC26E8" w14:textId="70B599D6" w:rsidR="00E6229F" w:rsidRDefault="00A6421D" w:rsidP="00E16D4F">
      <w:pPr>
        <w:pStyle w:val="Bodycopy"/>
        <w:rPr>
          <w:rFonts w:eastAsia="Arial" w:cs="Arial"/>
        </w:rPr>
      </w:pPr>
      <w:r>
        <w:t xml:space="preserve">Most of the VET workforce that is covered by enterprise agreements is in public TAFE providers. These are mainly teacher specific agreements but do cover managers and learning support roles in some cases. In contrast only 10% of </w:t>
      </w:r>
      <w:r w:rsidR="00CC6D50">
        <w:t>VET teachers</w:t>
      </w:r>
      <w:r>
        <w:t xml:space="preserve"> have their pay set by the award. </w:t>
      </w:r>
      <w:r w:rsidRPr="609C132D">
        <w:rPr>
          <w:rFonts w:eastAsiaTheme="minorEastAsia"/>
        </w:rPr>
        <w:t xml:space="preserve">As noted in Chapter 1, the </w:t>
      </w:r>
      <w:r w:rsidRPr="609C132D">
        <w:rPr>
          <w:rFonts w:eastAsia="Arial" w:cs="Arial"/>
        </w:rPr>
        <w:t xml:space="preserve">introduction of this </w:t>
      </w:r>
      <w:r>
        <w:t>award</w:t>
      </w:r>
      <w:r w:rsidRPr="609C132D">
        <w:rPr>
          <w:rFonts w:eastAsia="Arial" w:cs="Arial"/>
        </w:rPr>
        <w:t xml:space="preserve"> in 2010 created default career pathways for VET workers and considered qualifications of teaching and training staff when determining minimum pay. </w:t>
      </w:r>
    </w:p>
    <w:p w14:paraId="58F837A5" w14:textId="44436ED7" w:rsidR="00E6229F" w:rsidRDefault="00A6421D" w:rsidP="004D29D6">
      <w:pPr>
        <w:pStyle w:val="Bodycopy"/>
        <w:spacing w:after="360"/>
      </w:pPr>
      <w:r w:rsidRPr="609C132D">
        <w:t>However, the classification and pay rates in the Award are much lower compared to the bargained rates at both TAFE</w:t>
      </w:r>
      <w:r>
        <w:t>s</w:t>
      </w:r>
      <w:r w:rsidRPr="609C132D">
        <w:t xml:space="preserve"> and dual sector universities as per </w:t>
      </w:r>
      <w:hyperlink w:anchor="Table_2_10" w:history="1">
        <w:r w:rsidRPr="002075A4">
          <w:rPr>
            <w:rStyle w:val="Hyperlink"/>
          </w:rPr>
          <w:t>Table 2.10</w:t>
        </w:r>
      </w:hyperlink>
      <w:r w:rsidRPr="47E0E297">
        <w:t xml:space="preserve"> </w:t>
      </w:r>
      <w:r>
        <w:t xml:space="preserve">and </w:t>
      </w:r>
      <w:r w:rsidR="002075A4">
        <w:br/>
      </w:r>
      <w:hyperlink w:anchor="Figure_2_15" w:history="1">
        <w:r w:rsidRPr="002075A4">
          <w:rPr>
            <w:rStyle w:val="Hyperlink"/>
          </w:rPr>
          <w:t>Figure 2.</w:t>
        </w:r>
        <w:r w:rsidR="004B692A" w:rsidRPr="002075A4">
          <w:rPr>
            <w:rStyle w:val="Hyperlink"/>
          </w:rPr>
          <w:t>1</w:t>
        </w:r>
        <w:r w:rsidR="003E0DAE" w:rsidRPr="002075A4">
          <w:rPr>
            <w:rStyle w:val="Hyperlink"/>
          </w:rPr>
          <w:t>5</w:t>
        </w:r>
      </w:hyperlink>
      <w:r>
        <w:t>.</w:t>
      </w:r>
      <w:r w:rsidRPr="5A96F513">
        <w:t xml:space="preserve"> Reported annual</w:t>
      </w:r>
      <w:r>
        <w:t xml:space="preserve"> income in the Census </w:t>
      </w:r>
      <w:r w:rsidRPr="5A96F513">
        <w:t xml:space="preserve">also </w:t>
      </w:r>
      <w:r>
        <w:t xml:space="preserve">skews higher for </w:t>
      </w:r>
      <w:r w:rsidR="00CC6D50">
        <w:t>VET teachers</w:t>
      </w:r>
      <w:r>
        <w:t xml:space="preserve"> with public sector employers</w:t>
      </w:r>
      <w:r w:rsidR="003E0DAE">
        <w:t xml:space="preserve"> (</w:t>
      </w:r>
      <w:hyperlink w:anchor="Figure_2_16" w:history="1">
        <w:r w:rsidR="003E0DAE" w:rsidRPr="002075A4">
          <w:rPr>
            <w:rStyle w:val="Hyperlink"/>
          </w:rPr>
          <w:t>Figure 2.16</w:t>
        </w:r>
      </w:hyperlink>
      <w:r w:rsidR="003E0DAE">
        <w:t>)</w:t>
      </w:r>
      <w:r w:rsidRPr="5A96F513">
        <w:t>. However, there is</w:t>
      </w:r>
      <w:r>
        <w:t xml:space="preserve"> a higher proportion of private </w:t>
      </w:r>
      <w:r w:rsidR="00CC6D50">
        <w:t>VET teachers</w:t>
      </w:r>
      <w:r>
        <w:t xml:space="preserve"> in the highest income ranges compared to public </w:t>
      </w:r>
      <w:r w:rsidR="00CC6D50">
        <w:t>VET teachers</w:t>
      </w:r>
      <w:r w:rsidRPr="5A96F513">
        <w:t xml:space="preserve">. </w:t>
      </w:r>
    </w:p>
    <w:p w14:paraId="0020D803" w14:textId="626A8262" w:rsidR="00C356D4" w:rsidRDefault="00C356D4" w:rsidP="007F7313">
      <w:pPr>
        <w:pStyle w:val="Bodycopy"/>
        <w:spacing w:line="240" w:lineRule="auto"/>
      </w:pPr>
      <w:r>
        <w:rPr>
          <w:noProof/>
        </w:rPr>
        <w:drawing>
          <wp:inline distT="0" distB="0" distL="0" distR="0" wp14:anchorId="2B18DDA8" wp14:editId="11A4DB18">
            <wp:extent cx="5745480" cy="3961765"/>
            <wp:effectExtent l="0" t="0" r="7620" b="635"/>
            <wp:docPr id="221705129" name="Picture 1" descr="Educator giving a software engineer lecture to a diverse group of students, sitting behind computer 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05129" name="Picture 1" descr="Educator giving a software engineer lecture to a diverse group of students, sitting behind computer screen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45480" cy="3961765"/>
                    </a:xfrm>
                    <a:prstGeom prst="rect">
                      <a:avLst/>
                    </a:prstGeom>
                  </pic:spPr>
                </pic:pic>
              </a:graphicData>
            </a:graphic>
          </wp:inline>
        </w:drawing>
      </w:r>
    </w:p>
    <w:p w14:paraId="31FBAAFE" w14:textId="1C9CFCC5" w:rsidR="00E6229F" w:rsidRDefault="00A6421D" w:rsidP="00A6421D">
      <w:pPr>
        <w:pStyle w:val="Caption"/>
        <w:keepNext/>
      </w:pPr>
      <w:bookmarkStart w:id="136" w:name="Figure_2_15"/>
      <w:r>
        <w:lastRenderedPageBreak/>
        <w:t xml:space="preserve">Figure </w:t>
      </w:r>
      <w:r w:rsidR="006558DC">
        <w:fldChar w:fldCharType="begin"/>
      </w:r>
      <w:r w:rsidR="006558DC">
        <w:instrText xml:space="preserve"> STYLEREF 1 \s </w:instrText>
      </w:r>
      <w:r w:rsidR="006558DC">
        <w:fldChar w:fldCharType="separate"/>
      </w:r>
      <w:r w:rsidR="00E7704E">
        <w:rPr>
          <w:noProof/>
        </w:rPr>
        <w:t>2</w:t>
      </w:r>
      <w:r w:rsidR="006558DC">
        <w:fldChar w:fldCharType="end"/>
      </w:r>
      <w:r w:rsidR="007D4DC4">
        <w:t>.</w:t>
      </w:r>
      <w:r w:rsidR="006558DC">
        <w:fldChar w:fldCharType="begin"/>
      </w:r>
      <w:r w:rsidR="006558DC">
        <w:instrText xml:space="preserve"> SEQ Figure \* ARABIC \s 1 </w:instrText>
      </w:r>
      <w:r w:rsidR="006558DC">
        <w:fldChar w:fldCharType="separate"/>
      </w:r>
      <w:r w:rsidR="00E7704E">
        <w:rPr>
          <w:noProof/>
        </w:rPr>
        <w:t>15</w:t>
      </w:r>
      <w:r w:rsidR="006558DC">
        <w:fldChar w:fldCharType="end"/>
      </w:r>
      <w:r>
        <w:t xml:space="preserve"> Entry level and highest salaries for </w:t>
      </w:r>
      <w:r w:rsidR="00E73E5E">
        <w:t xml:space="preserve">VET </w:t>
      </w:r>
      <w:r>
        <w:t>teachers in dual sector universities, TAFEs, and the Post-Secondary Education Award</w:t>
      </w:r>
    </w:p>
    <w:bookmarkEnd w:id="136"/>
    <w:p w14:paraId="5C7B575D" w14:textId="3502AC61" w:rsidR="00A6421D" w:rsidRPr="00EE4CDB" w:rsidRDefault="00EE4CDB" w:rsidP="00EE4CDB">
      <w:pPr>
        <w:rPr>
          <w:lang w:val="en-US"/>
        </w:rPr>
      </w:pPr>
      <w:r>
        <w:rPr>
          <w:noProof/>
          <w:lang w:val="en-US"/>
        </w:rPr>
        <w:drawing>
          <wp:inline distT="0" distB="0" distL="0" distR="0" wp14:anchorId="01127899" wp14:editId="3E752A01">
            <wp:extent cx="5629111" cy="6516000"/>
            <wp:effectExtent l="19050" t="19050" r="10160" b="18415"/>
            <wp:docPr id="277767231" name="Picture 1" descr="Figure 2:15 Entry level and highest salaries for teachers in dual sector universities, TAFEs, and the Post-Secondary Education 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67231" name="Picture 1" descr="Figure 2:15 Entry level and highest salaries for teachers in dual sector universities, TAFEs, and the Post-Secondary Education Award"/>
                    <pic:cNvPicPr/>
                  </pic:nvPicPr>
                  <pic:blipFill rotWithShape="1">
                    <a:blip r:embed="rId35" cstate="print">
                      <a:extLst>
                        <a:ext uri="{28A0092B-C50C-407E-A947-70E740481C1C}">
                          <a14:useLocalDpi xmlns:a14="http://schemas.microsoft.com/office/drawing/2010/main" val="0"/>
                        </a:ext>
                      </a:extLst>
                    </a:blip>
                    <a:srcRect l="-1306" t="-772" r="-1306" b="-1901"/>
                    <a:stretch/>
                  </pic:blipFill>
                  <pic:spPr bwMode="auto">
                    <a:xfrm>
                      <a:off x="0" y="0"/>
                      <a:ext cx="5652000" cy="6542495"/>
                    </a:xfrm>
                    <a:prstGeom prst="rect">
                      <a:avLst/>
                    </a:prstGeom>
                    <a:solidFill>
                      <a:schemeClr val="bg1"/>
                    </a:solidFill>
                    <a:ln w="635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2D37B55" w14:textId="77777777" w:rsidR="00A6421D" w:rsidRDefault="00A6421D" w:rsidP="008B2387">
      <w:pPr>
        <w:pStyle w:val="Source"/>
      </w:pPr>
      <w:r>
        <w:t>Source: Institution Enterprise Agreements and Fair Work Commission</w:t>
      </w:r>
    </w:p>
    <w:p w14:paraId="5BCF6009" w14:textId="67AA33FF" w:rsidR="00446751" w:rsidRDefault="00A6421D" w:rsidP="008B2387">
      <w:pPr>
        <w:pStyle w:val="Source"/>
      </w:pPr>
      <w:r>
        <w:t>Notes: For TAFE and Dual Sector, salary rates are drawn from Enterprise Agreements, for teachers with Certificate IV. In some institutions, a lower rate is available for those commencing without Certificate IV.</w:t>
      </w:r>
    </w:p>
    <w:p w14:paraId="0799A86A" w14:textId="77777777" w:rsidR="00446751" w:rsidRDefault="00446751">
      <w:pPr>
        <w:rPr>
          <w:rFonts w:asciiTheme="minorHAnsi" w:hAnsiTheme="minorHAnsi"/>
          <w:color w:val="auto"/>
          <w:spacing w:val="6"/>
          <w:kern w:val="16"/>
          <w:sz w:val="18"/>
          <w:szCs w:val="18"/>
        </w:rPr>
      </w:pPr>
      <w:r>
        <w:br w:type="page"/>
      </w:r>
    </w:p>
    <w:p w14:paraId="4907D576" w14:textId="29B38A82" w:rsidR="001440C0" w:rsidRDefault="001440C0" w:rsidP="00352E98">
      <w:pPr>
        <w:pStyle w:val="Caption"/>
        <w:keepNext/>
        <w:spacing w:after="240"/>
      </w:pPr>
      <w:bookmarkStart w:id="137" w:name="Table_2_10"/>
      <w:r>
        <w:lastRenderedPageBreak/>
        <w:t xml:space="preserve">Table </w:t>
      </w:r>
      <w:r w:rsidR="004B692A">
        <w:fldChar w:fldCharType="begin"/>
      </w:r>
      <w:r w:rsidR="004B692A">
        <w:instrText xml:space="preserve"> STYLEREF 1 \s </w:instrText>
      </w:r>
      <w:r w:rsidR="004B692A">
        <w:fldChar w:fldCharType="separate"/>
      </w:r>
      <w:r w:rsidR="00E7704E">
        <w:rPr>
          <w:noProof/>
        </w:rPr>
        <w:t>2</w:t>
      </w:r>
      <w:r w:rsidR="004B692A">
        <w:fldChar w:fldCharType="end"/>
      </w:r>
      <w:r w:rsidR="004B692A">
        <w:t>.</w:t>
      </w:r>
      <w:r w:rsidR="004B692A">
        <w:fldChar w:fldCharType="begin"/>
      </w:r>
      <w:r w:rsidR="004B692A">
        <w:instrText xml:space="preserve"> SEQ Table \* ARABIC \s 1 </w:instrText>
      </w:r>
      <w:r w:rsidR="004B692A">
        <w:fldChar w:fldCharType="separate"/>
      </w:r>
      <w:r w:rsidR="00E7704E">
        <w:rPr>
          <w:noProof/>
        </w:rPr>
        <w:t>10</w:t>
      </w:r>
      <w:r w:rsidR="004B692A">
        <w:fldChar w:fldCharType="end"/>
      </w:r>
      <w:r>
        <w:t xml:space="preserve"> </w:t>
      </w:r>
      <w:r w:rsidRPr="00A4434D">
        <w:t xml:space="preserve">Entry level and highest salaries for </w:t>
      </w:r>
      <w:r w:rsidR="00DE7F19">
        <w:t xml:space="preserve">VET </w:t>
      </w:r>
      <w:r w:rsidRPr="00A4434D">
        <w:t xml:space="preserve">teachers in dual sector universities, TAFEs, </w:t>
      </w:r>
      <w:r w:rsidR="00681674">
        <w:br/>
      </w:r>
      <w:r w:rsidRPr="00A4434D">
        <w:t>and the Post-Secondary Education Award</w:t>
      </w:r>
    </w:p>
    <w:bookmarkEnd w:id="137"/>
    <w:tbl>
      <w:tblPr>
        <w:tblStyle w:val="JSATable1"/>
        <w:tblW w:w="8789" w:type="dxa"/>
        <w:tblLayout w:type="fixed"/>
        <w:tblLook w:val="04A0" w:firstRow="1" w:lastRow="0" w:firstColumn="1" w:lastColumn="0" w:noHBand="0" w:noVBand="1"/>
        <w:tblDescription w:val="Entry level and highest salaries for teachers in dual sector universities, TAFEs, and the Post-Secondary Education Award&#10;"/>
      </w:tblPr>
      <w:tblGrid>
        <w:gridCol w:w="5245"/>
        <w:gridCol w:w="1843"/>
        <w:gridCol w:w="1701"/>
      </w:tblGrid>
      <w:tr w:rsidR="00E01AE6" w14:paraId="23A98730" w14:textId="77777777" w:rsidTr="00674919">
        <w:trPr>
          <w:cnfStyle w:val="100000000000" w:firstRow="1" w:lastRow="0" w:firstColumn="0" w:lastColumn="0" w:oddVBand="0" w:evenVBand="0" w:oddHBand="0" w:evenHBand="0" w:firstRowFirstColumn="0" w:firstRowLastColumn="0" w:lastRowFirstColumn="0" w:lastRowLastColumn="0"/>
          <w:trHeight w:val="1002"/>
          <w:tblHeader/>
        </w:trPr>
        <w:tc>
          <w:tcPr>
            <w:cnfStyle w:val="001000000100" w:firstRow="0" w:lastRow="0" w:firstColumn="1" w:lastColumn="0" w:oddVBand="0" w:evenVBand="0" w:oddHBand="0" w:evenHBand="0" w:firstRowFirstColumn="1" w:firstRowLastColumn="0" w:lastRowFirstColumn="0" w:lastRowLastColumn="0"/>
            <w:tcW w:w="5245" w:type="dxa"/>
            <w:tcBorders>
              <w:bottom w:val="nil"/>
            </w:tcBorders>
          </w:tcPr>
          <w:p w14:paraId="621E3728" w14:textId="77777777" w:rsidR="00A6421D" w:rsidRPr="009F6471" w:rsidRDefault="00A6421D" w:rsidP="00674919">
            <w:pPr>
              <w:pStyle w:val="Tableheader"/>
              <w:ind w:left="0"/>
              <w:jc w:val="left"/>
            </w:pPr>
          </w:p>
        </w:tc>
        <w:tc>
          <w:tcPr>
            <w:tcW w:w="1843" w:type="dxa"/>
            <w:tcBorders>
              <w:bottom w:val="nil"/>
            </w:tcBorders>
          </w:tcPr>
          <w:p w14:paraId="3C36DA6A" w14:textId="77777777" w:rsidR="00A6421D" w:rsidRDefault="00A6421D" w:rsidP="00674919">
            <w:pPr>
              <w:pStyle w:val="Tableheader"/>
              <w:cnfStyle w:val="100000000000" w:firstRow="1" w:lastRow="0" w:firstColumn="0" w:lastColumn="0" w:oddVBand="0" w:evenVBand="0" w:oddHBand="0" w:evenHBand="0" w:firstRowFirstColumn="0" w:firstRowLastColumn="0" w:lastRowFirstColumn="0" w:lastRowLastColumn="0"/>
            </w:pPr>
            <w:r w:rsidRPr="5E3E68BD">
              <w:t>Entry-level</w:t>
            </w:r>
            <w:r>
              <w:t>^</w:t>
            </w:r>
          </w:p>
        </w:tc>
        <w:tc>
          <w:tcPr>
            <w:tcW w:w="1701" w:type="dxa"/>
            <w:tcBorders>
              <w:bottom w:val="nil"/>
            </w:tcBorders>
          </w:tcPr>
          <w:p w14:paraId="1F65E907" w14:textId="77777777" w:rsidR="00A6421D" w:rsidRDefault="00A6421D" w:rsidP="00674919">
            <w:pPr>
              <w:pStyle w:val="Tableheader"/>
              <w:cnfStyle w:val="100000000000" w:firstRow="1" w:lastRow="0" w:firstColumn="0" w:lastColumn="0" w:oddVBand="0" w:evenVBand="0" w:oddHBand="0" w:evenHBand="0" w:firstRowFirstColumn="0" w:firstRowLastColumn="0" w:lastRowFirstColumn="0" w:lastRowLastColumn="0"/>
            </w:pPr>
            <w:r w:rsidRPr="5E3E68BD">
              <w:t>Highest</w:t>
            </w:r>
          </w:p>
        </w:tc>
      </w:tr>
      <w:tr w:rsidR="00854C9E" w14:paraId="4A912CF1" w14:textId="77777777" w:rsidTr="00854C9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5" w:type="dxa"/>
            <w:tcBorders>
              <w:bottom w:val="nil"/>
            </w:tcBorders>
            <w:vAlign w:val="center"/>
          </w:tcPr>
          <w:p w14:paraId="1786C114" w14:textId="77777777" w:rsidR="00854C9E" w:rsidRPr="00F24F1A" w:rsidRDefault="00854C9E" w:rsidP="00854C9E">
            <w:pPr>
              <w:pStyle w:val="Tablebodycopy"/>
              <w:spacing w:before="0" w:after="0"/>
              <w:ind w:left="142"/>
              <w:rPr>
                <w:b/>
                <w:bCs/>
              </w:rPr>
            </w:pPr>
            <w:r w:rsidRPr="00F24F1A">
              <w:rPr>
                <w:b/>
                <w:bCs/>
              </w:rPr>
              <w:t xml:space="preserve">Dual sector </w:t>
            </w:r>
            <w:r>
              <w:rPr>
                <w:b/>
                <w:bCs/>
              </w:rPr>
              <w:t>universities</w:t>
            </w:r>
          </w:p>
        </w:tc>
        <w:tc>
          <w:tcPr>
            <w:tcW w:w="1843" w:type="dxa"/>
            <w:tcBorders>
              <w:bottom w:val="nil"/>
            </w:tcBorders>
            <w:vAlign w:val="center"/>
          </w:tcPr>
          <w:p w14:paraId="27A9E732" w14:textId="77777777" w:rsidR="00854C9E" w:rsidRPr="00F24F1A" w:rsidRDefault="00854C9E" w:rsidP="00854C9E">
            <w:pPr>
              <w:pStyle w:val="Tablebodycopy"/>
              <w:spacing w:before="0" w:after="0"/>
              <w:ind w:left="142"/>
              <w:jc w:val="center"/>
              <w:cnfStyle w:val="000000100000" w:firstRow="0" w:lastRow="0" w:firstColumn="0" w:lastColumn="0" w:oddVBand="0" w:evenVBand="0" w:oddHBand="1" w:evenHBand="0" w:firstRowFirstColumn="0" w:firstRowLastColumn="0" w:lastRowFirstColumn="0" w:lastRowLastColumn="0"/>
              <w:rPr>
                <w:b/>
                <w:bCs/>
              </w:rPr>
            </w:pPr>
          </w:p>
        </w:tc>
        <w:tc>
          <w:tcPr>
            <w:tcW w:w="1701" w:type="dxa"/>
            <w:tcBorders>
              <w:bottom w:val="nil"/>
            </w:tcBorders>
            <w:vAlign w:val="center"/>
          </w:tcPr>
          <w:p w14:paraId="39B40784" w14:textId="0428425E" w:rsidR="00854C9E" w:rsidRPr="00F24F1A" w:rsidRDefault="00854C9E" w:rsidP="00854C9E">
            <w:pPr>
              <w:pStyle w:val="Tablebodycopy"/>
              <w:spacing w:before="0" w:after="0"/>
              <w:ind w:left="142"/>
              <w:jc w:val="center"/>
              <w:cnfStyle w:val="000000100000" w:firstRow="0" w:lastRow="0" w:firstColumn="0" w:lastColumn="0" w:oddVBand="0" w:evenVBand="0" w:oddHBand="1" w:evenHBand="0" w:firstRowFirstColumn="0" w:firstRowLastColumn="0" w:lastRowFirstColumn="0" w:lastRowLastColumn="0"/>
              <w:rPr>
                <w:b/>
                <w:bCs/>
              </w:rPr>
            </w:pPr>
          </w:p>
        </w:tc>
      </w:tr>
      <w:tr w:rsidR="00E01AE6" w14:paraId="7E013C2A" w14:textId="77777777" w:rsidTr="00854C9E">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5" w:type="dxa"/>
            <w:tcBorders>
              <w:bottom w:val="nil"/>
            </w:tcBorders>
            <w:vAlign w:val="center"/>
          </w:tcPr>
          <w:p w14:paraId="3E75F929" w14:textId="77777777" w:rsidR="00A6421D" w:rsidRPr="00F24F1A" w:rsidRDefault="00A6421D" w:rsidP="00854C9E">
            <w:pPr>
              <w:pStyle w:val="Tablebodycopy"/>
              <w:spacing w:before="0" w:after="0"/>
              <w:ind w:left="142"/>
            </w:pPr>
            <w:r w:rsidRPr="00F24F1A">
              <w:t>RMIT</w:t>
            </w:r>
            <w:r>
              <w:t xml:space="preserve"> University</w:t>
            </w:r>
          </w:p>
        </w:tc>
        <w:tc>
          <w:tcPr>
            <w:tcW w:w="1843" w:type="dxa"/>
            <w:tcBorders>
              <w:bottom w:val="nil"/>
            </w:tcBorders>
            <w:vAlign w:val="center"/>
          </w:tcPr>
          <w:p w14:paraId="4EE46B0B" w14:textId="77777777" w:rsidR="00A6421D" w:rsidRPr="00F24F1A" w:rsidRDefault="00A6421D" w:rsidP="00854C9E">
            <w:pPr>
              <w:pStyle w:val="Tablebodycopy"/>
              <w:spacing w:before="0" w:after="0"/>
              <w:ind w:left="142"/>
              <w:jc w:val="center"/>
              <w:cnfStyle w:val="000000010000" w:firstRow="0" w:lastRow="0" w:firstColumn="0" w:lastColumn="0" w:oddVBand="0" w:evenVBand="0" w:oddHBand="0" w:evenHBand="1" w:firstRowFirstColumn="0" w:firstRowLastColumn="0" w:lastRowFirstColumn="0" w:lastRowLastColumn="0"/>
            </w:pPr>
            <w:r>
              <w:t>$71,684</w:t>
            </w:r>
          </w:p>
        </w:tc>
        <w:tc>
          <w:tcPr>
            <w:tcW w:w="1701" w:type="dxa"/>
            <w:tcBorders>
              <w:bottom w:val="nil"/>
            </w:tcBorders>
            <w:vAlign w:val="center"/>
          </w:tcPr>
          <w:p w14:paraId="2BEB53F9" w14:textId="526CAC45" w:rsidR="00A6421D" w:rsidRPr="00F24F1A" w:rsidRDefault="00A6421D" w:rsidP="00854C9E">
            <w:pPr>
              <w:pStyle w:val="Tablebodycopy"/>
              <w:spacing w:before="0" w:after="0"/>
              <w:ind w:left="142"/>
              <w:jc w:val="center"/>
              <w:cnfStyle w:val="000000010000" w:firstRow="0" w:lastRow="0" w:firstColumn="0" w:lastColumn="0" w:oddVBand="0" w:evenVBand="0" w:oddHBand="0" w:evenHBand="1" w:firstRowFirstColumn="0" w:firstRowLastColumn="0" w:lastRowFirstColumn="0" w:lastRowLastColumn="0"/>
            </w:pPr>
            <w:r>
              <w:t>$106,905</w:t>
            </w:r>
          </w:p>
        </w:tc>
      </w:tr>
      <w:tr w:rsidR="00A6421D" w14:paraId="297003B1" w14:textId="77777777" w:rsidTr="00854C9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5" w:type="dxa"/>
            <w:tcBorders>
              <w:bottom w:val="nil"/>
            </w:tcBorders>
            <w:vAlign w:val="center"/>
          </w:tcPr>
          <w:p w14:paraId="106E06C1" w14:textId="77777777" w:rsidR="00A6421D" w:rsidRPr="00F24F1A" w:rsidRDefault="00A6421D" w:rsidP="00854C9E">
            <w:pPr>
              <w:pStyle w:val="Tablebodycopy"/>
              <w:spacing w:before="0" w:after="0"/>
              <w:ind w:left="142"/>
            </w:pPr>
            <w:r w:rsidRPr="00F24F1A">
              <w:t>C</w:t>
            </w:r>
            <w:r>
              <w:t xml:space="preserve">harles </w:t>
            </w:r>
            <w:r w:rsidRPr="00F24F1A">
              <w:t>D</w:t>
            </w:r>
            <w:r>
              <w:t xml:space="preserve">arwin </w:t>
            </w:r>
            <w:r w:rsidRPr="00F24F1A">
              <w:t>U</w:t>
            </w:r>
            <w:r>
              <w:t>niversity</w:t>
            </w:r>
          </w:p>
        </w:tc>
        <w:tc>
          <w:tcPr>
            <w:tcW w:w="1843" w:type="dxa"/>
            <w:tcBorders>
              <w:bottom w:val="nil"/>
            </w:tcBorders>
            <w:vAlign w:val="center"/>
          </w:tcPr>
          <w:p w14:paraId="6805D860" w14:textId="77777777" w:rsidR="00A6421D" w:rsidRPr="00F24F1A" w:rsidRDefault="00A6421D" w:rsidP="00854C9E">
            <w:pPr>
              <w:pStyle w:val="Tablebodycopy"/>
              <w:spacing w:before="0" w:after="0"/>
              <w:ind w:left="142"/>
              <w:jc w:val="center"/>
              <w:cnfStyle w:val="000000100000" w:firstRow="0" w:lastRow="0" w:firstColumn="0" w:lastColumn="0" w:oddVBand="0" w:evenVBand="0" w:oddHBand="1" w:evenHBand="0" w:firstRowFirstColumn="0" w:firstRowLastColumn="0" w:lastRowFirstColumn="0" w:lastRowLastColumn="0"/>
            </w:pPr>
            <w:r>
              <w:t>$72,702</w:t>
            </w:r>
          </w:p>
        </w:tc>
        <w:tc>
          <w:tcPr>
            <w:tcW w:w="1701" w:type="dxa"/>
            <w:tcBorders>
              <w:bottom w:val="nil"/>
            </w:tcBorders>
            <w:vAlign w:val="center"/>
          </w:tcPr>
          <w:p w14:paraId="434AD8E8" w14:textId="2E19B599" w:rsidR="00A6421D" w:rsidRPr="00F24F1A" w:rsidRDefault="00A6421D" w:rsidP="00854C9E">
            <w:pPr>
              <w:pStyle w:val="Tablebodycopy"/>
              <w:spacing w:before="0" w:after="0"/>
              <w:ind w:left="142"/>
              <w:jc w:val="center"/>
              <w:cnfStyle w:val="000000100000" w:firstRow="0" w:lastRow="0" w:firstColumn="0" w:lastColumn="0" w:oddVBand="0" w:evenVBand="0" w:oddHBand="1" w:evenHBand="0" w:firstRowFirstColumn="0" w:firstRowLastColumn="0" w:lastRowFirstColumn="0" w:lastRowLastColumn="0"/>
            </w:pPr>
            <w:r>
              <w:t>$109,071</w:t>
            </w:r>
          </w:p>
        </w:tc>
      </w:tr>
      <w:tr w:rsidR="00E01AE6" w14:paraId="6A8DE23B" w14:textId="77777777" w:rsidTr="00854C9E">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5" w:type="dxa"/>
            <w:tcBorders>
              <w:bottom w:val="nil"/>
            </w:tcBorders>
            <w:vAlign w:val="center"/>
          </w:tcPr>
          <w:p w14:paraId="494A54BF" w14:textId="77777777" w:rsidR="00A6421D" w:rsidRPr="00F24F1A" w:rsidRDefault="00A6421D" w:rsidP="00854C9E">
            <w:pPr>
              <w:pStyle w:val="Tablebodycopy"/>
              <w:spacing w:before="0" w:after="0"/>
              <w:ind w:left="142"/>
            </w:pPr>
            <w:r w:rsidRPr="00F24F1A">
              <w:t>Swinburne</w:t>
            </w:r>
            <w:r>
              <w:t xml:space="preserve"> University of Technology</w:t>
            </w:r>
          </w:p>
        </w:tc>
        <w:tc>
          <w:tcPr>
            <w:tcW w:w="1843" w:type="dxa"/>
            <w:tcBorders>
              <w:bottom w:val="nil"/>
            </w:tcBorders>
            <w:vAlign w:val="center"/>
          </w:tcPr>
          <w:p w14:paraId="43A20D1C" w14:textId="77777777" w:rsidR="00A6421D" w:rsidRPr="00F24F1A" w:rsidRDefault="00A6421D" w:rsidP="00854C9E">
            <w:pPr>
              <w:pStyle w:val="Tablebodycopy"/>
              <w:spacing w:before="0" w:after="0"/>
              <w:ind w:left="142"/>
              <w:jc w:val="center"/>
              <w:cnfStyle w:val="000000010000" w:firstRow="0" w:lastRow="0" w:firstColumn="0" w:lastColumn="0" w:oddVBand="0" w:evenVBand="0" w:oddHBand="0" w:evenHBand="1" w:firstRowFirstColumn="0" w:firstRowLastColumn="0" w:lastRowFirstColumn="0" w:lastRowLastColumn="0"/>
            </w:pPr>
            <w:r>
              <w:t>$76,108</w:t>
            </w:r>
          </w:p>
        </w:tc>
        <w:tc>
          <w:tcPr>
            <w:tcW w:w="1701" w:type="dxa"/>
            <w:tcBorders>
              <w:bottom w:val="nil"/>
            </w:tcBorders>
            <w:vAlign w:val="center"/>
          </w:tcPr>
          <w:p w14:paraId="3ADDD053" w14:textId="2B5882F4" w:rsidR="00A6421D" w:rsidRPr="00F24F1A" w:rsidRDefault="00A6421D" w:rsidP="00854C9E">
            <w:pPr>
              <w:pStyle w:val="Tablebodycopy"/>
              <w:spacing w:before="0" w:after="0"/>
              <w:ind w:left="142"/>
              <w:jc w:val="center"/>
              <w:cnfStyle w:val="000000010000" w:firstRow="0" w:lastRow="0" w:firstColumn="0" w:lastColumn="0" w:oddVBand="0" w:evenVBand="0" w:oddHBand="0" w:evenHBand="1" w:firstRowFirstColumn="0" w:firstRowLastColumn="0" w:lastRowFirstColumn="0" w:lastRowLastColumn="0"/>
            </w:pPr>
            <w:r>
              <w:t>$113,502</w:t>
            </w:r>
          </w:p>
        </w:tc>
      </w:tr>
      <w:tr w:rsidR="00A6421D" w14:paraId="18B503A8" w14:textId="77777777" w:rsidTr="00854C9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5" w:type="dxa"/>
            <w:tcBorders>
              <w:bottom w:val="nil"/>
            </w:tcBorders>
            <w:vAlign w:val="center"/>
          </w:tcPr>
          <w:p w14:paraId="602CE8B8" w14:textId="77777777" w:rsidR="00A6421D" w:rsidRPr="00F24F1A" w:rsidRDefault="00A6421D" w:rsidP="00854C9E">
            <w:pPr>
              <w:pStyle w:val="Tablebodycopy"/>
              <w:spacing w:before="0" w:after="0"/>
              <w:ind w:left="142"/>
            </w:pPr>
            <w:r>
              <w:t>CQ University</w:t>
            </w:r>
          </w:p>
        </w:tc>
        <w:tc>
          <w:tcPr>
            <w:tcW w:w="1843" w:type="dxa"/>
            <w:tcBorders>
              <w:bottom w:val="nil"/>
            </w:tcBorders>
            <w:vAlign w:val="center"/>
          </w:tcPr>
          <w:p w14:paraId="35E8BB47" w14:textId="77777777" w:rsidR="00A6421D" w:rsidRPr="00F24F1A" w:rsidRDefault="00A6421D" w:rsidP="00854C9E">
            <w:pPr>
              <w:pStyle w:val="Tablebodycopy"/>
              <w:spacing w:before="0" w:after="0"/>
              <w:ind w:left="142"/>
              <w:jc w:val="center"/>
              <w:cnfStyle w:val="000000100000" w:firstRow="0" w:lastRow="0" w:firstColumn="0" w:lastColumn="0" w:oddVBand="0" w:evenVBand="0" w:oddHBand="1" w:evenHBand="0" w:firstRowFirstColumn="0" w:firstRowLastColumn="0" w:lastRowFirstColumn="0" w:lastRowLastColumn="0"/>
            </w:pPr>
            <w:r>
              <w:t>$86,771</w:t>
            </w:r>
          </w:p>
        </w:tc>
        <w:tc>
          <w:tcPr>
            <w:tcW w:w="1701" w:type="dxa"/>
            <w:tcBorders>
              <w:bottom w:val="nil"/>
            </w:tcBorders>
            <w:vAlign w:val="center"/>
          </w:tcPr>
          <w:p w14:paraId="3C6563DE" w14:textId="7DA49258" w:rsidR="00A6421D" w:rsidRPr="00F24F1A" w:rsidRDefault="00A6421D" w:rsidP="00854C9E">
            <w:pPr>
              <w:pStyle w:val="Tablebodycopy"/>
              <w:spacing w:before="0" w:after="0"/>
              <w:ind w:left="142"/>
              <w:jc w:val="center"/>
              <w:cnfStyle w:val="000000100000" w:firstRow="0" w:lastRow="0" w:firstColumn="0" w:lastColumn="0" w:oddVBand="0" w:evenVBand="0" w:oddHBand="1" w:evenHBand="0" w:firstRowFirstColumn="0" w:firstRowLastColumn="0" w:lastRowFirstColumn="0" w:lastRowLastColumn="0"/>
            </w:pPr>
            <w:r>
              <w:t>$109,194</w:t>
            </w:r>
          </w:p>
        </w:tc>
      </w:tr>
      <w:tr w:rsidR="00E01AE6" w14:paraId="246ACACD" w14:textId="77777777" w:rsidTr="00207618">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5" w:type="dxa"/>
            <w:tcBorders>
              <w:bottom w:val="nil"/>
            </w:tcBorders>
            <w:vAlign w:val="center"/>
          </w:tcPr>
          <w:p w14:paraId="735A0CDC" w14:textId="77777777" w:rsidR="00A6421D" w:rsidRPr="00F24F1A" w:rsidRDefault="00A6421D" w:rsidP="00854C9E">
            <w:pPr>
              <w:pStyle w:val="Tablebodycopy"/>
              <w:spacing w:before="0" w:after="0"/>
              <w:ind w:left="142"/>
            </w:pPr>
            <w:r w:rsidRPr="00F24F1A">
              <w:t>V</w:t>
            </w:r>
            <w:r>
              <w:t xml:space="preserve">ictoria </w:t>
            </w:r>
            <w:r w:rsidRPr="00F24F1A">
              <w:t>U</w:t>
            </w:r>
            <w:r>
              <w:t>niversity</w:t>
            </w:r>
          </w:p>
        </w:tc>
        <w:tc>
          <w:tcPr>
            <w:tcW w:w="1843" w:type="dxa"/>
            <w:tcBorders>
              <w:bottom w:val="nil"/>
            </w:tcBorders>
            <w:vAlign w:val="center"/>
          </w:tcPr>
          <w:p w14:paraId="60AC430A" w14:textId="77777777" w:rsidR="00A6421D" w:rsidRPr="00F24F1A" w:rsidRDefault="00A6421D" w:rsidP="00854C9E">
            <w:pPr>
              <w:pStyle w:val="Tablebodycopy"/>
              <w:spacing w:before="0" w:after="0"/>
              <w:ind w:left="142"/>
              <w:jc w:val="center"/>
              <w:cnfStyle w:val="000000010000" w:firstRow="0" w:lastRow="0" w:firstColumn="0" w:lastColumn="0" w:oddVBand="0" w:evenVBand="0" w:oddHBand="0" w:evenHBand="1" w:firstRowFirstColumn="0" w:firstRowLastColumn="0" w:lastRowFirstColumn="0" w:lastRowLastColumn="0"/>
            </w:pPr>
            <w:r>
              <w:t>$83,505</w:t>
            </w:r>
          </w:p>
        </w:tc>
        <w:tc>
          <w:tcPr>
            <w:tcW w:w="1701" w:type="dxa"/>
            <w:tcBorders>
              <w:bottom w:val="nil"/>
            </w:tcBorders>
            <w:vAlign w:val="center"/>
          </w:tcPr>
          <w:p w14:paraId="4B94BEDC" w14:textId="2D8F33A7" w:rsidR="00A6421D" w:rsidRPr="00F24F1A" w:rsidRDefault="00A6421D" w:rsidP="00854C9E">
            <w:pPr>
              <w:pStyle w:val="Tablebodycopy"/>
              <w:spacing w:before="0" w:after="0"/>
              <w:ind w:left="142"/>
              <w:jc w:val="center"/>
              <w:cnfStyle w:val="000000010000" w:firstRow="0" w:lastRow="0" w:firstColumn="0" w:lastColumn="0" w:oddVBand="0" w:evenVBand="0" w:oddHBand="0" w:evenHBand="1" w:firstRowFirstColumn="0" w:firstRowLastColumn="0" w:lastRowFirstColumn="0" w:lastRowLastColumn="0"/>
            </w:pPr>
            <w:r>
              <w:t>$109,214</w:t>
            </w:r>
          </w:p>
        </w:tc>
      </w:tr>
      <w:tr w:rsidR="00A6421D" w14:paraId="7F8C5F0F" w14:textId="77777777" w:rsidTr="0020761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5" w:type="dxa"/>
            <w:tcBorders>
              <w:bottom w:val="single" w:sz="8" w:space="0" w:color="2F005F"/>
            </w:tcBorders>
            <w:vAlign w:val="center"/>
          </w:tcPr>
          <w:p w14:paraId="2FF2DBE3" w14:textId="77777777" w:rsidR="00A6421D" w:rsidRPr="00F24F1A" w:rsidRDefault="00A6421D" w:rsidP="00854C9E">
            <w:pPr>
              <w:pStyle w:val="Tablebodycopy"/>
              <w:spacing w:before="0" w:after="0"/>
              <w:ind w:left="142"/>
            </w:pPr>
            <w:r w:rsidRPr="00F24F1A">
              <w:t>Fed</w:t>
            </w:r>
            <w:r>
              <w:t xml:space="preserve">eration </w:t>
            </w:r>
            <w:r w:rsidRPr="00F24F1A">
              <w:t>Uni</w:t>
            </w:r>
            <w:r>
              <w:t>versity Australia</w:t>
            </w:r>
          </w:p>
        </w:tc>
        <w:tc>
          <w:tcPr>
            <w:tcW w:w="1843" w:type="dxa"/>
            <w:tcBorders>
              <w:bottom w:val="single" w:sz="8" w:space="0" w:color="2F005F"/>
            </w:tcBorders>
            <w:vAlign w:val="center"/>
          </w:tcPr>
          <w:p w14:paraId="12EA5CE6" w14:textId="77777777" w:rsidR="00A6421D" w:rsidRPr="00F24F1A" w:rsidRDefault="00A6421D" w:rsidP="00854C9E">
            <w:pPr>
              <w:pStyle w:val="Tablebodycopy"/>
              <w:spacing w:before="0" w:after="0"/>
              <w:ind w:left="142"/>
              <w:jc w:val="center"/>
              <w:cnfStyle w:val="000000100000" w:firstRow="0" w:lastRow="0" w:firstColumn="0" w:lastColumn="0" w:oddVBand="0" w:evenVBand="0" w:oddHBand="1" w:evenHBand="0" w:firstRowFirstColumn="0" w:firstRowLastColumn="0" w:lastRowFirstColumn="0" w:lastRowLastColumn="0"/>
            </w:pPr>
            <w:r>
              <w:t>$77,024</w:t>
            </w:r>
          </w:p>
        </w:tc>
        <w:tc>
          <w:tcPr>
            <w:tcW w:w="1701" w:type="dxa"/>
            <w:tcBorders>
              <w:bottom w:val="single" w:sz="8" w:space="0" w:color="2F005F"/>
            </w:tcBorders>
            <w:vAlign w:val="center"/>
          </w:tcPr>
          <w:p w14:paraId="43FA9755" w14:textId="69BD66E8" w:rsidR="00A6421D" w:rsidRPr="00F24F1A" w:rsidRDefault="00A6421D" w:rsidP="00854C9E">
            <w:pPr>
              <w:pStyle w:val="Tablebodycopy"/>
              <w:spacing w:before="0" w:after="0"/>
              <w:ind w:left="142"/>
              <w:jc w:val="center"/>
              <w:cnfStyle w:val="000000100000" w:firstRow="0" w:lastRow="0" w:firstColumn="0" w:lastColumn="0" w:oddVBand="0" w:evenVBand="0" w:oddHBand="1" w:evenHBand="0" w:firstRowFirstColumn="0" w:firstRowLastColumn="0" w:lastRowFirstColumn="0" w:lastRowLastColumn="0"/>
            </w:pPr>
            <w:r>
              <w:t>$109,207</w:t>
            </w:r>
          </w:p>
        </w:tc>
      </w:tr>
      <w:tr w:rsidR="00854C9E" w14:paraId="58D9AFA4" w14:textId="77777777" w:rsidTr="00207618">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5" w:type="dxa"/>
            <w:tcBorders>
              <w:top w:val="single" w:sz="8" w:space="0" w:color="2F005F"/>
              <w:bottom w:val="nil"/>
            </w:tcBorders>
            <w:vAlign w:val="center"/>
          </w:tcPr>
          <w:p w14:paraId="4C3E3139" w14:textId="77777777" w:rsidR="00854C9E" w:rsidRPr="00F24F1A" w:rsidRDefault="00854C9E" w:rsidP="00854C9E">
            <w:pPr>
              <w:pStyle w:val="Bodycopy"/>
              <w:spacing w:after="0"/>
              <w:ind w:left="142"/>
              <w:rPr>
                <w:rStyle w:val="normaltextrun"/>
              </w:rPr>
            </w:pPr>
            <w:r w:rsidRPr="00F24F1A">
              <w:rPr>
                <w:b/>
                <w:bCs/>
              </w:rPr>
              <w:t>TAFEs</w:t>
            </w:r>
          </w:p>
        </w:tc>
        <w:tc>
          <w:tcPr>
            <w:tcW w:w="1843" w:type="dxa"/>
            <w:tcBorders>
              <w:top w:val="single" w:sz="8" w:space="0" w:color="2F005F"/>
              <w:bottom w:val="nil"/>
            </w:tcBorders>
            <w:vAlign w:val="center"/>
          </w:tcPr>
          <w:p w14:paraId="08F32B55" w14:textId="77777777" w:rsidR="00854C9E" w:rsidRPr="00F24F1A" w:rsidRDefault="00854C9E" w:rsidP="00854C9E">
            <w:pPr>
              <w:pStyle w:val="Bodycopy"/>
              <w:spacing w:after="0"/>
              <w:ind w:left="142"/>
              <w:jc w:val="center"/>
              <w:cnfStyle w:val="000000010000" w:firstRow="0" w:lastRow="0" w:firstColumn="0" w:lastColumn="0" w:oddVBand="0" w:evenVBand="0" w:oddHBand="0" w:evenHBand="1" w:firstRowFirstColumn="0" w:firstRowLastColumn="0" w:lastRowFirstColumn="0" w:lastRowLastColumn="0"/>
              <w:rPr>
                <w:rStyle w:val="normaltextrun"/>
              </w:rPr>
            </w:pPr>
          </w:p>
        </w:tc>
        <w:tc>
          <w:tcPr>
            <w:tcW w:w="1701" w:type="dxa"/>
            <w:tcBorders>
              <w:top w:val="single" w:sz="8" w:space="0" w:color="2F005F"/>
              <w:bottom w:val="nil"/>
            </w:tcBorders>
            <w:vAlign w:val="center"/>
          </w:tcPr>
          <w:p w14:paraId="4727B1B8" w14:textId="520CB30F" w:rsidR="00854C9E" w:rsidRPr="00F24F1A" w:rsidRDefault="00854C9E" w:rsidP="00854C9E">
            <w:pPr>
              <w:pStyle w:val="Bodycopy"/>
              <w:spacing w:after="0"/>
              <w:ind w:left="142"/>
              <w:jc w:val="center"/>
              <w:cnfStyle w:val="000000010000" w:firstRow="0" w:lastRow="0" w:firstColumn="0" w:lastColumn="0" w:oddVBand="0" w:evenVBand="0" w:oddHBand="0" w:evenHBand="1" w:firstRowFirstColumn="0" w:firstRowLastColumn="0" w:lastRowFirstColumn="0" w:lastRowLastColumn="0"/>
              <w:rPr>
                <w:rStyle w:val="normaltextrun"/>
              </w:rPr>
            </w:pPr>
          </w:p>
        </w:tc>
      </w:tr>
      <w:tr w:rsidR="00A6421D" w14:paraId="40F99420" w14:textId="77777777" w:rsidTr="00854C9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5" w:type="dxa"/>
            <w:tcBorders>
              <w:bottom w:val="nil"/>
            </w:tcBorders>
            <w:vAlign w:val="center"/>
          </w:tcPr>
          <w:p w14:paraId="32341194" w14:textId="77777777" w:rsidR="00A6421D" w:rsidRPr="00F24F1A" w:rsidRDefault="00A6421D" w:rsidP="00854C9E">
            <w:pPr>
              <w:pStyle w:val="Bodycopy"/>
              <w:spacing w:after="0"/>
              <w:ind w:left="142"/>
            </w:pPr>
            <w:r>
              <w:t xml:space="preserve">TAFE </w:t>
            </w:r>
            <w:r w:rsidRPr="00F24F1A">
              <w:t>SA </w:t>
            </w:r>
          </w:p>
        </w:tc>
        <w:tc>
          <w:tcPr>
            <w:tcW w:w="1843" w:type="dxa"/>
            <w:tcBorders>
              <w:bottom w:val="nil"/>
            </w:tcBorders>
            <w:vAlign w:val="center"/>
          </w:tcPr>
          <w:p w14:paraId="12931CEE" w14:textId="2221B8EF" w:rsidR="00A6421D" w:rsidRPr="00F24F1A" w:rsidRDefault="00A6421D" w:rsidP="00854C9E">
            <w:pPr>
              <w:pStyle w:val="Bodycopy"/>
              <w:spacing w:after="0"/>
              <w:ind w:left="142"/>
              <w:jc w:val="center"/>
              <w:cnfStyle w:val="000000100000" w:firstRow="0" w:lastRow="0" w:firstColumn="0" w:lastColumn="0" w:oddVBand="0" w:evenVBand="0" w:oddHBand="1" w:evenHBand="0" w:firstRowFirstColumn="0" w:firstRowLastColumn="0" w:lastRowFirstColumn="0" w:lastRowLastColumn="0"/>
            </w:pPr>
            <w:r w:rsidRPr="609C132D">
              <w:t>$89,198</w:t>
            </w:r>
          </w:p>
        </w:tc>
        <w:tc>
          <w:tcPr>
            <w:tcW w:w="1701" w:type="dxa"/>
            <w:tcBorders>
              <w:bottom w:val="nil"/>
            </w:tcBorders>
            <w:vAlign w:val="center"/>
          </w:tcPr>
          <w:p w14:paraId="30C998D9" w14:textId="02C07CD3" w:rsidR="00A6421D" w:rsidRPr="00F24F1A" w:rsidRDefault="00A6421D" w:rsidP="00854C9E">
            <w:pPr>
              <w:pStyle w:val="Bodycopy"/>
              <w:spacing w:after="0"/>
              <w:ind w:left="142"/>
              <w:jc w:val="center"/>
              <w:cnfStyle w:val="000000100000" w:firstRow="0" w:lastRow="0" w:firstColumn="0" w:lastColumn="0" w:oddVBand="0" w:evenVBand="0" w:oddHBand="1" w:evenHBand="0" w:firstRowFirstColumn="0" w:firstRowLastColumn="0" w:lastRowFirstColumn="0" w:lastRowLastColumn="0"/>
            </w:pPr>
            <w:r w:rsidRPr="609C132D">
              <w:t>$101,647</w:t>
            </w:r>
          </w:p>
        </w:tc>
      </w:tr>
      <w:tr w:rsidR="00E01AE6" w14:paraId="01DAEA94" w14:textId="77777777" w:rsidTr="00854C9E">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5" w:type="dxa"/>
            <w:tcBorders>
              <w:bottom w:val="nil"/>
            </w:tcBorders>
            <w:vAlign w:val="center"/>
          </w:tcPr>
          <w:p w14:paraId="41B45A8E" w14:textId="77777777" w:rsidR="00A6421D" w:rsidRPr="00F24F1A" w:rsidRDefault="00A6421D" w:rsidP="00854C9E">
            <w:pPr>
              <w:pStyle w:val="Bodycopy"/>
              <w:spacing w:after="0"/>
              <w:ind w:left="142"/>
            </w:pPr>
            <w:r>
              <w:t xml:space="preserve">TAFE </w:t>
            </w:r>
            <w:r w:rsidRPr="00F24F1A">
              <w:t>NSW </w:t>
            </w:r>
          </w:p>
        </w:tc>
        <w:tc>
          <w:tcPr>
            <w:tcW w:w="1843" w:type="dxa"/>
            <w:tcBorders>
              <w:bottom w:val="nil"/>
            </w:tcBorders>
            <w:vAlign w:val="center"/>
          </w:tcPr>
          <w:p w14:paraId="3F02C5A3" w14:textId="2D814F85" w:rsidR="00A6421D" w:rsidRPr="00F24F1A" w:rsidRDefault="00A6421D" w:rsidP="00854C9E">
            <w:pPr>
              <w:pStyle w:val="Bodycopy"/>
              <w:spacing w:after="0"/>
              <w:ind w:left="142"/>
              <w:jc w:val="center"/>
              <w:cnfStyle w:val="000000010000" w:firstRow="0" w:lastRow="0" w:firstColumn="0" w:lastColumn="0" w:oddVBand="0" w:evenVBand="0" w:oddHBand="0" w:evenHBand="1" w:firstRowFirstColumn="0" w:firstRowLastColumn="0" w:lastRowFirstColumn="0" w:lastRowLastColumn="0"/>
            </w:pPr>
            <w:r w:rsidRPr="609C132D">
              <w:t>$88,842</w:t>
            </w:r>
          </w:p>
        </w:tc>
        <w:tc>
          <w:tcPr>
            <w:tcW w:w="1701" w:type="dxa"/>
            <w:tcBorders>
              <w:bottom w:val="nil"/>
            </w:tcBorders>
            <w:vAlign w:val="center"/>
          </w:tcPr>
          <w:p w14:paraId="6864E610" w14:textId="77777777" w:rsidR="00A6421D" w:rsidRPr="00F24F1A" w:rsidRDefault="00A6421D" w:rsidP="00854C9E">
            <w:pPr>
              <w:pStyle w:val="Bodycopy"/>
              <w:spacing w:after="0"/>
              <w:ind w:left="142"/>
              <w:jc w:val="center"/>
              <w:cnfStyle w:val="000000010000" w:firstRow="0" w:lastRow="0" w:firstColumn="0" w:lastColumn="0" w:oddVBand="0" w:evenVBand="0" w:oddHBand="0" w:evenHBand="1" w:firstRowFirstColumn="0" w:firstRowLastColumn="0" w:lastRowFirstColumn="0" w:lastRowLastColumn="0"/>
              <w:rPr>
                <w:rStyle w:val="normaltextrun"/>
              </w:rPr>
            </w:pPr>
            <w:r w:rsidRPr="609C132D">
              <w:t>$105,362</w:t>
            </w:r>
          </w:p>
        </w:tc>
      </w:tr>
      <w:tr w:rsidR="00A6421D" w14:paraId="5F0B99C4" w14:textId="77777777" w:rsidTr="00854C9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5" w:type="dxa"/>
            <w:tcBorders>
              <w:bottom w:val="nil"/>
            </w:tcBorders>
            <w:vAlign w:val="center"/>
          </w:tcPr>
          <w:p w14:paraId="4665DF6C" w14:textId="77777777" w:rsidR="00A6421D" w:rsidRPr="00F24F1A" w:rsidRDefault="00A6421D" w:rsidP="00854C9E">
            <w:pPr>
              <w:pStyle w:val="Tablebodycopy"/>
              <w:spacing w:before="0" w:after="0"/>
              <w:ind w:left="142"/>
            </w:pPr>
            <w:r w:rsidRPr="00B7001D">
              <w:rPr>
                <w:rStyle w:val="BodycopyChar"/>
              </w:rPr>
              <w:t>WA</w:t>
            </w:r>
            <w:r w:rsidRPr="00F24F1A">
              <w:t> </w:t>
            </w:r>
            <w:r>
              <w:t>TAFEs</w:t>
            </w:r>
          </w:p>
        </w:tc>
        <w:tc>
          <w:tcPr>
            <w:tcW w:w="1843" w:type="dxa"/>
            <w:tcBorders>
              <w:bottom w:val="nil"/>
            </w:tcBorders>
            <w:vAlign w:val="center"/>
          </w:tcPr>
          <w:p w14:paraId="4D38F9CB" w14:textId="54D462E1" w:rsidR="00A6421D" w:rsidRPr="00F24F1A" w:rsidRDefault="00A6421D" w:rsidP="00854C9E">
            <w:pPr>
              <w:pStyle w:val="Bodycopy"/>
              <w:spacing w:after="0"/>
              <w:ind w:left="142"/>
              <w:jc w:val="center"/>
              <w:cnfStyle w:val="000000100000" w:firstRow="0" w:lastRow="0" w:firstColumn="0" w:lastColumn="0" w:oddVBand="0" w:evenVBand="0" w:oddHBand="1" w:evenHBand="0" w:firstRowFirstColumn="0" w:firstRowLastColumn="0" w:lastRowFirstColumn="0" w:lastRowLastColumn="0"/>
            </w:pPr>
            <w:r w:rsidRPr="609C132D">
              <w:t>$85,555</w:t>
            </w:r>
          </w:p>
        </w:tc>
        <w:tc>
          <w:tcPr>
            <w:tcW w:w="1701" w:type="dxa"/>
            <w:tcBorders>
              <w:bottom w:val="nil"/>
            </w:tcBorders>
            <w:vAlign w:val="center"/>
          </w:tcPr>
          <w:p w14:paraId="1DD3BD23" w14:textId="72E2401B" w:rsidR="00A6421D" w:rsidRPr="00F24F1A" w:rsidRDefault="00A6421D" w:rsidP="00854C9E">
            <w:pPr>
              <w:pStyle w:val="Bodycopy"/>
              <w:spacing w:after="0"/>
              <w:ind w:left="142"/>
              <w:jc w:val="center"/>
              <w:cnfStyle w:val="000000100000" w:firstRow="0" w:lastRow="0" w:firstColumn="0" w:lastColumn="0" w:oddVBand="0" w:evenVBand="0" w:oddHBand="1" w:evenHBand="0" w:firstRowFirstColumn="0" w:firstRowLastColumn="0" w:lastRowFirstColumn="0" w:lastRowLastColumn="0"/>
            </w:pPr>
            <w:r w:rsidRPr="609C132D">
              <w:t>$108,501</w:t>
            </w:r>
          </w:p>
        </w:tc>
      </w:tr>
      <w:tr w:rsidR="00E01AE6" w14:paraId="7CEEBCB0" w14:textId="77777777" w:rsidTr="00854C9E">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5" w:type="dxa"/>
            <w:tcBorders>
              <w:bottom w:val="nil"/>
            </w:tcBorders>
            <w:vAlign w:val="center"/>
          </w:tcPr>
          <w:p w14:paraId="5B16DAEE" w14:textId="77777777" w:rsidR="00A6421D" w:rsidRPr="00F24F1A" w:rsidRDefault="00A6421D" w:rsidP="00854C9E">
            <w:pPr>
              <w:pStyle w:val="Tablebodycopy"/>
              <w:spacing w:before="0" w:after="0"/>
              <w:ind w:left="142"/>
              <w:rPr>
                <w:rStyle w:val="eop"/>
              </w:rPr>
            </w:pPr>
            <w:r>
              <w:t>Canberra Institute of Technology (CIT) – ACT</w:t>
            </w:r>
          </w:p>
        </w:tc>
        <w:tc>
          <w:tcPr>
            <w:tcW w:w="1843" w:type="dxa"/>
            <w:tcBorders>
              <w:bottom w:val="nil"/>
            </w:tcBorders>
            <w:vAlign w:val="center"/>
          </w:tcPr>
          <w:p w14:paraId="16D9B76D" w14:textId="6CC23B00" w:rsidR="00A6421D" w:rsidRPr="00F24F1A" w:rsidRDefault="00A6421D" w:rsidP="00854C9E">
            <w:pPr>
              <w:pStyle w:val="Bodycopy"/>
              <w:spacing w:after="0"/>
              <w:ind w:left="142"/>
              <w:jc w:val="center"/>
              <w:cnfStyle w:val="000000010000" w:firstRow="0" w:lastRow="0" w:firstColumn="0" w:lastColumn="0" w:oddVBand="0" w:evenVBand="0" w:oddHBand="0" w:evenHBand="1" w:firstRowFirstColumn="0" w:firstRowLastColumn="0" w:lastRowFirstColumn="0" w:lastRowLastColumn="0"/>
            </w:pPr>
            <w:r w:rsidRPr="609C132D">
              <w:t>$84,997</w:t>
            </w:r>
          </w:p>
        </w:tc>
        <w:tc>
          <w:tcPr>
            <w:tcW w:w="1701" w:type="dxa"/>
            <w:tcBorders>
              <w:bottom w:val="nil"/>
            </w:tcBorders>
            <w:vAlign w:val="center"/>
          </w:tcPr>
          <w:p w14:paraId="395E97B5" w14:textId="725E5E1E" w:rsidR="00A6421D" w:rsidRPr="00F24F1A" w:rsidRDefault="00A6421D" w:rsidP="00854C9E">
            <w:pPr>
              <w:pStyle w:val="Bodycopy"/>
              <w:spacing w:after="0"/>
              <w:ind w:left="142"/>
              <w:jc w:val="center"/>
              <w:cnfStyle w:val="000000010000" w:firstRow="0" w:lastRow="0" w:firstColumn="0" w:lastColumn="0" w:oddVBand="0" w:evenVBand="0" w:oddHBand="0" w:evenHBand="1" w:firstRowFirstColumn="0" w:firstRowLastColumn="0" w:lastRowFirstColumn="0" w:lastRowLastColumn="0"/>
            </w:pPr>
            <w:r w:rsidRPr="609C132D">
              <w:t>$114,113</w:t>
            </w:r>
          </w:p>
        </w:tc>
      </w:tr>
      <w:tr w:rsidR="00A6421D" w14:paraId="01B5F1EC" w14:textId="77777777" w:rsidTr="00854C9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5" w:type="dxa"/>
            <w:tcBorders>
              <w:bottom w:val="nil"/>
            </w:tcBorders>
            <w:vAlign w:val="center"/>
          </w:tcPr>
          <w:p w14:paraId="6DC9A625" w14:textId="77777777" w:rsidR="00A6421D" w:rsidRPr="00F24F1A" w:rsidRDefault="00A6421D" w:rsidP="00854C9E">
            <w:pPr>
              <w:pStyle w:val="Bodycopy"/>
              <w:spacing w:after="0"/>
              <w:ind w:left="142"/>
            </w:pPr>
            <w:r>
              <w:t xml:space="preserve">TAFE </w:t>
            </w:r>
            <w:r w:rsidRPr="00F24F1A">
              <w:t>QLD </w:t>
            </w:r>
          </w:p>
        </w:tc>
        <w:tc>
          <w:tcPr>
            <w:tcW w:w="1843" w:type="dxa"/>
            <w:tcBorders>
              <w:bottom w:val="nil"/>
            </w:tcBorders>
            <w:vAlign w:val="center"/>
          </w:tcPr>
          <w:p w14:paraId="6BF7BD2B" w14:textId="294D8D20" w:rsidR="00A6421D" w:rsidRPr="00F24F1A" w:rsidRDefault="00A6421D" w:rsidP="00854C9E">
            <w:pPr>
              <w:pStyle w:val="Bodycopy"/>
              <w:spacing w:after="0"/>
              <w:ind w:left="142"/>
              <w:jc w:val="center"/>
              <w:cnfStyle w:val="000000100000" w:firstRow="0" w:lastRow="0" w:firstColumn="0" w:lastColumn="0" w:oddVBand="0" w:evenVBand="0" w:oddHBand="1" w:evenHBand="0" w:firstRowFirstColumn="0" w:firstRowLastColumn="0" w:lastRowFirstColumn="0" w:lastRowLastColumn="0"/>
            </w:pPr>
            <w:r w:rsidRPr="609C132D">
              <w:t>$85,084</w:t>
            </w:r>
          </w:p>
        </w:tc>
        <w:tc>
          <w:tcPr>
            <w:tcW w:w="1701" w:type="dxa"/>
            <w:tcBorders>
              <w:bottom w:val="nil"/>
            </w:tcBorders>
            <w:vAlign w:val="center"/>
          </w:tcPr>
          <w:p w14:paraId="1A2111D6" w14:textId="1F2BD194" w:rsidR="00A6421D" w:rsidRPr="00F24F1A" w:rsidRDefault="00A6421D" w:rsidP="00854C9E">
            <w:pPr>
              <w:pStyle w:val="Bodycopy"/>
              <w:spacing w:after="0"/>
              <w:ind w:left="142"/>
              <w:jc w:val="center"/>
              <w:cnfStyle w:val="000000100000" w:firstRow="0" w:lastRow="0" w:firstColumn="0" w:lastColumn="0" w:oddVBand="0" w:evenVBand="0" w:oddHBand="1" w:evenHBand="0" w:firstRowFirstColumn="0" w:firstRowLastColumn="0" w:lastRowFirstColumn="0" w:lastRowLastColumn="0"/>
            </w:pPr>
            <w:r w:rsidRPr="609C132D">
              <w:t>$106,158</w:t>
            </w:r>
          </w:p>
        </w:tc>
      </w:tr>
      <w:tr w:rsidR="00E01AE6" w14:paraId="4642B13D" w14:textId="77777777" w:rsidTr="00854C9E">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5" w:type="dxa"/>
            <w:tcBorders>
              <w:bottom w:val="nil"/>
            </w:tcBorders>
            <w:vAlign w:val="center"/>
          </w:tcPr>
          <w:p w14:paraId="3C0EA089" w14:textId="77777777" w:rsidR="00A6421D" w:rsidRPr="00F24F1A" w:rsidRDefault="00A6421D" w:rsidP="00854C9E">
            <w:pPr>
              <w:pStyle w:val="Bodycopy"/>
              <w:spacing w:after="0"/>
              <w:ind w:left="142"/>
            </w:pPr>
            <w:r>
              <w:t>Victorian TAFEs</w:t>
            </w:r>
            <w:r w:rsidRPr="00F24F1A">
              <w:t> </w:t>
            </w:r>
          </w:p>
        </w:tc>
        <w:tc>
          <w:tcPr>
            <w:tcW w:w="1843" w:type="dxa"/>
            <w:tcBorders>
              <w:bottom w:val="nil"/>
            </w:tcBorders>
            <w:vAlign w:val="center"/>
          </w:tcPr>
          <w:p w14:paraId="18316B49" w14:textId="6F13E325" w:rsidR="00A6421D" w:rsidRPr="00F24F1A" w:rsidRDefault="00A6421D" w:rsidP="00854C9E">
            <w:pPr>
              <w:pStyle w:val="Bodycopy"/>
              <w:spacing w:after="0"/>
              <w:ind w:left="142"/>
              <w:jc w:val="center"/>
              <w:cnfStyle w:val="000000010000" w:firstRow="0" w:lastRow="0" w:firstColumn="0" w:lastColumn="0" w:oddVBand="0" w:evenVBand="0" w:oddHBand="0" w:evenHBand="1" w:firstRowFirstColumn="0" w:firstRowLastColumn="0" w:lastRowFirstColumn="0" w:lastRowLastColumn="0"/>
            </w:pPr>
            <w:r w:rsidRPr="609C132D">
              <w:t>$77,024</w:t>
            </w:r>
          </w:p>
        </w:tc>
        <w:tc>
          <w:tcPr>
            <w:tcW w:w="1701" w:type="dxa"/>
            <w:tcBorders>
              <w:bottom w:val="nil"/>
            </w:tcBorders>
            <w:vAlign w:val="center"/>
          </w:tcPr>
          <w:p w14:paraId="3AED8CE3" w14:textId="68FDEE1C" w:rsidR="00A6421D" w:rsidRPr="00F24F1A" w:rsidRDefault="00A6421D" w:rsidP="00854C9E">
            <w:pPr>
              <w:pStyle w:val="Bodycopy"/>
              <w:spacing w:after="0"/>
              <w:ind w:left="142"/>
              <w:jc w:val="center"/>
              <w:cnfStyle w:val="000000010000" w:firstRow="0" w:lastRow="0" w:firstColumn="0" w:lastColumn="0" w:oddVBand="0" w:evenVBand="0" w:oddHBand="0" w:evenHBand="1" w:firstRowFirstColumn="0" w:firstRowLastColumn="0" w:lastRowFirstColumn="0" w:lastRowLastColumn="0"/>
            </w:pPr>
            <w:r w:rsidRPr="609C132D">
              <w:t>$109,207</w:t>
            </w:r>
          </w:p>
        </w:tc>
      </w:tr>
      <w:tr w:rsidR="00A6421D" w14:paraId="747DFEBA" w14:textId="77777777" w:rsidTr="0020761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5" w:type="dxa"/>
            <w:tcBorders>
              <w:bottom w:val="nil"/>
            </w:tcBorders>
            <w:vAlign w:val="center"/>
          </w:tcPr>
          <w:p w14:paraId="079643A9" w14:textId="77777777" w:rsidR="00A6421D" w:rsidRPr="00F24F1A" w:rsidRDefault="00A6421D" w:rsidP="00854C9E">
            <w:pPr>
              <w:pStyle w:val="Tablebodycopy"/>
              <w:spacing w:before="0" w:after="0"/>
              <w:ind w:left="142"/>
            </w:pPr>
            <w:r>
              <w:t>Charles Darwin University (CDU) – NT</w:t>
            </w:r>
            <w:r w:rsidRPr="609C132D">
              <w:t> </w:t>
            </w:r>
          </w:p>
        </w:tc>
        <w:tc>
          <w:tcPr>
            <w:tcW w:w="1843" w:type="dxa"/>
            <w:tcBorders>
              <w:bottom w:val="nil"/>
            </w:tcBorders>
            <w:vAlign w:val="center"/>
          </w:tcPr>
          <w:p w14:paraId="2AAE5D59" w14:textId="70A4A91F" w:rsidR="00A6421D" w:rsidRPr="00F24F1A" w:rsidRDefault="00A6421D" w:rsidP="00854C9E">
            <w:pPr>
              <w:pStyle w:val="Bodycopy"/>
              <w:spacing w:after="0"/>
              <w:ind w:left="142"/>
              <w:jc w:val="center"/>
              <w:cnfStyle w:val="000000100000" w:firstRow="0" w:lastRow="0" w:firstColumn="0" w:lastColumn="0" w:oddVBand="0" w:evenVBand="0" w:oddHBand="1" w:evenHBand="0" w:firstRowFirstColumn="0" w:firstRowLastColumn="0" w:lastRowFirstColumn="0" w:lastRowLastColumn="0"/>
            </w:pPr>
            <w:r w:rsidRPr="609C132D">
              <w:t>$72,702</w:t>
            </w:r>
          </w:p>
        </w:tc>
        <w:tc>
          <w:tcPr>
            <w:tcW w:w="1701" w:type="dxa"/>
            <w:tcBorders>
              <w:bottom w:val="nil"/>
            </w:tcBorders>
            <w:vAlign w:val="center"/>
          </w:tcPr>
          <w:p w14:paraId="7E3FE696" w14:textId="77F8FB40" w:rsidR="00A6421D" w:rsidRPr="00F24F1A" w:rsidRDefault="00A6421D" w:rsidP="00854C9E">
            <w:pPr>
              <w:pStyle w:val="Bodycopy"/>
              <w:spacing w:after="0"/>
              <w:ind w:left="142"/>
              <w:jc w:val="center"/>
              <w:cnfStyle w:val="000000100000" w:firstRow="0" w:lastRow="0" w:firstColumn="0" w:lastColumn="0" w:oddVBand="0" w:evenVBand="0" w:oddHBand="1" w:evenHBand="0" w:firstRowFirstColumn="0" w:firstRowLastColumn="0" w:lastRowFirstColumn="0" w:lastRowLastColumn="0"/>
            </w:pPr>
            <w:r w:rsidRPr="609C132D">
              <w:t>$109,071</w:t>
            </w:r>
          </w:p>
        </w:tc>
      </w:tr>
      <w:tr w:rsidR="00E01AE6" w14:paraId="13482C3E" w14:textId="77777777" w:rsidTr="00207618">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5" w:type="dxa"/>
            <w:tcBorders>
              <w:bottom w:val="single" w:sz="8" w:space="0" w:color="2F005F"/>
            </w:tcBorders>
            <w:vAlign w:val="center"/>
          </w:tcPr>
          <w:p w14:paraId="20A217B0" w14:textId="77777777" w:rsidR="00A6421D" w:rsidRPr="00F24F1A" w:rsidRDefault="00A6421D" w:rsidP="00854C9E">
            <w:pPr>
              <w:pStyle w:val="Bodycopy"/>
              <w:spacing w:after="0"/>
              <w:ind w:left="142"/>
            </w:pPr>
            <w:r>
              <w:t xml:space="preserve">TAFE </w:t>
            </w:r>
            <w:r w:rsidRPr="00F24F1A">
              <w:t>TAS </w:t>
            </w:r>
          </w:p>
        </w:tc>
        <w:tc>
          <w:tcPr>
            <w:tcW w:w="1843" w:type="dxa"/>
            <w:tcBorders>
              <w:bottom w:val="single" w:sz="8" w:space="0" w:color="2F005F"/>
            </w:tcBorders>
            <w:vAlign w:val="center"/>
          </w:tcPr>
          <w:p w14:paraId="057386FE" w14:textId="25CBC328" w:rsidR="00A6421D" w:rsidRPr="00F24F1A" w:rsidRDefault="00A6421D" w:rsidP="00854C9E">
            <w:pPr>
              <w:pStyle w:val="Bodycopy"/>
              <w:spacing w:after="0"/>
              <w:ind w:left="142"/>
              <w:jc w:val="center"/>
              <w:cnfStyle w:val="000000010000" w:firstRow="0" w:lastRow="0" w:firstColumn="0" w:lastColumn="0" w:oddVBand="0" w:evenVBand="0" w:oddHBand="0" w:evenHBand="1" w:firstRowFirstColumn="0" w:firstRowLastColumn="0" w:lastRowFirstColumn="0" w:lastRowLastColumn="0"/>
            </w:pPr>
            <w:r w:rsidRPr="609C132D">
              <w:t>$73,595</w:t>
            </w:r>
          </w:p>
        </w:tc>
        <w:tc>
          <w:tcPr>
            <w:tcW w:w="1701" w:type="dxa"/>
            <w:tcBorders>
              <w:bottom w:val="single" w:sz="8" w:space="0" w:color="2F005F"/>
            </w:tcBorders>
            <w:vAlign w:val="center"/>
          </w:tcPr>
          <w:p w14:paraId="3C0E7FC3" w14:textId="150AA795" w:rsidR="00A6421D" w:rsidRPr="00F24F1A" w:rsidRDefault="00A6421D" w:rsidP="00854C9E">
            <w:pPr>
              <w:pStyle w:val="Bodycopy"/>
              <w:spacing w:after="0"/>
              <w:ind w:left="142"/>
              <w:jc w:val="center"/>
              <w:cnfStyle w:val="000000010000" w:firstRow="0" w:lastRow="0" w:firstColumn="0" w:lastColumn="0" w:oddVBand="0" w:evenVBand="0" w:oddHBand="0" w:evenHBand="1" w:firstRowFirstColumn="0" w:firstRowLastColumn="0" w:lastRowFirstColumn="0" w:lastRowLastColumn="0"/>
            </w:pPr>
            <w:r w:rsidRPr="609C132D">
              <w:t>$106,536</w:t>
            </w:r>
          </w:p>
        </w:tc>
      </w:tr>
      <w:tr w:rsidR="00854C9E" w14:paraId="75520A44" w14:textId="77777777" w:rsidTr="0020761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5" w:type="dxa"/>
            <w:tcBorders>
              <w:top w:val="single" w:sz="8" w:space="0" w:color="2F005F"/>
              <w:bottom w:val="nil"/>
            </w:tcBorders>
            <w:vAlign w:val="center"/>
          </w:tcPr>
          <w:p w14:paraId="074676C4" w14:textId="77777777" w:rsidR="00854C9E" w:rsidRPr="000356AF" w:rsidRDefault="00854C9E" w:rsidP="00854C9E">
            <w:pPr>
              <w:pStyle w:val="Tablebodycopy"/>
              <w:spacing w:before="0" w:after="0"/>
              <w:ind w:left="142"/>
              <w:rPr>
                <w:rFonts w:cs="Arial"/>
                <w:b/>
                <w:bCs/>
              </w:rPr>
            </w:pPr>
            <w:r w:rsidRPr="000356AF">
              <w:rPr>
                <w:b/>
                <w:bCs/>
              </w:rPr>
              <w:t>Post-secondary Education Award 2020</w:t>
            </w:r>
          </w:p>
        </w:tc>
        <w:tc>
          <w:tcPr>
            <w:tcW w:w="1843" w:type="dxa"/>
            <w:tcBorders>
              <w:top w:val="single" w:sz="8" w:space="0" w:color="2F005F"/>
              <w:bottom w:val="nil"/>
            </w:tcBorders>
            <w:vAlign w:val="center"/>
          </w:tcPr>
          <w:p w14:paraId="35470104" w14:textId="77777777" w:rsidR="00854C9E" w:rsidRPr="000356AF" w:rsidRDefault="00854C9E" w:rsidP="00854C9E">
            <w:pPr>
              <w:pStyle w:val="Tablebodycopy"/>
              <w:spacing w:before="0" w:after="0"/>
              <w:ind w:left="142"/>
              <w:jc w:val="center"/>
              <w:cnfStyle w:val="000000100000" w:firstRow="0" w:lastRow="0" w:firstColumn="0" w:lastColumn="0" w:oddVBand="0" w:evenVBand="0" w:oddHBand="1" w:evenHBand="0" w:firstRowFirstColumn="0" w:firstRowLastColumn="0" w:lastRowFirstColumn="0" w:lastRowLastColumn="0"/>
              <w:rPr>
                <w:rFonts w:cs="Arial"/>
                <w:b/>
                <w:bCs/>
              </w:rPr>
            </w:pPr>
          </w:p>
        </w:tc>
        <w:tc>
          <w:tcPr>
            <w:tcW w:w="1701" w:type="dxa"/>
            <w:tcBorders>
              <w:top w:val="single" w:sz="8" w:space="0" w:color="2F005F"/>
              <w:bottom w:val="nil"/>
            </w:tcBorders>
            <w:vAlign w:val="center"/>
          </w:tcPr>
          <w:p w14:paraId="52D5F62D" w14:textId="2999AB1E" w:rsidR="00854C9E" w:rsidRPr="000356AF" w:rsidRDefault="00854C9E" w:rsidP="00854C9E">
            <w:pPr>
              <w:pStyle w:val="Tablebodycopy"/>
              <w:spacing w:before="0" w:after="0"/>
              <w:ind w:left="142"/>
              <w:jc w:val="center"/>
              <w:cnfStyle w:val="000000100000" w:firstRow="0" w:lastRow="0" w:firstColumn="0" w:lastColumn="0" w:oddVBand="0" w:evenVBand="0" w:oddHBand="1" w:evenHBand="0" w:firstRowFirstColumn="0" w:firstRowLastColumn="0" w:lastRowFirstColumn="0" w:lastRowLastColumn="0"/>
              <w:rPr>
                <w:rFonts w:cs="Arial"/>
                <w:b/>
                <w:bCs/>
              </w:rPr>
            </w:pPr>
          </w:p>
        </w:tc>
      </w:tr>
      <w:tr w:rsidR="00504FF7" w14:paraId="0D39E690" w14:textId="77777777" w:rsidTr="00207618">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5" w:type="dxa"/>
            <w:tcBorders>
              <w:bottom w:val="single" w:sz="8" w:space="0" w:color="2F005F"/>
            </w:tcBorders>
            <w:vAlign w:val="center"/>
          </w:tcPr>
          <w:p w14:paraId="6760BE73" w14:textId="77777777" w:rsidR="00A6421D" w:rsidRPr="00F24F1A" w:rsidRDefault="00A6421D" w:rsidP="00854C9E">
            <w:pPr>
              <w:pStyle w:val="Tablebodycopy"/>
              <w:spacing w:before="0" w:after="0"/>
              <w:ind w:left="142"/>
              <w:rPr>
                <w:rStyle w:val="normaltextrun"/>
              </w:rPr>
            </w:pPr>
          </w:p>
        </w:tc>
        <w:tc>
          <w:tcPr>
            <w:tcW w:w="1843" w:type="dxa"/>
            <w:tcBorders>
              <w:bottom w:val="single" w:sz="8" w:space="0" w:color="2F005F"/>
            </w:tcBorders>
            <w:vAlign w:val="center"/>
          </w:tcPr>
          <w:p w14:paraId="0577236A" w14:textId="77777777" w:rsidR="00A6421D" w:rsidRPr="00F24F1A" w:rsidRDefault="00A6421D" w:rsidP="00854C9E">
            <w:pPr>
              <w:pStyle w:val="Tablebodycopy"/>
              <w:spacing w:before="0" w:after="0"/>
              <w:ind w:left="142"/>
              <w:jc w:val="center"/>
              <w:cnfStyle w:val="000000010000" w:firstRow="0" w:lastRow="0" w:firstColumn="0" w:lastColumn="0" w:oddVBand="0" w:evenVBand="0" w:oddHBand="0" w:evenHBand="1" w:firstRowFirstColumn="0" w:firstRowLastColumn="0" w:lastRowFirstColumn="0" w:lastRowLastColumn="0"/>
              <w:rPr>
                <w:rStyle w:val="normaltextrun"/>
              </w:rPr>
            </w:pPr>
            <w:r w:rsidRPr="609C132D">
              <w:rPr>
                <w:rFonts w:cs="Arial"/>
              </w:rPr>
              <w:t>$58,363</w:t>
            </w:r>
          </w:p>
        </w:tc>
        <w:tc>
          <w:tcPr>
            <w:tcW w:w="1701" w:type="dxa"/>
            <w:tcBorders>
              <w:bottom w:val="single" w:sz="8" w:space="0" w:color="2F005F"/>
            </w:tcBorders>
            <w:vAlign w:val="center"/>
          </w:tcPr>
          <w:p w14:paraId="4696409F" w14:textId="54CBAEA2" w:rsidR="00A6421D" w:rsidRPr="00F24F1A" w:rsidRDefault="00A6421D" w:rsidP="00854C9E">
            <w:pPr>
              <w:pStyle w:val="Tablebodycopy"/>
              <w:spacing w:before="0" w:after="0"/>
              <w:ind w:left="142"/>
              <w:jc w:val="center"/>
              <w:cnfStyle w:val="000000010000" w:firstRow="0" w:lastRow="0" w:firstColumn="0" w:lastColumn="0" w:oddVBand="0" w:evenVBand="0" w:oddHBand="0" w:evenHBand="1" w:firstRowFirstColumn="0" w:firstRowLastColumn="0" w:lastRowFirstColumn="0" w:lastRowLastColumn="0"/>
              <w:rPr>
                <w:rStyle w:val="normaltextrun"/>
              </w:rPr>
            </w:pPr>
            <w:r w:rsidRPr="609C132D">
              <w:rPr>
                <w:rFonts w:cs="Arial"/>
              </w:rPr>
              <w:t>$76,391</w:t>
            </w:r>
          </w:p>
        </w:tc>
      </w:tr>
    </w:tbl>
    <w:p w14:paraId="014ECAC7" w14:textId="77777777" w:rsidR="00A6421D" w:rsidRDefault="00A6421D" w:rsidP="00352E98">
      <w:pPr>
        <w:pStyle w:val="Source"/>
        <w:spacing w:before="240"/>
      </w:pPr>
      <w:r>
        <w:t>Source: Institution Enterprise Agreements and Fair Work Commission</w:t>
      </w:r>
    </w:p>
    <w:p w14:paraId="46C5EB11" w14:textId="77777777" w:rsidR="00A6421D" w:rsidRDefault="00A6421D" w:rsidP="008B2387">
      <w:pPr>
        <w:pStyle w:val="Source"/>
      </w:pPr>
      <w:r>
        <w:t xml:space="preserve">Notes: TAFE and Dual Sector salary rates are drawn from Enterprise Agreements, for teachers with Certificate IV. In some institutions, a lower rate is available for those commencing without Certificate IV. Post-secondary education award figures are Level 1 and 12 in the Educational Services (Post-secondary Education) Award 2020, Schedule A and Clause 16.1(a), and Schedule B and Clause 16.1(c). </w:t>
      </w:r>
    </w:p>
    <w:p w14:paraId="1CDA487F" w14:textId="77777777" w:rsidR="00947F95" w:rsidRDefault="00947F95" w:rsidP="00947F95"/>
    <w:p w14:paraId="323CCC9B" w14:textId="77777777" w:rsidR="00947F95" w:rsidRDefault="00947F95" w:rsidP="00947F95"/>
    <w:p w14:paraId="571F9A46" w14:textId="77777777" w:rsidR="00947F95" w:rsidRPr="00947F95" w:rsidRDefault="00947F95" w:rsidP="00947F95"/>
    <w:p w14:paraId="30720DC8" w14:textId="02B04175" w:rsidR="009E2EBD" w:rsidRPr="009E2EBD" w:rsidRDefault="00387EF2" w:rsidP="009E2EBD">
      <w:pPr>
        <w:pStyle w:val="Caption"/>
        <w:keepNext/>
      </w:pPr>
      <w:bookmarkStart w:id="138" w:name="Figure_2_16"/>
      <w:r>
        <w:lastRenderedPageBreak/>
        <w:t xml:space="preserve">Figure </w:t>
      </w:r>
      <w:r w:rsidR="006558DC">
        <w:fldChar w:fldCharType="begin"/>
      </w:r>
      <w:r w:rsidR="006558DC">
        <w:instrText xml:space="preserve"> STYLEREF 1 \s </w:instrText>
      </w:r>
      <w:r w:rsidR="006558DC">
        <w:fldChar w:fldCharType="separate"/>
      </w:r>
      <w:r w:rsidR="00E7704E">
        <w:rPr>
          <w:noProof/>
        </w:rPr>
        <w:t>2</w:t>
      </w:r>
      <w:r w:rsidR="006558DC">
        <w:fldChar w:fldCharType="end"/>
      </w:r>
      <w:r w:rsidR="007D4DC4">
        <w:t>.</w:t>
      </w:r>
      <w:r w:rsidR="006558DC">
        <w:fldChar w:fldCharType="begin"/>
      </w:r>
      <w:r w:rsidR="006558DC">
        <w:instrText xml:space="preserve"> SEQ Figure \* ARABIC \s 1 </w:instrText>
      </w:r>
      <w:r w:rsidR="006558DC">
        <w:fldChar w:fldCharType="separate"/>
      </w:r>
      <w:r w:rsidR="00E7704E">
        <w:rPr>
          <w:noProof/>
        </w:rPr>
        <w:t>16</w:t>
      </w:r>
      <w:r w:rsidR="006558DC">
        <w:fldChar w:fldCharType="end"/>
      </w:r>
      <w:r>
        <w:t xml:space="preserve"> Percentage of public and private </w:t>
      </w:r>
      <w:r w:rsidR="00CC6D50">
        <w:t>VET teachers</w:t>
      </w:r>
      <w:r>
        <w:t xml:space="preserve"> total personal income by range</w:t>
      </w:r>
    </w:p>
    <w:bookmarkEnd w:id="138"/>
    <w:p w14:paraId="46AB9D42" w14:textId="61C1F362" w:rsidR="00947F95" w:rsidRPr="00947F95" w:rsidRDefault="00A831C6" w:rsidP="00947F95">
      <w:pPr>
        <w:rPr>
          <w:lang w:val="en-US"/>
        </w:rPr>
      </w:pPr>
      <w:r>
        <w:rPr>
          <w:noProof/>
          <w:lang w:val="en-US"/>
        </w:rPr>
        <w:drawing>
          <wp:anchor distT="0" distB="0" distL="114300" distR="114300" simplePos="0" relativeHeight="251658250" behindDoc="0" locked="0" layoutInCell="1" allowOverlap="1" wp14:anchorId="391B43FB" wp14:editId="37F1C9D9">
            <wp:simplePos x="0" y="0"/>
            <wp:positionH relativeFrom="margin">
              <wp:posOffset>-2092</wp:posOffset>
            </wp:positionH>
            <wp:positionV relativeFrom="paragraph">
              <wp:posOffset>26197</wp:posOffset>
            </wp:positionV>
            <wp:extent cx="5687695" cy="3602464"/>
            <wp:effectExtent l="19050" t="19050" r="27305" b="17145"/>
            <wp:wrapNone/>
            <wp:docPr id="91829583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95834" name="Picture 2">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87695" cy="3602464"/>
                    </a:xfrm>
                    <a:prstGeom prst="rect">
                      <a:avLst/>
                    </a:prstGeom>
                    <a:solidFill>
                      <a:schemeClr val="bg1"/>
                    </a:solidFill>
                    <a:ln w="6350" cap="flat" cmpd="sng" algn="ctr">
                      <a:solidFill>
                        <a:schemeClr val="bg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W w:w="7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4"/>
        <w:gridCol w:w="1841"/>
        <w:gridCol w:w="1962"/>
      </w:tblGrid>
      <w:tr w:rsidR="00947F95" w:rsidRPr="00947F95" w14:paraId="47C7D7C3" w14:textId="77777777" w:rsidTr="00A831C6">
        <w:trPr>
          <w:trHeight w:val="529"/>
          <w:tblHeader/>
        </w:trPr>
        <w:tc>
          <w:tcPr>
            <w:tcW w:w="3354" w:type="dxa"/>
            <w:shd w:val="clear" w:color="auto" w:fill="auto"/>
            <w:vAlign w:val="center"/>
            <w:hideMark/>
          </w:tcPr>
          <w:p w14:paraId="6B2FF6FE" w14:textId="4F3E8649" w:rsidR="00947F95" w:rsidRPr="00947F95" w:rsidRDefault="00947F95" w:rsidP="00947F95">
            <w:pPr>
              <w:spacing w:after="0" w:line="240" w:lineRule="auto"/>
              <w:rPr>
                <w:rFonts w:ascii="Times New Roman" w:eastAsia="Times New Roman" w:hAnsi="Times New Roman" w:cs="Times New Roman"/>
                <w:color w:val="auto"/>
                <w:sz w:val="10"/>
                <w:szCs w:val="10"/>
                <w:lang w:eastAsia="en-AU"/>
              </w:rPr>
            </w:pPr>
          </w:p>
        </w:tc>
        <w:tc>
          <w:tcPr>
            <w:tcW w:w="1841" w:type="dxa"/>
            <w:shd w:val="clear" w:color="auto" w:fill="auto"/>
            <w:noWrap/>
            <w:vAlign w:val="center"/>
            <w:hideMark/>
          </w:tcPr>
          <w:p w14:paraId="2A236ACE" w14:textId="58F3C6AA"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Public</w:t>
            </w:r>
          </w:p>
        </w:tc>
        <w:tc>
          <w:tcPr>
            <w:tcW w:w="1962" w:type="dxa"/>
            <w:shd w:val="clear" w:color="auto" w:fill="auto"/>
            <w:noWrap/>
            <w:vAlign w:val="center"/>
            <w:hideMark/>
          </w:tcPr>
          <w:p w14:paraId="2BC5367B" w14:textId="64554816"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Private</w:t>
            </w:r>
          </w:p>
        </w:tc>
      </w:tr>
      <w:tr w:rsidR="00947F95" w:rsidRPr="00947F95" w14:paraId="3241B068" w14:textId="77777777" w:rsidTr="00A831C6">
        <w:trPr>
          <w:trHeight w:val="529"/>
        </w:trPr>
        <w:tc>
          <w:tcPr>
            <w:tcW w:w="3354" w:type="dxa"/>
            <w:shd w:val="clear" w:color="auto" w:fill="auto"/>
            <w:noWrap/>
            <w:vAlign w:val="center"/>
            <w:hideMark/>
          </w:tcPr>
          <w:p w14:paraId="58AD2DD4" w14:textId="1CD68F12"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$0 - $41,599</w:t>
            </w:r>
          </w:p>
        </w:tc>
        <w:tc>
          <w:tcPr>
            <w:tcW w:w="1841" w:type="dxa"/>
            <w:shd w:val="clear" w:color="auto" w:fill="auto"/>
            <w:noWrap/>
            <w:vAlign w:val="center"/>
            <w:hideMark/>
          </w:tcPr>
          <w:p w14:paraId="06C3FDA1" w14:textId="697663A4"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16.2%</w:t>
            </w:r>
          </w:p>
        </w:tc>
        <w:tc>
          <w:tcPr>
            <w:tcW w:w="1962" w:type="dxa"/>
            <w:shd w:val="clear" w:color="auto" w:fill="auto"/>
            <w:noWrap/>
            <w:vAlign w:val="center"/>
            <w:hideMark/>
          </w:tcPr>
          <w:p w14:paraId="27E5B446" w14:textId="79E93893"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17.7%</w:t>
            </w:r>
          </w:p>
        </w:tc>
      </w:tr>
      <w:tr w:rsidR="00947F95" w:rsidRPr="00947F95" w14:paraId="5C5CF899" w14:textId="77777777" w:rsidTr="00A831C6">
        <w:trPr>
          <w:trHeight w:val="529"/>
        </w:trPr>
        <w:tc>
          <w:tcPr>
            <w:tcW w:w="3354" w:type="dxa"/>
            <w:shd w:val="clear" w:color="auto" w:fill="auto"/>
            <w:noWrap/>
            <w:vAlign w:val="center"/>
            <w:hideMark/>
          </w:tcPr>
          <w:p w14:paraId="1D194A7E" w14:textId="179FF956"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$52,000 - $64,999</w:t>
            </w:r>
          </w:p>
        </w:tc>
        <w:tc>
          <w:tcPr>
            <w:tcW w:w="1841" w:type="dxa"/>
            <w:shd w:val="clear" w:color="auto" w:fill="auto"/>
            <w:noWrap/>
            <w:vAlign w:val="center"/>
            <w:hideMark/>
          </w:tcPr>
          <w:p w14:paraId="6E4B8CE7" w14:textId="320415B8"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10.8%</w:t>
            </w:r>
          </w:p>
        </w:tc>
        <w:tc>
          <w:tcPr>
            <w:tcW w:w="1962" w:type="dxa"/>
            <w:shd w:val="clear" w:color="auto" w:fill="auto"/>
            <w:noWrap/>
            <w:vAlign w:val="center"/>
            <w:hideMark/>
          </w:tcPr>
          <w:p w14:paraId="63695E8B" w14:textId="39BFFADE"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10.0%</w:t>
            </w:r>
          </w:p>
        </w:tc>
      </w:tr>
      <w:tr w:rsidR="00947F95" w:rsidRPr="00947F95" w14:paraId="2F665173" w14:textId="77777777" w:rsidTr="00A831C6">
        <w:trPr>
          <w:trHeight w:val="529"/>
        </w:trPr>
        <w:tc>
          <w:tcPr>
            <w:tcW w:w="3354" w:type="dxa"/>
            <w:shd w:val="clear" w:color="auto" w:fill="auto"/>
            <w:noWrap/>
            <w:vAlign w:val="center"/>
            <w:hideMark/>
          </w:tcPr>
          <w:p w14:paraId="75B9FA51" w14:textId="773D97D6"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$65,000 - $77,999</w:t>
            </w:r>
          </w:p>
        </w:tc>
        <w:tc>
          <w:tcPr>
            <w:tcW w:w="1841" w:type="dxa"/>
            <w:shd w:val="clear" w:color="auto" w:fill="auto"/>
            <w:noWrap/>
            <w:vAlign w:val="center"/>
            <w:hideMark/>
          </w:tcPr>
          <w:p w14:paraId="7AC4F57A" w14:textId="1DF008F1"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13.4%</w:t>
            </w:r>
          </w:p>
        </w:tc>
        <w:tc>
          <w:tcPr>
            <w:tcW w:w="1962" w:type="dxa"/>
            <w:shd w:val="clear" w:color="auto" w:fill="auto"/>
            <w:noWrap/>
            <w:vAlign w:val="center"/>
            <w:hideMark/>
          </w:tcPr>
          <w:p w14:paraId="710A337E" w14:textId="4AB10579"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10.4%</w:t>
            </w:r>
          </w:p>
        </w:tc>
      </w:tr>
      <w:tr w:rsidR="00947F95" w:rsidRPr="00947F95" w14:paraId="7570D623" w14:textId="77777777" w:rsidTr="00A831C6">
        <w:trPr>
          <w:trHeight w:val="529"/>
        </w:trPr>
        <w:tc>
          <w:tcPr>
            <w:tcW w:w="3354" w:type="dxa"/>
            <w:shd w:val="clear" w:color="auto" w:fill="auto"/>
            <w:noWrap/>
            <w:vAlign w:val="center"/>
            <w:hideMark/>
          </w:tcPr>
          <w:p w14:paraId="034F792E" w14:textId="649EF0D0"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$78,000 - $90,999</w:t>
            </w:r>
          </w:p>
        </w:tc>
        <w:tc>
          <w:tcPr>
            <w:tcW w:w="1841" w:type="dxa"/>
            <w:shd w:val="clear" w:color="auto" w:fill="auto"/>
            <w:noWrap/>
            <w:vAlign w:val="center"/>
            <w:hideMark/>
          </w:tcPr>
          <w:p w14:paraId="1AE8895E" w14:textId="4019D22F"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18.2%</w:t>
            </w:r>
          </w:p>
        </w:tc>
        <w:tc>
          <w:tcPr>
            <w:tcW w:w="1962" w:type="dxa"/>
            <w:shd w:val="clear" w:color="auto" w:fill="auto"/>
            <w:noWrap/>
            <w:vAlign w:val="center"/>
            <w:hideMark/>
          </w:tcPr>
          <w:p w14:paraId="65EAA2B5" w14:textId="166E4073"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8.8%</w:t>
            </w:r>
          </w:p>
        </w:tc>
      </w:tr>
      <w:tr w:rsidR="00947F95" w:rsidRPr="00947F95" w14:paraId="46EFD056" w14:textId="77777777" w:rsidTr="00A831C6">
        <w:trPr>
          <w:trHeight w:val="529"/>
        </w:trPr>
        <w:tc>
          <w:tcPr>
            <w:tcW w:w="3354" w:type="dxa"/>
            <w:shd w:val="clear" w:color="auto" w:fill="auto"/>
            <w:noWrap/>
            <w:vAlign w:val="center"/>
            <w:hideMark/>
          </w:tcPr>
          <w:p w14:paraId="04D3FB7F" w14:textId="0AAA1362"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$91,000 - $103,999</w:t>
            </w:r>
          </w:p>
        </w:tc>
        <w:tc>
          <w:tcPr>
            <w:tcW w:w="1841" w:type="dxa"/>
            <w:shd w:val="clear" w:color="auto" w:fill="auto"/>
            <w:noWrap/>
            <w:vAlign w:val="center"/>
            <w:hideMark/>
          </w:tcPr>
          <w:p w14:paraId="5363F780" w14:textId="50978A66"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22.5%</w:t>
            </w:r>
          </w:p>
        </w:tc>
        <w:tc>
          <w:tcPr>
            <w:tcW w:w="1962" w:type="dxa"/>
            <w:shd w:val="clear" w:color="auto" w:fill="auto"/>
            <w:noWrap/>
            <w:vAlign w:val="center"/>
            <w:hideMark/>
          </w:tcPr>
          <w:p w14:paraId="3D1AC477" w14:textId="76DD6659"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5.7%</w:t>
            </w:r>
          </w:p>
        </w:tc>
      </w:tr>
      <w:tr w:rsidR="00947F95" w:rsidRPr="00947F95" w14:paraId="30B97C04" w14:textId="77777777" w:rsidTr="00A831C6">
        <w:trPr>
          <w:trHeight w:val="529"/>
        </w:trPr>
        <w:tc>
          <w:tcPr>
            <w:tcW w:w="3354" w:type="dxa"/>
            <w:shd w:val="clear" w:color="auto" w:fill="auto"/>
            <w:noWrap/>
            <w:vAlign w:val="center"/>
            <w:hideMark/>
          </w:tcPr>
          <w:p w14:paraId="79185B8A" w14:textId="525A6824"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$104,000 - $155,999</w:t>
            </w:r>
          </w:p>
        </w:tc>
        <w:tc>
          <w:tcPr>
            <w:tcW w:w="1841" w:type="dxa"/>
            <w:shd w:val="clear" w:color="auto" w:fill="auto"/>
            <w:noWrap/>
            <w:vAlign w:val="center"/>
            <w:hideMark/>
          </w:tcPr>
          <w:p w14:paraId="367CB757" w14:textId="67D6613F"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16.8%</w:t>
            </w:r>
          </w:p>
        </w:tc>
        <w:tc>
          <w:tcPr>
            <w:tcW w:w="1962" w:type="dxa"/>
            <w:shd w:val="clear" w:color="auto" w:fill="auto"/>
            <w:noWrap/>
            <w:vAlign w:val="center"/>
            <w:hideMark/>
          </w:tcPr>
          <w:p w14:paraId="69926855" w14:textId="2943356E"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8.5%</w:t>
            </w:r>
          </w:p>
        </w:tc>
      </w:tr>
      <w:tr w:rsidR="00947F95" w:rsidRPr="00947F95" w14:paraId="0F6F9C32" w14:textId="77777777" w:rsidTr="00A831C6">
        <w:trPr>
          <w:trHeight w:val="529"/>
        </w:trPr>
        <w:tc>
          <w:tcPr>
            <w:tcW w:w="3354" w:type="dxa"/>
            <w:shd w:val="clear" w:color="auto" w:fill="auto"/>
            <w:noWrap/>
            <w:vAlign w:val="center"/>
            <w:hideMark/>
          </w:tcPr>
          <w:p w14:paraId="56D777F3" w14:textId="30085087"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$156,000 - $181,999</w:t>
            </w:r>
          </w:p>
        </w:tc>
        <w:tc>
          <w:tcPr>
            <w:tcW w:w="1841" w:type="dxa"/>
            <w:shd w:val="clear" w:color="auto" w:fill="auto"/>
            <w:noWrap/>
            <w:vAlign w:val="center"/>
            <w:hideMark/>
          </w:tcPr>
          <w:p w14:paraId="23217E98" w14:textId="506E1B81"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1.1%</w:t>
            </w:r>
          </w:p>
        </w:tc>
        <w:tc>
          <w:tcPr>
            <w:tcW w:w="1962" w:type="dxa"/>
            <w:shd w:val="clear" w:color="auto" w:fill="auto"/>
            <w:noWrap/>
            <w:vAlign w:val="center"/>
            <w:hideMark/>
          </w:tcPr>
          <w:p w14:paraId="57025479" w14:textId="02760F97"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1.8%</w:t>
            </w:r>
          </w:p>
        </w:tc>
      </w:tr>
      <w:tr w:rsidR="00947F95" w:rsidRPr="00947F95" w14:paraId="66659118" w14:textId="77777777" w:rsidTr="00A831C6">
        <w:trPr>
          <w:trHeight w:val="529"/>
        </w:trPr>
        <w:tc>
          <w:tcPr>
            <w:tcW w:w="3354" w:type="dxa"/>
            <w:shd w:val="clear" w:color="auto" w:fill="auto"/>
            <w:noWrap/>
            <w:vAlign w:val="center"/>
            <w:hideMark/>
          </w:tcPr>
          <w:p w14:paraId="47C7F5C4" w14:textId="106A7A70"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$182,000 or more</w:t>
            </w:r>
          </w:p>
        </w:tc>
        <w:tc>
          <w:tcPr>
            <w:tcW w:w="1841" w:type="dxa"/>
            <w:shd w:val="clear" w:color="auto" w:fill="auto"/>
            <w:noWrap/>
            <w:vAlign w:val="center"/>
            <w:hideMark/>
          </w:tcPr>
          <w:p w14:paraId="5D2C449B" w14:textId="392EF3E2"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0.6%</w:t>
            </w:r>
          </w:p>
        </w:tc>
        <w:tc>
          <w:tcPr>
            <w:tcW w:w="1962" w:type="dxa"/>
            <w:shd w:val="clear" w:color="auto" w:fill="auto"/>
            <w:noWrap/>
            <w:vAlign w:val="center"/>
            <w:hideMark/>
          </w:tcPr>
          <w:p w14:paraId="0650D770" w14:textId="79F55A77" w:rsidR="00947F95" w:rsidRPr="00947F95" w:rsidRDefault="00947F95" w:rsidP="00947F95">
            <w:pPr>
              <w:spacing w:after="0" w:line="240" w:lineRule="auto"/>
              <w:rPr>
                <w:rFonts w:eastAsia="Times New Roman" w:cs="Arial"/>
                <w:color w:val="000000"/>
                <w:sz w:val="10"/>
                <w:szCs w:val="10"/>
                <w:lang w:eastAsia="en-AU"/>
              </w:rPr>
            </w:pPr>
            <w:r w:rsidRPr="00947F95">
              <w:rPr>
                <w:rFonts w:eastAsia="Times New Roman" w:cs="Arial"/>
                <w:color w:val="000000"/>
                <w:sz w:val="10"/>
                <w:szCs w:val="10"/>
                <w:lang w:eastAsia="en-AU"/>
              </w:rPr>
              <w:t>1.3%</w:t>
            </w:r>
          </w:p>
        </w:tc>
      </w:tr>
    </w:tbl>
    <w:p w14:paraId="4F3DBD0B" w14:textId="35AD0014" w:rsidR="00387EF2" w:rsidRPr="002D7D40" w:rsidRDefault="00A831C6" w:rsidP="00575037">
      <w:pPr>
        <w:pStyle w:val="Source"/>
        <w:spacing w:after="240"/>
        <w:rPr>
          <w:rFonts w:eastAsia="Arial" w:cs="Arial"/>
        </w:rPr>
      </w:pPr>
      <w:r>
        <w:br/>
      </w:r>
      <w:r w:rsidR="00F70885">
        <w:br/>
      </w:r>
      <w:r w:rsidR="00387EF2">
        <w:t xml:space="preserve">Source: </w:t>
      </w:r>
      <w:r w:rsidR="00A41FD5">
        <w:t>ABS (2021) Total Personal Income (INCP) by Occupation (OCCP) and Sector of Employment (GNGP), [Census TableBuilder] accessed</w:t>
      </w:r>
      <w:r w:rsidR="00387EF2">
        <w:t xml:space="preserve"> 10 March 2024. Weekly reported income is annualised. </w:t>
      </w:r>
      <w:r w:rsidR="00575037">
        <w:br/>
      </w:r>
    </w:p>
    <w:p w14:paraId="139F8CD2" w14:textId="77777777" w:rsidR="009E2EBD" w:rsidRPr="00F70885" w:rsidRDefault="00387EF2" w:rsidP="00F70885">
      <w:pPr>
        <w:pStyle w:val="Bodycopy"/>
      </w:pPr>
      <w:r w:rsidRPr="00F70885" w:rsidDel="0095756F">
        <w:fldChar w:fldCharType="begin"/>
      </w:r>
      <w:r w:rsidR="006730A7">
        <w:fldChar w:fldCharType="separate"/>
      </w:r>
      <w:r w:rsidRPr="00F70885" w:rsidDel="0095756F">
        <w:fldChar w:fldCharType="end"/>
      </w:r>
      <w:r w:rsidRPr="00F70885" w:rsidDel="0095756F">
        <w:fldChar w:fldCharType="begin"/>
      </w:r>
      <w:r w:rsidR="006730A7">
        <w:fldChar w:fldCharType="separate"/>
      </w:r>
      <w:r w:rsidRPr="00F70885" w:rsidDel="0095756F">
        <w:fldChar w:fldCharType="end"/>
      </w:r>
      <w:r w:rsidRPr="00F70885">
        <w:t xml:space="preserve">Under both the Award and various enterprise agreements in the sector there are limits on teaching and non-teaching hours. From an award perspective, a sessional employee is an employee engaged to work on a full-time or part-time basis for a specified period or periods of not less than 4 weeks or not more than 40 weeks in any calendar year. Across TAFE agreements, the allocated hours for teaching annually range from 720-840 hours with NSW and Victorian Teaching agreements also specifying 400 to 540 hours for non-teaching related duties to support ongoing industry currency. </w:t>
      </w:r>
    </w:p>
    <w:p w14:paraId="3C5C22BA" w14:textId="77777777" w:rsidR="00575037" w:rsidRDefault="00387EF2" w:rsidP="00F70885">
      <w:pPr>
        <w:pStyle w:val="Bodycopy"/>
      </w:pPr>
      <w:r w:rsidRPr="00F70885">
        <w:t xml:space="preserve">Agreements also allow employers and workers to negotiate the number of teaching weeks and hours required to adequately deliver and assess the content taught, and this may differ in positions of seniority. Prior to the commencement of the academic year, specific clauses under some enterprise agreements require an approved annual workplan to be established, considering the complex nature of teaching, preparation and learning each teacher is required to perform. </w:t>
      </w:r>
    </w:p>
    <w:p w14:paraId="637337C1" w14:textId="1BF294D8" w:rsidR="007142B3" w:rsidRDefault="00387EF2" w:rsidP="00F70885">
      <w:pPr>
        <w:pStyle w:val="Bodycopy"/>
      </w:pPr>
      <w:r w:rsidRPr="00F70885">
        <w:t>Various agreements across TAFEs also include clauses that discourage the excessive use of casuals or fixed term contracts to fulfill workforce needs with the goal of promoting ongoing employment</w:t>
      </w:r>
      <w:r w:rsidRPr="00F70885" w:rsidDel="7F2BE073">
        <w:t>.</w:t>
      </w:r>
      <w:r w:rsidRPr="00F70885">
        <w:t xml:space="preserve"> All agreements include (or will shortly include in the case of WA) conversion clauses from casual to permanent employment after periods of continuous service.</w:t>
      </w:r>
    </w:p>
    <w:p w14:paraId="4444E2D5" w14:textId="77777777" w:rsidR="007142B3" w:rsidRDefault="007142B3">
      <w:pPr>
        <w:rPr>
          <w:spacing w:val="2"/>
        </w:rPr>
      </w:pPr>
      <w:r>
        <w:br w:type="page"/>
      </w:r>
    </w:p>
    <w:p w14:paraId="2B513F96" w14:textId="4D2D2A6C" w:rsidR="00A6421D" w:rsidRDefault="00A6421D" w:rsidP="00A6421D">
      <w:pPr>
        <w:pStyle w:val="Heading5"/>
        <w:rPr>
          <w:rFonts w:eastAsia="Arial"/>
        </w:rPr>
      </w:pPr>
      <w:r>
        <w:lastRenderedPageBreak/>
        <w:t xml:space="preserve">Union Membership </w:t>
      </w:r>
    </w:p>
    <w:p w14:paraId="7E961E15" w14:textId="77777777" w:rsidR="00D809B4" w:rsidRDefault="00D809B4" w:rsidP="00DD6AE7">
      <w:pPr>
        <w:pStyle w:val="Bodycopy"/>
      </w:pPr>
      <w:r w:rsidRPr="00D809B4">
        <w:t xml:space="preserve">There are two main unions representing VET teachers, trainers and assessors, the Australian Education Union (AEU), the Independent Education Union (IEU). Other unions with membership among the VET workforce include the National Tertiary Education Union (NTEU) and Community and Public Sector Union. </w:t>
      </w:r>
    </w:p>
    <w:p w14:paraId="2FDDA14B" w14:textId="1856B42F" w:rsidR="00A6421D" w:rsidRPr="00DD6AE7" w:rsidRDefault="00A6421D" w:rsidP="00DD6AE7">
      <w:pPr>
        <w:pStyle w:val="Bodycopy"/>
      </w:pPr>
      <w:r w:rsidRPr="00DD6AE7">
        <w:t xml:space="preserve">ABS data on trade union membership for </w:t>
      </w:r>
      <w:r w:rsidR="00CC6D50" w:rsidRPr="00DD6AE7">
        <w:t>VET teachers</w:t>
      </w:r>
      <w:r w:rsidRPr="00DD6AE7">
        <w:t xml:space="preserve"> is a smaller sample but when considered in conjunction with collective agreement coverage and compared to other teachers gives some insights. </w:t>
      </w:r>
      <w:r w:rsidR="00CC6D50" w:rsidRPr="00DD6AE7">
        <w:t>VET teachers</w:t>
      </w:r>
      <w:r w:rsidRPr="00DD6AE7">
        <w:t xml:space="preserve"> have a slightly higher level of trade union membership than the overall Australian </w:t>
      </w:r>
      <w:r w:rsidR="001D61E8" w:rsidRPr="00DD6AE7">
        <w:t>w</w:t>
      </w:r>
      <w:r w:rsidRPr="00DD6AE7">
        <w:t xml:space="preserve">orkforce at 16.6% compared to 12.5%, but this is much lower than their counterparts in schools and universities (see </w:t>
      </w:r>
      <w:hyperlink w:anchor="Table_2_11" w:history="1">
        <w:r w:rsidRPr="002075A4">
          <w:rPr>
            <w:rStyle w:val="Hyperlink"/>
          </w:rPr>
          <w:t>Table 2.11</w:t>
        </w:r>
      </w:hyperlink>
      <w:r w:rsidRPr="00DD6AE7">
        <w:t xml:space="preserve"> for a split by the public and private sector). However, the public VET teacher union membership is much higher at 28.3%. </w:t>
      </w:r>
      <w:r w:rsidR="00986A2D" w:rsidRPr="00DD6AE7">
        <w:br/>
      </w:r>
    </w:p>
    <w:p w14:paraId="648178BC" w14:textId="484588BE" w:rsidR="00A6421D" w:rsidRDefault="00A6421D" w:rsidP="00A6421D">
      <w:pPr>
        <w:pStyle w:val="Caption"/>
        <w:keepNext/>
      </w:pPr>
      <w:bookmarkStart w:id="139" w:name="Table_2_11"/>
      <w:r w:rsidRPr="070D62CA">
        <w:t xml:space="preserve">Table </w:t>
      </w:r>
      <w:r>
        <w:fldChar w:fldCharType="begin"/>
      </w:r>
      <w:r>
        <w:instrText xml:space="preserve"> STYLEREF 1 \s </w:instrText>
      </w:r>
      <w:r>
        <w:fldChar w:fldCharType="separate"/>
      </w:r>
      <w:r w:rsidR="00E7704E">
        <w:rPr>
          <w:noProof/>
        </w:rPr>
        <w:t>2</w:t>
      </w:r>
      <w:r>
        <w:fldChar w:fldCharType="end"/>
      </w:r>
      <w:r w:rsidR="004B692A" w:rsidRPr="070D62CA">
        <w:t>.</w:t>
      </w:r>
      <w:r>
        <w:fldChar w:fldCharType="begin"/>
      </w:r>
      <w:r>
        <w:instrText xml:space="preserve"> SEQ Table \* ARABIC \s 1 </w:instrText>
      </w:r>
      <w:r>
        <w:fldChar w:fldCharType="separate"/>
      </w:r>
      <w:r w:rsidR="00E7704E">
        <w:rPr>
          <w:noProof/>
        </w:rPr>
        <w:t>11</w:t>
      </w:r>
      <w:r>
        <w:fldChar w:fldCharType="end"/>
      </w:r>
      <w:r>
        <w:fldChar w:fldCharType="begin"/>
      </w:r>
      <w:r w:rsidR="006730A7">
        <w:fldChar w:fldCharType="separate"/>
      </w:r>
      <w:r>
        <w:fldChar w:fldCharType="end"/>
      </w:r>
      <w:r>
        <w:fldChar w:fldCharType="begin"/>
      </w:r>
      <w:r w:rsidR="006730A7">
        <w:fldChar w:fldCharType="separate"/>
      </w:r>
      <w:r>
        <w:fldChar w:fldCharType="end"/>
      </w:r>
      <w:r w:rsidRPr="070D62CA">
        <w:t xml:space="preserve"> Proportion of workers belonging to a trade union split by the public and private sector and covered by a collective agreement, select occupations as at August 2022</w:t>
      </w:r>
    </w:p>
    <w:tbl>
      <w:tblPr>
        <w:tblStyle w:val="JSATable1"/>
        <w:tblW w:w="8902" w:type="dxa"/>
        <w:tblLayout w:type="fixed"/>
        <w:tblLook w:val="04A0" w:firstRow="1" w:lastRow="0" w:firstColumn="1" w:lastColumn="0" w:noHBand="0" w:noVBand="1"/>
        <w:tblDescription w:val="Proportion of workers belonging to a trade union split by the public and private sector and covered by a collective agreement, select occupations as at August 2022"/>
      </w:tblPr>
      <w:tblGrid>
        <w:gridCol w:w="3402"/>
        <w:gridCol w:w="1418"/>
        <w:gridCol w:w="1276"/>
        <w:gridCol w:w="1134"/>
        <w:gridCol w:w="1672"/>
      </w:tblGrid>
      <w:tr w:rsidR="007A53ED" w:rsidRPr="009A2DA5" w14:paraId="7B1FFCF9" w14:textId="77777777" w:rsidTr="00986A2D">
        <w:trPr>
          <w:cnfStyle w:val="100000000000" w:firstRow="1" w:lastRow="0" w:firstColumn="0" w:lastColumn="0" w:oddVBand="0" w:evenVBand="0" w:oddHBand="0" w:evenHBand="0" w:firstRowFirstColumn="0" w:firstRowLastColumn="0" w:lastRowFirstColumn="0" w:lastRowLastColumn="0"/>
          <w:trHeight w:val="377"/>
        </w:trPr>
        <w:tc>
          <w:tcPr>
            <w:cnfStyle w:val="001000000100" w:firstRow="0" w:lastRow="0" w:firstColumn="1" w:lastColumn="0" w:oddVBand="0" w:evenVBand="0" w:oddHBand="0" w:evenHBand="0" w:firstRowFirstColumn="1" w:firstRowLastColumn="0" w:lastRowFirstColumn="0" w:lastRowLastColumn="0"/>
            <w:tcW w:w="3402" w:type="dxa"/>
            <w:vMerge w:val="restart"/>
          </w:tcPr>
          <w:bookmarkEnd w:id="139"/>
          <w:p w14:paraId="5601B0DE" w14:textId="77777777" w:rsidR="007A53ED" w:rsidRPr="00D61ACD" w:rsidRDefault="007A53ED" w:rsidP="00986A2D">
            <w:pPr>
              <w:pStyle w:val="Tableheader"/>
              <w:ind w:left="227"/>
              <w:jc w:val="left"/>
              <w:rPr>
                <w:sz w:val="20"/>
                <w:szCs w:val="20"/>
              </w:rPr>
            </w:pPr>
            <w:r w:rsidRPr="00D61ACD">
              <w:rPr>
                <w:sz w:val="20"/>
                <w:szCs w:val="20"/>
              </w:rPr>
              <w:t>Occupation</w:t>
            </w:r>
          </w:p>
        </w:tc>
        <w:tc>
          <w:tcPr>
            <w:tcW w:w="3828" w:type="dxa"/>
            <w:gridSpan w:val="3"/>
          </w:tcPr>
          <w:p w14:paraId="19EB160F" w14:textId="7215E409" w:rsidR="007A53ED" w:rsidRPr="00D61ACD" w:rsidRDefault="007A53ED" w:rsidP="00B6693B">
            <w:pPr>
              <w:pStyle w:val="Tableheader"/>
              <w:cnfStyle w:val="100000000000" w:firstRow="1" w:lastRow="0" w:firstColumn="0" w:lastColumn="0" w:oddVBand="0" w:evenVBand="0" w:oddHBand="0" w:evenHBand="0" w:firstRowFirstColumn="0" w:firstRowLastColumn="0" w:lastRowFirstColumn="0" w:lastRowLastColumn="0"/>
              <w:rPr>
                <w:szCs w:val="20"/>
              </w:rPr>
            </w:pPr>
            <w:r w:rsidRPr="00D61ACD">
              <w:rPr>
                <w:szCs w:val="20"/>
              </w:rPr>
              <w:t>Trade union membership</w:t>
            </w:r>
            <w:r w:rsidRPr="00D61ACD">
              <w:rPr>
                <w:szCs w:val="20"/>
                <w:vertAlign w:val="superscript"/>
              </w:rPr>
              <w:t>a</w:t>
            </w:r>
          </w:p>
        </w:tc>
        <w:tc>
          <w:tcPr>
            <w:tcW w:w="1672" w:type="dxa"/>
            <w:vMerge w:val="restart"/>
          </w:tcPr>
          <w:p w14:paraId="6AB9F605" w14:textId="4CDA1C76" w:rsidR="007A53ED" w:rsidRPr="00D61ACD" w:rsidRDefault="007A53ED" w:rsidP="00304D4F">
            <w:pPr>
              <w:pStyle w:val="Tableheader"/>
              <w:cnfStyle w:val="100000000000" w:firstRow="1" w:lastRow="0" w:firstColumn="0" w:lastColumn="0" w:oddVBand="0" w:evenVBand="0" w:oddHBand="0" w:evenHBand="0" w:firstRowFirstColumn="0" w:firstRowLastColumn="0" w:lastRowFirstColumn="0" w:lastRowLastColumn="0"/>
              <w:rPr>
                <w:szCs w:val="20"/>
              </w:rPr>
            </w:pPr>
            <w:r w:rsidRPr="00D61ACD">
              <w:rPr>
                <w:szCs w:val="20"/>
              </w:rPr>
              <w:t>Collective Agreement coverage</w:t>
            </w:r>
            <w:r w:rsidRPr="00D61ACD">
              <w:rPr>
                <w:szCs w:val="20"/>
                <w:vertAlign w:val="superscript"/>
              </w:rPr>
              <w:t>b</w:t>
            </w:r>
          </w:p>
        </w:tc>
      </w:tr>
      <w:tr w:rsidR="007A53ED" w:rsidRPr="009A2DA5" w14:paraId="5ED4D9FC" w14:textId="77777777" w:rsidTr="00D61ACD">
        <w:trPr>
          <w:cnfStyle w:val="000000100000" w:firstRow="0" w:lastRow="0" w:firstColumn="0" w:lastColumn="0" w:oddVBand="0" w:evenVBand="0" w:oddHBand="1" w:evenHBand="0" w:firstRowFirstColumn="0" w:firstRowLastColumn="0" w:lastRowFirstColumn="0" w:lastRowLastColumn="0"/>
          <w:trHeight w:val="1131"/>
        </w:trPr>
        <w:tc>
          <w:tcPr>
            <w:cnfStyle w:val="001000000000" w:firstRow="0" w:lastRow="0" w:firstColumn="1" w:lastColumn="0" w:oddVBand="0" w:evenVBand="0" w:oddHBand="0" w:evenHBand="0" w:firstRowFirstColumn="0" w:firstRowLastColumn="0" w:lastRowFirstColumn="0" w:lastRowLastColumn="0"/>
            <w:tcW w:w="3402" w:type="dxa"/>
            <w:vMerge/>
          </w:tcPr>
          <w:p w14:paraId="1538D086" w14:textId="77777777" w:rsidR="007A53ED" w:rsidRPr="00816AE6" w:rsidRDefault="007A53ED" w:rsidP="00423701">
            <w:pPr>
              <w:pStyle w:val="Tablebodycopy"/>
              <w:ind w:left="227"/>
              <w:rPr>
                <w:color w:val="FFFFFF" w:themeColor="background1"/>
              </w:rPr>
            </w:pPr>
          </w:p>
        </w:tc>
        <w:tc>
          <w:tcPr>
            <w:tcW w:w="1418" w:type="dxa"/>
            <w:shd w:val="clear" w:color="auto" w:fill="2F005F"/>
            <w:vAlign w:val="bottom"/>
          </w:tcPr>
          <w:p w14:paraId="3FA46618" w14:textId="77777777" w:rsidR="007A53ED" w:rsidRPr="00816AE6" w:rsidRDefault="007A53ED" w:rsidP="00986A2D">
            <w:pPr>
              <w:pStyle w:val="Tableheader"/>
              <w:jc w:val="center"/>
              <w:cnfStyle w:val="000000100000" w:firstRow="0" w:lastRow="0" w:firstColumn="0" w:lastColumn="0" w:oddVBand="0" w:evenVBand="0" w:oddHBand="1" w:evenHBand="0" w:firstRowFirstColumn="0" w:firstRowLastColumn="0" w:lastRowFirstColumn="0" w:lastRowLastColumn="0"/>
            </w:pPr>
            <w:r>
              <w:t>Overall</w:t>
            </w:r>
          </w:p>
        </w:tc>
        <w:tc>
          <w:tcPr>
            <w:tcW w:w="1276" w:type="dxa"/>
            <w:shd w:val="clear" w:color="auto" w:fill="2F005F"/>
            <w:vAlign w:val="bottom"/>
          </w:tcPr>
          <w:p w14:paraId="20ED7027" w14:textId="77777777" w:rsidR="007A53ED" w:rsidRPr="00816AE6" w:rsidRDefault="007A53ED" w:rsidP="00986A2D">
            <w:pPr>
              <w:pStyle w:val="Tableheader"/>
              <w:jc w:val="center"/>
              <w:cnfStyle w:val="000000100000" w:firstRow="0" w:lastRow="0" w:firstColumn="0" w:lastColumn="0" w:oddVBand="0" w:evenVBand="0" w:oddHBand="1" w:evenHBand="0" w:firstRowFirstColumn="0" w:firstRowLastColumn="0" w:lastRowFirstColumn="0" w:lastRowLastColumn="0"/>
            </w:pPr>
            <w:r w:rsidRPr="00816AE6">
              <w:t>Public</w:t>
            </w:r>
          </w:p>
        </w:tc>
        <w:tc>
          <w:tcPr>
            <w:tcW w:w="1134" w:type="dxa"/>
            <w:shd w:val="clear" w:color="auto" w:fill="2F005F"/>
            <w:vAlign w:val="bottom"/>
          </w:tcPr>
          <w:p w14:paraId="4FF43BF1" w14:textId="77777777" w:rsidR="007A53ED" w:rsidRPr="00816AE6" w:rsidRDefault="007A53ED" w:rsidP="00986A2D">
            <w:pPr>
              <w:pStyle w:val="Tableheader"/>
              <w:jc w:val="center"/>
              <w:cnfStyle w:val="000000100000" w:firstRow="0" w:lastRow="0" w:firstColumn="0" w:lastColumn="0" w:oddVBand="0" w:evenVBand="0" w:oddHBand="1" w:evenHBand="0" w:firstRowFirstColumn="0" w:firstRowLastColumn="0" w:lastRowFirstColumn="0" w:lastRowLastColumn="0"/>
            </w:pPr>
            <w:r w:rsidRPr="00816AE6">
              <w:t>Private</w:t>
            </w:r>
          </w:p>
        </w:tc>
        <w:tc>
          <w:tcPr>
            <w:tcW w:w="1672" w:type="dxa"/>
            <w:vMerge/>
          </w:tcPr>
          <w:p w14:paraId="67AC7A18" w14:textId="77777777" w:rsidR="007A53ED" w:rsidRPr="00816AE6" w:rsidRDefault="007A53ED" w:rsidP="00304D4F">
            <w:pPr>
              <w:pStyle w:val="Tablebodycopy"/>
              <w:jc w:val="center"/>
              <w:cnfStyle w:val="000000100000" w:firstRow="0" w:lastRow="0" w:firstColumn="0" w:lastColumn="0" w:oddVBand="0" w:evenVBand="0" w:oddHBand="1" w:evenHBand="0" w:firstRowFirstColumn="0" w:firstRowLastColumn="0" w:lastRowFirstColumn="0" w:lastRowLastColumn="0"/>
              <w:rPr>
                <w:color w:val="FFFFFF" w:themeColor="background1"/>
              </w:rPr>
            </w:pPr>
          </w:p>
        </w:tc>
      </w:tr>
      <w:tr w:rsidR="00A6421D" w:rsidRPr="009A2DA5" w14:paraId="61C81662" w14:textId="77777777" w:rsidTr="00D7331B">
        <w:trPr>
          <w:cnfStyle w:val="000000010000" w:firstRow="0" w:lastRow="0" w:firstColumn="0" w:lastColumn="0" w:oddVBand="0" w:evenVBand="0" w:oddHBand="0" w:evenHBand="1"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3402" w:type="dxa"/>
            <w:vAlign w:val="center"/>
          </w:tcPr>
          <w:p w14:paraId="26BB8EA3" w14:textId="77777777" w:rsidR="00A6421D" w:rsidRPr="009A2DA5" w:rsidRDefault="00A6421D" w:rsidP="00986A2D">
            <w:pPr>
              <w:pStyle w:val="Tablebodycopy"/>
              <w:ind w:left="142"/>
            </w:pPr>
            <w:r>
              <w:t>Primary School Teachers</w:t>
            </w:r>
          </w:p>
        </w:tc>
        <w:tc>
          <w:tcPr>
            <w:tcW w:w="1418" w:type="dxa"/>
            <w:vAlign w:val="center"/>
          </w:tcPr>
          <w:p w14:paraId="045BC0E3" w14:textId="77777777" w:rsidR="00A6421D" w:rsidRPr="669C1B3D" w:rsidRDefault="00A6421D" w:rsidP="00986A2D">
            <w:pPr>
              <w:pStyle w:val="Tablebodycopy"/>
              <w:ind w:left="142"/>
              <w:jc w:val="center"/>
              <w:cnfStyle w:val="000000010000" w:firstRow="0" w:lastRow="0" w:firstColumn="0" w:lastColumn="0" w:oddVBand="0" w:evenVBand="0" w:oddHBand="0" w:evenHBand="1" w:firstRowFirstColumn="0" w:firstRowLastColumn="0" w:lastRowFirstColumn="0" w:lastRowLastColumn="0"/>
            </w:pPr>
            <w:r>
              <w:t>42.9%</w:t>
            </w:r>
          </w:p>
        </w:tc>
        <w:tc>
          <w:tcPr>
            <w:tcW w:w="1276" w:type="dxa"/>
            <w:vAlign w:val="center"/>
          </w:tcPr>
          <w:p w14:paraId="4F036462" w14:textId="77777777" w:rsidR="00A6421D" w:rsidRPr="009A2DA5" w:rsidRDefault="00A6421D" w:rsidP="00986A2D">
            <w:pPr>
              <w:pStyle w:val="Tablebodycopy"/>
              <w:ind w:left="142"/>
              <w:jc w:val="center"/>
              <w:cnfStyle w:val="000000010000" w:firstRow="0" w:lastRow="0" w:firstColumn="0" w:lastColumn="0" w:oddVBand="0" w:evenVBand="0" w:oddHBand="0" w:evenHBand="1" w:firstRowFirstColumn="0" w:firstRowLastColumn="0" w:lastRowFirstColumn="0" w:lastRowLastColumn="0"/>
            </w:pPr>
            <w:r>
              <w:t>44.6%</w:t>
            </w:r>
          </w:p>
        </w:tc>
        <w:tc>
          <w:tcPr>
            <w:tcW w:w="1134" w:type="dxa"/>
            <w:vAlign w:val="center"/>
          </w:tcPr>
          <w:p w14:paraId="502EEBFA" w14:textId="77777777" w:rsidR="00A6421D" w:rsidRPr="271DB76C" w:rsidRDefault="00A6421D" w:rsidP="00986A2D">
            <w:pPr>
              <w:pStyle w:val="Tablebodycopy"/>
              <w:ind w:left="142"/>
              <w:jc w:val="center"/>
              <w:cnfStyle w:val="000000010000" w:firstRow="0" w:lastRow="0" w:firstColumn="0" w:lastColumn="0" w:oddVBand="0" w:evenVBand="0" w:oddHBand="0" w:evenHBand="1" w:firstRowFirstColumn="0" w:firstRowLastColumn="0" w:lastRowFirstColumn="0" w:lastRowLastColumn="0"/>
            </w:pPr>
            <w:r>
              <w:t>40.4%</w:t>
            </w:r>
          </w:p>
        </w:tc>
        <w:tc>
          <w:tcPr>
            <w:tcW w:w="1672" w:type="dxa"/>
            <w:vAlign w:val="center"/>
          </w:tcPr>
          <w:p w14:paraId="331FB0A2" w14:textId="77777777" w:rsidR="00A6421D" w:rsidRPr="009A2DA5" w:rsidRDefault="00A6421D" w:rsidP="00986A2D">
            <w:pPr>
              <w:pStyle w:val="Tablebodycopy"/>
              <w:ind w:left="142"/>
              <w:jc w:val="center"/>
              <w:cnfStyle w:val="000000010000" w:firstRow="0" w:lastRow="0" w:firstColumn="0" w:lastColumn="0" w:oddVBand="0" w:evenVBand="0" w:oddHBand="0" w:evenHBand="1" w:firstRowFirstColumn="0" w:firstRowLastColumn="0" w:lastRowFirstColumn="0" w:lastRowLastColumn="0"/>
            </w:pPr>
            <w:r w:rsidRPr="01928843">
              <w:t>96.</w:t>
            </w:r>
            <w:r w:rsidRPr="00C177D4">
              <w:t>8</w:t>
            </w:r>
            <w:r w:rsidRPr="01928843">
              <w:t>%</w:t>
            </w:r>
          </w:p>
        </w:tc>
      </w:tr>
      <w:tr w:rsidR="00A6421D" w:rsidRPr="009A2DA5" w14:paraId="080A856C" w14:textId="77777777" w:rsidTr="00986A2D">
        <w:trPr>
          <w:cnfStyle w:val="000000100000" w:firstRow="0" w:lastRow="0" w:firstColumn="0" w:lastColumn="0" w:oddVBand="0" w:evenVBand="0" w:oddHBand="1"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3402" w:type="dxa"/>
            <w:vAlign w:val="center"/>
          </w:tcPr>
          <w:p w14:paraId="540F9E25" w14:textId="77777777" w:rsidR="00A6421D" w:rsidRPr="009A2DA5" w:rsidRDefault="00A6421D" w:rsidP="00986A2D">
            <w:pPr>
              <w:pStyle w:val="Tablebodycopy"/>
              <w:ind w:left="142"/>
              <w:rPr>
                <w:b/>
              </w:rPr>
            </w:pPr>
            <w:r w:rsidRPr="5A96F513">
              <w:rPr>
                <w:b/>
              </w:rPr>
              <w:t>Vocational Education Teachers/Polytechnic Teachers</w:t>
            </w:r>
          </w:p>
        </w:tc>
        <w:tc>
          <w:tcPr>
            <w:tcW w:w="1418" w:type="dxa"/>
            <w:vAlign w:val="center"/>
          </w:tcPr>
          <w:p w14:paraId="7632C489" w14:textId="77777777" w:rsidR="00A6421D" w:rsidRPr="3DF6BECA" w:rsidRDefault="00A6421D" w:rsidP="00986A2D">
            <w:pPr>
              <w:pStyle w:val="Tablebodycopy"/>
              <w:ind w:left="142"/>
              <w:jc w:val="center"/>
              <w:cnfStyle w:val="000000100000" w:firstRow="0" w:lastRow="0" w:firstColumn="0" w:lastColumn="0" w:oddVBand="0" w:evenVBand="0" w:oddHBand="1" w:evenHBand="0" w:firstRowFirstColumn="0" w:firstRowLastColumn="0" w:lastRowFirstColumn="0" w:lastRowLastColumn="0"/>
              <w:rPr>
                <w:b/>
              </w:rPr>
            </w:pPr>
            <w:r>
              <w:rPr>
                <w:b/>
                <w:bCs/>
              </w:rPr>
              <w:t>16.6</w:t>
            </w:r>
            <w:r w:rsidRPr="5A96F513">
              <w:rPr>
                <w:b/>
              </w:rPr>
              <w:t>%</w:t>
            </w:r>
            <w:r>
              <w:rPr>
                <w:b/>
              </w:rPr>
              <w:t>*</w:t>
            </w:r>
          </w:p>
        </w:tc>
        <w:tc>
          <w:tcPr>
            <w:tcW w:w="1276" w:type="dxa"/>
            <w:vAlign w:val="center"/>
          </w:tcPr>
          <w:p w14:paraId="14AAA678" w14:textId="77777777" w:rsidR="00A6421D" w:rsidRPr="009A2DA5" w:rsidRDefault="00A6421D" w:rsidP="00986A2D">
            <w:pPr>
              <w:pStyle w:val="Tablebodycopy"/>
              <w:ind w:left="142"/>
              <w:jc w:val="center"/>
              <w:cnfStyle w:val="000000100000" w:firstRow="0" w:lastRow="0" w:firstColumn="0" w:lastColumn="0" w:oddVBand="0" w:evenVBand="0" w:oddHBand="1" w:evenHBand="0" w:firstRowFirstColumn="0" w:firstRowLastColumn="0" w:lastRowFirstColumn="0" w:lastRowLastColumn="0"/>
              <w:rPr>
                <w:b/>
              </w:rPr>
            </w:pPr>
            <w:r w:rsidRPr="5A96F513">
              <w:rPr>
                <w:b/>
                <w:bCs/>
              </w:rPr>
              <w:t>28.3</w:t>
            </w:r>
            <w:r w:rsidRPr="5A96F513">
              <w:rPr>
                <w:b/>
              </w:rPr>
              <w:t>%*</w:t>
            </w:r>
          </w:p>
        </w:tc>
        <w:tc>
          <w:tcPr>
            <w:tcW w:w="1134" w:type="dxa"/>
            <w:vAlign w:val="center"/>
          </w:tcPr>
          <w:p w14:paraId="71C1163E" w14:textId="77777777" w:rsidR="00A6421D" w:rsidRPr="307CE03C" w:rsidRDefault="00A6421D" w:rsidP="00986A2D">
            <w:pPr>
              <w:pStyle w:val="Tablebodycopy"/>
              <w:ind w:left="142"/>
              <w:jc w:val="center"/>
              <w:cnfStyle w:val="000000100000" w:firstRow="0" w:lastRow="0" w:firstColumn="0" w:lastColumn="0" w:oddVBand="0" w:evenVBand="0" w:oddHBand="1" w:evenHBand="0" w:firstRowFirstColumn="0" w:firstRowLastColumn="0" w:lastRowFirstColumn="0" w:lastRowLastColumn="0"/>
              <w:rPr>
                <w:b/>
              </w:rPr>
            </w:pPr>
            <w:r>
              <w:rPr>
                <w:b/>
                <w:bCs/>
              </w:rPr>
              <w:t>9</w:t>
            </w:r>
            <w:r w:rsidRPr="070B2987">
              <w:rPr>
                <w:b/>
                <w:bCs/>
              </w:rPr>
              <w:t>.3</w:t>
            </w:r>
            <w:r w:rsidRPr="5A96F513">
              <w:rPr>
                <w:b/>
              </w:rPr>
              <w:t>%**</w:t>
            </w:r>
          </w:p>
        </w:tc>
        <w:tc>
          <w:tcPr>
            <w:tcW w:w="1672" w:type="dxa"/>
            <w:vAlign w:val="center"/>
          </w:tcPr>
          <w:p w14:paraId="177F41C3" w14:textId="77777777" w:rsidR="00A6421D" w:rsidRPr="00C177D4" w:rsidRDefault="00A6421D" w:rsidP="00986A2D">
            <w:pPr>
              <w:pStyle w:val="Tablebodycopy"/>
              <w:ind w:left="142"/>
              <w:jc w:val="center"/>
              <w:cnfStyle w:val="000000100000" w:firstRow="0" w:lastRow="0" w:firstColumn="0" w:lastColumn="0" w:oddVBand="0" w:evenVBand="0" w:oddHBand="1" w:evenHBand="0" w:firstRowFirstColumn="0" w:firstRowLastColumn="0" w:lastRowFirstColumn="0" w:lastRowLastColumn="0"/>
              <w:rPr>
                <w:b/>
              </w:rPr>
            </w:pPr>
            <w:r w:rsidRPr="00C177D4">
              <w:rPr>
                <w:b/>
              </w:rPr>
              <w:t>61.</w:t>
            </w:r>
            <w:r w:rsidRPr="00C177D4">
              <w:rPr>
                <w:b/>
                <w:bCs/>
              </w:rPr>
              <w:t>7</w:t>
            </w:r>
            <w:r w:rsidRPr="00C177D4">
              <w:rPr>
                <w:b/>
              </w:rPr>
              <w:t>%</w:t>
            </w:r>
          </w:p>
        </w:tc>
      </w:tr>
      <w:tr w:rsidR="00A6421D" w:rsidRPr="009A2DA5" w14:paraId="674A3920" w14:textId="77777777" w:rsidTr="00207618">
        <w:trPr>
          <w:cnfStyle w:val="000000010000" w:firstRow="0" w:lastRow="0" w:firstColumn="0" w:lastColumn="0" w:oddVBand="0" w:evenVBand="0" w:oddHBand="0" w:evenHBand="1"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3402" w:type="dxa"/>
            <w:tcBorders>
              <w:bottom w:val="nil"/>
            </w:tcBorders>
            <w:vAlign w:val="center"/>
          </w:tcPr>
          <w:p w14:paraId="16AD40D3" w14:textId="77777777" w:rsidR="00A6421D" w:rsidRPr="009A2DA5" w:rsidRDefault="00A6421D" w:rsidP="00986A2D">
            <w:pPr>
              <w:pStyle w:val="Tablebodycopy"/>
              <w:ind w:left="142"/>
            </w:pPr>
            <w:r w:rsidRPr="009A2DA5">
              <w:t>Secondary School Teachers</w:t>
            </w:r>
          </w:p>
        </w:tc>
        <w:tc>
          <w:tcPr>
            <w:tcW w:w="1418" w:type="dxa"/>
            <w:tcBorders>
              <w:bottom w:val="nil"/>
            </w:tcBorders>
            <w:vAlign w:val="center"/>
          </w:tcPr>
          <w:p w14:paraId="0F9CA829" w14:textId="77777777" w:rsidR="00A6421D" w:rsidRPr="3DF6BECA" w:rsidRDefault="00A6421D" w:rsidP="00986A2D">
            <w:pPr>
              <w:pStyle w:val="Tablebodycopy"/>
              <w:ind w:left="142"/>
              <w:jc w:val="center"/>
              <w:cnfStyle w:val="000000010000" w:firstRow="0" w:lastRow="0" w:firstColumn="0" w:lastColumn="0" w:oddVBand="0" w:evenVBand="0" w:oddHBand="0" w:evenHBand="1" w:firstRowFirstColumn="0" w:firstRowLastColumn="0" w:lastRowFirstColumn="0" w:lastRowLastColumn="0"/>
            </w:pPr>
            <w:r w:rsidRPr="3DF6BECA">
              <w:t>5</w:t>
            </w:r>
            <w:r>
              <w:t>4</w:t>
            </w:r>
            <w:r w:rsidRPr="3DF6BECA">
              <w:t>.</w:t>
            </w:r>
            <w:r>
              <w:t>3</w:t>
            </w:r>
            <w:r w:rsidRPr="3DF6BECA">
              <w:t>%</w:t>
            </w:r>
          </w:p>
        </w:tc>
        <w:tc>
          <w:tcPr>
            <w:tcW w:w="1276" w:type="dxa"/>
            <w:tcBorders>
              <w:bottom w:val="nil"/>
            </w:tcBorders>
            <w:vAlign w:val="center"/>
          </w:tcPr>
          <w:p w14:paraId="07EBE7A4" w14:textId="77777777" w:rsidR="00A6421D" w:rsidRPr="009A2DA5" w:rsidRDefault="00A6421D" w:rsidP="00986A2D">
            <w:pPr>
              <w:pStyle w:val="Tablebodycopy"/>
              <w:ind w:left="142"/>
              <w:jc w:val="center"/>
              <w:cnfStyle w:val="000000010000" w:firstRow="0" w:lastRow="0" w:firstColumn="0" w:lastColumn="0" w:oddVBand="0" w:evenVBand="0" w:oddHBand="0" w:evenHBand="1" w:firstRowFirstColumn="0" w:firstRowLastColumn="0" w:lastRowFirstColumn="0" w:lastRowLastColumn="0"/>
            </w:pPr>
            <w:r w:rsidRPr="307CE03C">
              <w:t>65.</w:t>
            </w:r>
            <w:r>
              <w:t>0</w:t>
            </w:r>
            <w:r w:rsidRPr="307CE03C">
              <w:t>%</w:t>
            </w:r>
          </w:p>
        </w:tc>
        <w:tc>
          <w:tcPr>
            <w:tcW w:w="1134" w:type="dxa"/>
            <w:tcBorders>
              <w:bottom w:val="nil"/>
            </w:tcBorders>
            <w:vAlign w:val="center"/>
          </w:tcPr>
          <w:p w14:paraId="002241A5" w14:textId="77777777" w:rsidR="00A6421D" w:rsidRPr="307CE03C" w:rsidRDefault="00A6421D" w:rsidP="00986A2D">
            <w:pPr>
              <w:pStyle w:val="Tablebodycopy"/>
              <w:ind w:left="142"/>
              <w:jc w:val="center"/>
              <w:cnfStyle w:val="000000010000" w:firstRow="0" w:lastRow="0" w:firstColumn="0" w:lastColumn="0" w:oddVBand="0" w:evenVBand="0" w:oddHBand="0" w:evenHBand="1" w:firstRowFirstColumn="0" w:firstRowLastColumn="0" w:lastRowFirstColumn="0" w:lastRowLastColumn="0"/>
            </w:pPr>
            <w:r w:rsidRPr="307CE03C">
              <w:t>45.</w:t>
            </w:r>
            <w:r>
              <w:t>0</w:t>
            </w:r>
            <w:r w:rsidRPr="307CE03C">
              <w:t>%</w:t>
            </w:r>
          </w:p>
        </w:tc>
        <w:tc>
          <w:tcPr>
            <w:tcW w:w="1672" w:type="dxa"/>
            <w:tcBorders>
              <w:bottom w:val="nil"/>
            </w:tcBorders>
            <w:vAlign w:val="center"/>
          </w:tcPr>
          <w:p w14:paraId="3D3CF9DC" w14:textId="77777777" w:rsidR="00A6421D" w:rsidRPr="009A2DA5" w:rsidRDefault="00A6421D" w:rsidP="00986A2D">
            <w:pPr>
              <w:pStyle w:val="Tablebodycopy"/>
              <w:ind w:left="142"/>
              <w:jc w:val="center"/>
              <w:cnfStyle w:val="000000010000" w:firstRow="0" w:lastRow="0" w:firstColumn="0" w:lastColumn="0" w:oddVBand="0" w:evenVBand="0" w:oddHBand="0" w:evenHBand="1" w:firstRowFirstColumn="0" w:firstRowLastColumn="0" w:lastRowFirstColumn="0" w:lastRowLastColumn="0"/>
            </w:pPr>
            <w:r w:rsidRPr="00C177D4">
              <w:t>94.5%</w:t>
            </w:r>
          </w:p>
        </w:tc>
      </w:tr>
      <w:tr w:rsidR="00A6421D" w:rsidRPr="009A2DA5" w14:paraId="6B5FC6FE" w14:textId="77777777" w:rsidTr="00207618">
        <w:trPr>
          <w:cnfStyle w:val="000000100000" w:firstRow="0" w:lastRow="0" w:firstColumn="0" w:lastColumn="0" w:oddVBand="0" w:evenVBand="0" w:oddHBand="1"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3402" w:type="dxa"/>
            <w:tcBorders>
              <w:bottom w:val="single" w:sz="8" w:space="0" w:color="2F005F"/>
            </w:tcBorders>
            <w:vAlign w:val="center"/>
          </w:tcPr>
          <w:p w14:paraId="257E5E70" w14:textId="77777777" w:rsidR="00A6421D" w:rsidRPr="009A2DA5" w:rsidRDefault="00A6421D" w:rsidP="00986A2D">
            <w:pPr>
              <w:pStyle w:val="Tablebodycopy"/>
              <w:ind w:left="142"/>
            </w:pPr>
            <w:r w:rsidRPr="009A2DA5">
              <w:t>University Lecturers and Tutors</w:t>
            </w:r>
          </w:p>
        </w:tc>
        <w:tc>
          <w:tcPr>
            <w:tcW w:w="1418" w:type="dxa"/>
            <w:tcBorders>
              <w:bottom w:val="single" w:sz="8" w:space="0" w:color="2F005F"/>
            </w:tcBorders>
            <w:vAlign w:val="center"/>
          </w:tcPr>
          <w:p w14:paraId="7BF9B20B" w14:textId="77777777" w:rsidR="00A6421D" w:rsidRPr="3DF6BECA" w:rsidRDefault="00A6421D" w:rsidP="00986A2D">
            <w:pPr>
              <w:pStyle w:val="Tablebodycopy"/>
              <w:ind w:left="142"/>
              <w:jc w:val="center"/>
              <w:cnfStyle w:val="000000100000" w:firstRow="0" w:lastRow="0" w:firstColumn="0" w:lastColumn="0" w:oddVBand="0" w:evenVBand="0" w:oddHBand="1" w:evenHBand="0" w:firstRowFirstColumn="0" w:firstRowLastColumn="0" w:lastRowFirstColumn="0" w:lastRowLastColumn="0"/>
            </w:pPr>
            <w:r>
              <w:t>22.8%</w:t>
            </w:r>
          </w:p>
        </w:tc>
        <w:tc>
          <w:tcPr>
            <w:tcW w:w="1276" w:type="dxa"/>
            <w:tcBorders>
              <w:bottom w:val="single" w:sz="8" w:space="0" w:color="2F005F"/>
            </w:tcBorders>
            <w:vAlign w:val="center"/>
          </w:tcPr>
          <w:p w14:paraId="35305B83" w14:textId="77777777" w:rsidR="00A6421D" w:rsidRPr="009A2DA5" w:rsidRDefault="00A6421D" w:rsidP="00986A2D">
            <w:pPr>
              <w:pStyle w:val="Tablebodycopy"/>
              <w:ind w:left="142"/>
              <w:jc w:val="center"/>
              <w:cnfStyle w:val="000000100000" w:firstRow="0" w:lastRow="0" w:firstColumn="0" w:lastColumn="0" w:oddVBand="0" w:evenVBand="0" w:oddHBand="1" w:evenHBand="0" w:firstRowFirstColumn="0" w:firstRowLastColumn="0" w:lastRowFirstColumn="0" w:lastRowLastColumn="0"/>
            </w:pPr>
            <w:r w:rsidRPr="50108FCC">
              <w:t>22.</w:t>
            </w:r>
            <w:r>
              <w:t>7</w:t>
            </w:r>
            <w:r w:rsidRPr="50108FCC">
              <w:t>%</w:t>
            </w:r>
          </w:p>
        </w:tc>
        <w:tc>
          <w:tcPr>
            <w:tcW w:w="1134" w:type="dxa"/>
            <w:tcBorders>
              <w:bottom w:val="single" w:sz="8" w:space="0" w:color="2F005F"/>
            </w:tcBorders>
            <w:vAlign w:val="center"/>
          </w:tcPr>
          <w:p w14:paraId="1B3392D3" w14:textId="77777777" w:rsidR="00A6421D" w:rsidRPr="0028007F" w:rsidRDefault="00A6421D" w:rsidP="00986A2D">
            <w:pPr>
              <w:pStyle w:val="Tablebodycopy"/>
              <w:ind w:left="142"/>
              <w:jc w:val="center"/>
              <w:cnfStyle w:val="000000100000" w:firstRow="0" w:lastRow="0" w:firstColumn="0" w:lastColumn="0" w:oddVBand="0" w:evenVBand="0" w:oddHBand="1" w:evenHBand="0" w:firstRowFirstColumn="0" w:firstRowLastColumn="0" w:lastRowFirstColumn="0" w:lastRowLastColumn="0"/>
            </w:pPr>
            <w:r w:rsidRPr="0028007F">
              <w:t>23.</w:t>
            </w:r>
            <w:r>
              <w:t>3</w:t>
            </w:r>
            <w:r w:rsidRPr="22582721">
              <w:t>%*</w:t>
            </w:r>
          </w:p>
        </w:tc>
        <w:tc>
          <w:tcPr>
            <w:tcW w:w="1672" w:type="dxa"/>
            <w:tcBorders>
              <w:bottom w:val="single" w:sz="8" w:space="0" w:color="2F005F"/>
            </w:tcBorders>
            <w:vAlign w:val="center"/>
          </w:tcPr>
          <w:p w14:paraId="24946126" w14:textId="77777777" w:rsidR="00A6421D" w:rsidRPr="009A2DA5" w:rsidRDefault="00A6421D" w:rsidP="00986A2D">
            <w:pPr>
              <w:pStyle w:val="Tablebodycopy"/>
              <w:ind w:left="142"/>
              <w:jc w:val="center"/>
              <w:cnfStyle w:val="000000100000" w:firstRow="0" w:lastRow="0" w:firstColumn="0" w:lastColumn="0" w:oddVBand="0" w:evenVBand="0" w:oddHBand="1" w:evenHBand="0" w:firstRowFirstColumn="0" w:firstRowLastColumn="0" w:lastRowFirstColumn="0" w:lastRowLastColumn="0"/>
            </w:pPr>
            <w:r w:rsidRPr="00C177D4">
              <w:t>97.3%</w:t>
            </w:r>
          </w:p>
        </w:tc>
      </w:tr>
    </w:tbl>
    <w:p w14:paraId="5461F675" w14:textId="25A08A10" w:rsidR="00A6421D" w:rsidRPr="00F70885" w:rsidRDefault="00F70885" w:rsidP="008B2387">
      <w:pPr>
        <w:pStyle w:val="Source"/>
      </w:pPr>
      <w:r>
        <w:br/>
      </w:r>
      <w:r w:rsidR="00A6421D" w:rsidRPr="00F70885">
        <w:t>Source: (a) ABS (202</w:t>
      </w:r>
      <w:r w:rsidR="008E07F7" w:rsidRPr="00F70885">
        <w:t>2</w:t>
      </w:r>
      <w:r w:rsidR="00A6421D" w:rsidRPr="00F70885">
        <w:t xml:space="preserve">), </w:t>
      </w:r>
      <w:r w:rsidR="00C34DAF" w:rsidRPr="00F70885">
        <w:t>Employees t</w:t>
      </w:r>
      <w:r w:rsidR="00D53D7D" w:rsidRPr="00F70885">
        <w:t xml:space="preserve">rade </w:t>
      </w:r>
      <w:r w:rsidR="00261DAF" w:rsidRPr="00F70885">
        <w:t>u</w:t>
      </w:r>
      <w:r w:rsidR="00D53D7D" w:rsidRPr="00F70885">
        <w:t xml:space="preserve">nion </w:t>
      </w:r>
      <w:r w:rsidR="00261DAF" w:rsidRPr="00F70885">
        <w:t>m</w:t>
      </w:r>
      <w:r w:rsidR="00D53D7D" w:rsidRPr="00F70885">
        <w:t xml:space="preserve">embership in </w:t>
      </w:r>
      <w:r w:rsidR="00261DAF" w:rsidRPr="00F70885">
        <w:t>m</w:t>
      </w:r>
      <w:r w:rsidR="00D53D7D" w:rsidRPr="00F70885">
        <w:t xml:space="preserve">ain </w:t>
      </w:r>
      <w:r w:rsidR="00261DAF" w:rsidRPr="00F70885">
        <w:t>j</w:t>
      </w:r>
      <w:r w:rsidR="00D53D7D" w:rsidRPr="00F70885">
        <w:t xml:space="preserve">ob by </w:t>
      </w:r>
      <w:r w:rsidR="00261DAF" w:rsidRPr="00F70885">
        <w:t>o</w:t>
      </w:r>
      <w:r w:rsidR="00D53D7D" w:rsidRPr="00F70885">
        <w:t xml:space="preserve">ccupation of </w:t>
      </w:r>
      <w:r w:rsidR="00261DAF" w:rsidRPr="00F70885">
        <w:t>m</w:t>
      </w:r>
      <w:r w:rsidR="00D53D7D" w:rsidRPr="00F70885">
        <w:t xml:space="preserve">ain </w:t>
      </w:r>
      <w:r w:rsidR="00261DAF" w:rsidRPr="00F70885">
        <w:t>j</w:t>
      </w:r>
      <w:r w:rsidR="00D53D7D" w:rsidRPr="00F70885">
        <w:t>ob</w:t>
      </w:r>
      <w:r w:rsidR="00C34DAF" w:rsidRPr="00F70885">
        <w:t>,</w:t>
      </w:r>
      <w:r w:rsidR="00A6421D" w:rsidRPr="00F70885">
        <w:t xml:space="preserve"> [</w:t>
      </w:r>
      <w:r w:rsidR="00D53D7D" w:rsidRPr="00F70885">
        <w:t xml:space="preserve">Characteristics of Employment </w:t>
      </w:r>
      <w:r w:rsidR="00A6421D" w:rsidRPr="00F70885">
        <w:t>TableBuilder], accessed 10 April 2024, (b) ABS (202</w:t>
      </w:r>
      <w:r w:rsidR="002F0087" w:rsidRPr="00F70885">
        <w:t>1</w:t>
      </w:r>
      <w:r w:rsidR="00A6421D" w:rsidRPr="00F70885">
        <w:t xml:space="preserve">) </w:t>
      </w:r>
      <w:r w:rsidR="00D53D7D" w:rsidRPr="00F70885">
        <w:t xml:space="preserve">Method of pay setting by </w:t>
      </w:r>
      <w:r w:rsidR="00261DAF" w:rsidRPr="00F70885">
        <w:t>occupation</w:t>
      </w:r>
      <w:r w:rsidR="00A6421D" w:rsidRPr="00F70885">
        <w:t xml:space="preserve"> [</w:t>
      </w:r>
      <w:r w:rsidR="009242EB" w:rsidRPr="00F70885">
        <w:t>Employee Earnings and Hours</w:t>
      </w:r>
      <w:r w:rsidR="00C34DAF" w:rsidRPr="00F70885">
        <w:t xml:space="preserve"> </w:t>
      </w:r>
      <w:r w:rsidR="00A6421D" w:rsidRPr="00F70885">
        <w:t>TableBuilder], accessed 10 April 2024.</w:t>
      </w:r>
    </w:p>
    <w:p w14:paraId="4D38CDD4" w14:textId="77777777" w:rsidR="00A6421D" w:rsidRPr="00F70885" w:rsidRDefault="00A6421D" w:rsidP="008B2387">
      <w:pPr>
        <w:pStyle w:val="Source"/>
      </w:pPr>
      <w:r w:rsidRPr="00F70885">
        <w:t>Note: Occupation of main job and Trade union membership by Reference Year</w:t>
      </w:r>
    </w:p>
    <w:p w14:paraId="173D2A5D" w14:textId="77777777" w:rsidR="00A6421D" w:rsidRPr="00F70885" w:rsidRDefault="00A6421D" w:rsidP="008B2387">
      <w:pPr>
        <w:pStyle w:val="Source"/>
      </w:pPr>
      <w:r w:rsidRPr="00F70885">
        <w:t>*Estimate has a relative standard error of 25 to 50.0% and should be used with caution</w:t>
      </w:r>
    </w:p>
    <w:p w14:paraId="208EFE4A" w14:textId="59D91BEE" w:rsidR="00E049B4" w:rsidRDefault="00A6421D" w:rsidP="008B2387">
      <w:pPr>
        <w:pStyle w:val="Source"/>
      </w:pPr>
      <w:r w:rsidRPr="00F70885">
        <w:t>**Estimate has a relative standard error greater than 50% and is considered too unreliable for general use</w:t>
      </w:r>
    </w:p>
    <w:p w14:paraId="79115219" w14:textId="77777777" w:rsidR="00E049B4" w:rsidRDefault="00E049B4">
      <w:pPr>
        <w:rPr>
          <w:rFonts w:asciiTheme="minorHAnsi" w:hAnsiTheme="minorHAnsi"/>
          <w:color w:val="auto"/>
          <w:spacing w:val="6"/>
          <w:kern w:val="16"/>
          <w:sz w:val="18"/>
          <w:szCs w:val="18"/>
        </w:rPr>
      </w:pPr>
      <w:r>
        <w:br w:type="page"/>
      </w:r>
    </w:p>
    <w:p w14:paraId="21242CF7" w14:textId="5CD0CB43" w:rsidR="00A6421D" w:rsidRDefault="00A6421D" w:rsidP="00A6421D">
      <w:pPr>
        <w:pStyle w:val="Heading2"/>
      </w:pPr>
      <w:bookmarkStart w:id="140" w:name="_Toc1001090719"/>
      <w:bookmarkStart w:id="141" w:name="_Toc176770984"/>
      <w:r>
        <w:lastRenderedPageBreak/>
        <w:t xml:space="preserve">VET </w:t>
      </w:r>
      <w:r w:rsidR="00A95E8C">
        <w:t>w</w:t>
      </w:r>
      <w:r>
        <w:t xml:space="preserve">orkforce </w:t>
      </w:r>
      <w:r w:rsidR="00A95E8C">
        <w:t>d</w:t>
      </w:r>
      <w:r>
        <w:t xml:space="preserve">ata – </w:t>
      </w:r>
      <w:r w:rsidR="00675BA2">
        <w:t>c</w:t>
      </w:r>
      <w:r>
        <w:t xml:space="preserve">urrent and </w:t>
      </w:r>
      <w:r w:rsidR="00A95E8C">
        <w:t>p</w:t>
      </w:r>
      <w:r>
        <w:t xml:space="preserve">otential </w:t>
      </w:r>
      <w:r w:rsidR="00A95E8C">
        <w:t>f</w:t>
      </w:r>
      <w:r>
        <w:t xml:space="preserve">uture </w:t>
      </w:r>
      <w:r w:rsidR="00A95E8C">
        <w:t>s</w:t>
      </w:r>
      <w:r>
        <w:t>tates</w:t>
      </w:r>
      <w:bookmarkEnd w:id="140"/>
      <w:bookmarkEnd w:id="141"/>
    </w:p>
    <w:p w14:paraId="387406CD" w14:textId="33FE1D50" w:rsidR="00F70885" w:rsidRPr="00F70885" w:rsidRDefault="00802F16" w:rsidP="00F70885">
      <w:pPr>
        <w:pStyle w:val="Bodycopy"/>
      </w:pPr>
      <w:r w:rsidRPr="00F70885">
        <w:t xml:space="preserve">As this chapter has shown there are numerous data limitations in profiling the VET workforce. Two very significant key data limitations relate to the dual professional status of </w:t>
      </w:r>
      <w:r w:rsidR="00CC6D50">
        <w:t>VET teachers</w:t>
      </w:r>
      <w:r w:rsidRPr="00F70885">
        <w:t xml:space="preserve">, </w:t>
      </w:r>
      <w:r w:rsidR="00CA16FA">
        <w:t>trainers</w:t>
      </w:r>
      <w:r w:rsidRPr="00F70885">
        <w:t xml:space="preserve"> and </w:t>
      </w:r>
      <w:r w:rsidR="00CA16FA">
        <w:t>a</w:t>
      </w:r>
      <w:r w:rsidRPr="00F70885">
        <w:t xml:space="preserve">ssessors. First, there are data gaps in understanding both teaching and industry qualifications of the workforce. Second, data gaps in identifying a national comprehensive workforce count and composition of the VET workforce, regardless of whether individuals self-identify as a member of VET or their industry. </w:t>
      </w:r>
    </w:p>
    <w:p w14:paraId="6B11505F" w14:textId="70892085" w:rsidR="00802F16" w:rsidRPr="00F70885" w:rsidRDefault="00802F16" w:rsidP="00F70885">
      <w:pPr>
        <w:pStyle w:val="Bodycopy"/>
      </w:pPr>
      <w:r w:rsidRPr="00F70885">
        <w:t>This chapter also demonstrates gaps in understanding the diversity and age of the VET workforce. There is an immediate need for a more nuanced understanding of the diversity of the VET workforce, especially First Nations status, if Australia is to have a high performing VET system that aligns with the diverse student cohort it serves. The study confirms that the VET workforce is older, and ag</w:t>
      </w:r>
      <w:r w:rsidR="00D13F19">
        <w:t>e</w:t>
      </w:r>
      <w:r w:rsidRPr="00F70885">
        <w:t xml:space="preserve">ing and that better data is needed to manage this risk and secure a sustainable workforce supply in the future. In line with this, this next section outlines the current state of VET workforce data and recommendations for future collection with a focus on these main four data gaps. </w:t>
      </w:r>
    </w:p>
    <w:p w14:paraId="6AF46CA4" w14:textId="2D1B8540" w:rsidR="00A6421D" w:rsidRPr="007111CE" w:rsidRDefault="00A6421D" w:rsidP="00A6421D">
      <w:pPr>
        <w:pStyle w:val="Heading3"/>
        <w:rPr>
          <w:lang w:val="en-US"/>
        </w:rPr>
      </w:pPr>
      <w:r w:rsidRPr="151E15F1">
        <w:rPr>
          <w:lang w:val="en-US"/>
        </w:rPr>
        <w:t xml:space="preserve">Current </w:t>
      </w:r>
      <w:r w:rsidR="004429C4">
        <w:rPr>
          <w:lang w:val="en-US"/>
        </w:rPr>
        <w:t>s</w:t>
      </w:r>
      <w:r w:rsidRPr="151E15F1">
        <w:rPr>
          <w:lang w:val="en-US"/>
        </w:rPr>
        <w:t>tate</w:t>
      </w:r>
    </w:p>
    <w:p w14:paraId="3DF8B2C9" w14:textId="77777777" w:rsidR="00A6421D" w:rsidRPr="00423701" w:rsidRDefault="00A6421D" w:rsidP="00E16D4F">
      <w:pPr>
        <w:pStyle w:val="Bodycopy"/>
      </w:pPr>
      <w:r w:rsidRPr="00423701">
        <w:t>The current state of VET workforce data can be summarised as follows:</w:t>
      </w:r>
    </w:p>
    <w:p w14:paraId="08EF8F62" w14:textId="77777777" w:rsidR="00A6421D" w:rsidRPr="00B22314" w:rsidRDefault="00A6421D" w:rsidP="00D04786">
      <w:pPr>
        <w:pStyle w:val="ListBullet"/>
      </w:pPr>
      <w:r>
        <w:t>There is no compulsory, comprehensive, regular collection of workforce data from RTOs or individual workers.</w:t>
      </w:r>
    </w:p>
    <w:p w14:paraId="148AF684" w14:textId="77777777" w:rsidR="00D809B4" w:rsidRDefault="00D809B4" w:rsidP="00D04786">
      <w:pPr>
        <w:pStyle w:val="ListBullet"/>
      </w:pPr>
      <w:r w:rsidRPr="00D809B4">
        <w:t xml:space="preserve">The last attempt to conduct a survey to measure the size of the VET workforce (and some of its core characteristics) occurred in 2019, and encountered difficulty in relation to response rate and designing an instrument that could be equally understood and completed by the diversity of RTO providers. Data from the Australian Census of Population and Housing (held every five years, most recently in 2021) provides some insights into the characteristics of the VET workforce. However, in the past its scope has not aligned to the full extent of the VET workforce due to some misalignment with the ANZSIC and ANZSCO categories and limitations around only allowing survey respondents to identify one singular main job. However, more fit-for-purpose VET occupational classifications will likely be implemented for 2026 which will assist with better workforce mapping. Nonetheless, the inevitable non-sampling error introduced by self-report responses in census remains an issue. While census data provides information on the personal characteristics of VET workers, the method of collecting data on qualifications results in gaps. Only data on highest qualification is collected, whereas for the dual professional status to the VET workforce – both teaching and vocational qualifications are crucial. </w:t>
      </w:r>
    </w:p>
    <w:p w14:paraId="13D84C0A" w14:textId="400B821A" w:rsidR="00A6421D" w:rsidRPr="00B22314" w:rsidRDefault="00A6421D" w:rsidP="00D04786">
      <w:pPr>
        <w:pStyle w:val="ListBullet"/>
      </w:pPr>
      <w:r>
        <w:t xml:space="preserve">Data collected from RTOs by ASQA and the other registration bodies at the time of registration. The collection of this information is permitted under Standards for Registered Training Organisations (RTOs) 2015. While ASQA may request data from registered RTOs throughout their registration period, currently ASQA and the other registration bodies do not routinely re-survey RTOs or otherwise require RTOs to keep this information current as a condition of registration. </w:t>
      </w:r>
    </w:p>
    <w:p w14:paraId="6BE9D52D" w14:textId="37D90CF9" w:rsidR="00A6421D" w:rsidRPr="00B22314" w:rsidRDefault="00A6421D" w:rsidP="00D04786">
      <w:pPr>
        <w:pStyle w:val="ListBullet"/>
      </w:pPr>
      <w:r>
        <w:lastRenderedPageBreak/>
        <w:t xml:space="preserve">Data collected by state and territory training authorities as part of their contracting arrangements for delivery of subsidised training (some similar data is collected as part of the approval process for RTOs to offer VET Student Loans). For example, the NSW Government collects student data from Smart and Skilled providers as part of its contracting rounds </w:t>
      </w:r>
      <w:r w:rsidR="0000395E">
        <w:t>–</w:t>
      </w:r>
      <w:r>
        <w:t xml:space="preserve"> and could expand reporting requirements to include workforce data. </w:t>
      </w:r>
    </w:p>
    <w:p w14:paraId="04A40C5F" w14:textId="77777777" w:rsidR="00A6421D" w:rsidRPr="00B22314" w:rsidRDefault="00A6421D" w:rsidP="00D04786">
      <w:pPr>
        <w:pStyle w:val="ListBullet"/>
      </w:pPr>
      <w:r>
        <w:t xml:space="preserve">TAFEs and dual sector universities are typically required to report on their staffing levels as part of annual reports required by legislation. </w:t>
      </w:r>
    </w:p>
    <w:p w14:paraId="247B5714" w14:textId="77777777" w:rsidR="00A6421D" w:rsidRPr="00B22314" w:rsidRDefault="00A6421D" w:rsidP="00D04786">
      <w:pPr>
        <w:pStyle w:val="ListBullet"/>
      </w:pPr>
      <w:r>
        <w:t xml:space="preserve">This compares with an annual workforce data collection for higher education providers and national workforce censuses or surveys for ECEC [and for the aged care] sectors. </w:t>
      </w:r>
    </w:p>
    <w:p w14:paraId="2AC86772" w14:textId="337B4156" w:rsidR="00A6421D" w:rsidRPr="00992E83" w:rsidRDefault="00A6421D" w:rsidP="00D04786">
      <w:pPr>
        <w:pStyle w:val="ListBullet"/>
      </w:pPr>
      <w:r>
        <w:t xml:space="preserve">Separately, licensing or registration bodies for occupations (such as School Teachers and registered nurses) may collect information on the individual characteristics. However, there are not national licensing or registration arrangements in place for </w:t>
      </w:r>
      <w:r w:rsidR="00CC6D50">
        <w:t>VET teachers</w:t>
      </w:r>
      <w:r>
        <w:t xml:space="preserve">, trainers, and assessors, just as there are not for early childhood educators, for example. </w:t>
      </w:r>
    </w:p>
    <w:p w14:paraId="65353756" w14:textId="77777777" w:rsidR="00A6421D" w:rsidRPr="00992E83" w:rsidRDefault="00A6421D" w:rsidP="00F70885">
      <w:pPr>
        <w:pStyle w:val="Bodycopy"/>
      </w:pPr>
      <w:r>
        <w:t xml:space="preserve">It is also worth noting that even these other sector workforce data collections have limitations and would not address some essential priorities of the VET sector. For example, the National Workforce Census for ECEC does not cover all standalone preschools funded by state and territory governments and is not able to account for multiple job holders. Diversity demographic, tenure and attitudinal data has also not been consistently collected. However, it does include data by provider type which could be replicated in any VET workforce data collection.   </w:t>
      </w:r>
    </w:p>
    <w:p w14:paraId="4598BD8D" w14:textId="1BC2DE05" w:rsidR="00A6421D" w:rsidRPr="0053374F" w:rsidRDefault="00A6421D" w:rsidP="00986A2D">
      <w:pPr>
        <w:pStyle w:val="Heading3"/>
        <w:spacing w:before="360"/>
        <w:rPr>
          <w:bCs/>
          <w:szCs w:val="26"/>
          <w:lang w:val="en-US"/>
        </w:rPr>
      </w:pPr>
      <w:r w:rsidRPr="151E15F1">
        <w:rPr>
          <w:lang w:val="en-US"/>
        </w:rPr>
        <w:t>The answers sought from VET workforce data</w:t>
      </w:r>
    </w:p>
    <w:p w14:paraId="0FACA5DD" w14:textId="2F20CA77" w:rsidR="00A6421D" w:rsidRPr="00992E83" w:rsidRDefault="00A6421D" w:rsidP="00E16D4F">
      <w:pPr>
        <w:pStyle w:val="Bodycopy"/>
      </w:pPr>
      <w:r>
        <w:t xml:space="preserve">In this section, we identify the data insights that are highly likely to be used by regulators, funders, VET providers, and organisations (VET and higher education providers) offering training for </w:t>
      </w:r>
      <w:r w:rsidR="00CC6D50">
        <w:t>VET teachers</w:t>
      </w:r>
      <w:r>
        <w:t xml:space="preserve">, trainers and assessors and other VET roles. The following sections assess that against the current state of VET workforce data collection, identifies lessons from previous data collections, then considers options for data collection in the future. </w:t>
      </w:r>
    </w:p>
    <w:p w14:paraId="6D63C861" w14:textId="77777777" w:rsidR="00A6421D" w:rsidRPr="00992E83" w:rsidRDefault="00A6421D" w:rsidP="002D4813">
      <w:pPr>
        <w:pStyle w:val="Heading4"/>
        <w:rPr>
          <w:i/>
          <w:iCs/>
        </w:rPr>
      </w:pPr>
      <w:r>
        <w:t>Workforce size and composition</w:t>
      </w:r>
    </w:p>
    <w:p w14:paraId="280B1AD0" w14:textId="77777777" w:rsidR="00A6421D" w:rsidRPr="00B22314" w:rsidRDefault="00A6421D" w:rsidP="00651563">
      <w:pPr>
        <w:pStyle w:val="ListBullet"/>
      </w:pPr>
      <w:r>
        <w:t>How large is the VET workforce?</w:t>
      </w:r>
    </w:p>
    <w:p w14:paraId="4D1074DA" w14:textId="77777777" w:rsidR="00A6421D" w:rsidRPr="00B22314" w:rsidRDefault="00A6421D" w:rsidP="00651563">
      <w:pPr>
        <w:pStyle w:val="ListBullet"/>
      </w:pPr>
      <w:r>
        <w:t>How large is the VET teaching, training, and assessing workforce?</w:t>
      </w:r>
    </w:p>
    <w:p w14:paraId="0B5FC07E" w14:textId="77777777" w:rsidR="00A6421D" w:rsidRPr="00B22314" w:rsidRDefault="00A6421D" w:rsidP="00651563">
      <w:pPr>
        <w:pStyle w:val="ListBullet"/>
      </w:pPr>
      <w:r>
        <w:t>How many VET workers are performing other roles?</w:t>
      </w:r>
    </w:p>
    <w:p w14:paraId="73684776" w14:textId="77777777" w:rsidR="00A6421D" w:rsidRPr="00B22314" w:rsidRDefault="00A6421D" w:rsidP="00651563">
      <w:pPr>
        <w:pStyle w:val="ListBullet"/>
      </w:pPr>
      <w:r>
        <w:t>How is the VET workforce distributed across RTO types?</w:t>
      </w:r>
    </w:p>
    <w:p w14:paraId="028A61B9" w14:textId="77777777" w:rsidR="00A6421D" w:rsidRPr="00B22314" w:rsidRDefault="00A6421D" w:rsidP="00651563">
      <w:pPr>
        <w:pStyle w:val="ListBullet"/>
      </w:pPr>
      <w:r>
        <w:t>To the extent possible, how is the VET teaching, training, and assessing workforce distributed across industry and disciplinary fields?</w:t>
      </w:r>
    </w:p>
    <w:p w14:paraId="11D3A065" w14:textId="77777777" w:rsidR="00A6421D" w:rsidRPr="00B22314" w:rsidRDefault="00A6421D" w:rsidP="00D04786">
      <w:pPr>
        <w:pStyle w:val="ListBullet"/>
      </w:pPr>
      <w:r>
        <w:t xml:space="preserve">To the extent possible, how common is multiple job holding by the VET teaching, training, and assessing workforce, both across the VET workforce and between VET and industry? </w:t>
      </w:r>
    </w:p>
    <w:p w14:paraId="4D65C5E3" w14:textId="77777777" w:rsidR="006C5EFF" w:rsidRDefault="006C5EFF">
      <w:pPr>
        <w:rPr>
          <w:spacing w:val="2"/>
        </w:rPr>
      </w:pPr>
      <w:r>
        <w:br w:type="page"/>
      </w:r>
    </w:p>
    <w:p w14:paraId="7EBD0048" w14:textId="385C70F2" w:rsidR="00A6421D" w:rsidRPr="00992E83" w:rsidRDefault="00270B64" w:rsidP="00E16D4F">
      <w:pPr>
        <w:pStyle w:val="Bodycopy"/>
      </w:pPr>
      <w:r>
        <w:lastRenderedPageBreak/>
        <w:t>The</w:t>
      </w:r>
      <w:r w:rsidR="00A772BE">
        <w:t>s</w:t>
      </w:r>
      <w:r>
        <w:t>e are</w:t>
      </w:r>
      <w:r w:rsidR="00A6421D">
        <w:t xml:space="preserve"> legitimate question</w:t>
      </w:r>
      <w:r w:rsidR="00BB7F2C">
        <w:t>s</w:t>
      </w:r>
      <w:r w:rsidR="00A6421D">
        <w:t xml:space="preserve"> for funders and regulators to understand. Having a more accurate idea of how large the VET teaching workforce is will help regulators and those responsible for developing and delivering VET teaching qualifications gain a picture of the current supply.  Collecting data on the wider VET workforce will also provide a picture of which roles support VET students – </w:t>
      </w:r>
      <w:r w:rsidR="002602EE">
        <w:t>which is of interest to</w:t>
      </w:r>
      <w:r w:rsidR="00A6421D">
        <w:t xml:space="preserve"> RTO regulators and governments subsidising VET (or supporting it with access to loans). This information would also be useful for RTOs looking to benchmark their staffing profile to other similar organisations. Similar sectors where government is called on to assure the quality of services (and is often the primary funder) require similar information – higher education, early childhood education and care (ECEC), and aged care.</w:t>
      </w:r>
    </w:p>
    <w:p w14:paraId="33C0C6D7" w14:textId="62263133" w:rsidR="00A6421D" w:rsidRPr="00992E83" w:rsidRDefault="00A6421D" w:rsidP="00E16D4F">
      <w:pPr>
        <w:pStyle w:val="Bodycopy"/>
      </w:pPr>
      <w:r>
        <w:t>Assessing the size of the VET workforce would require a measure of both headcount and full-time equivalent workers, preferably by RTO provider type and/or type of training delivered</w:t>
      </w:r>
      <w:r w:rsidR="00613596">
        <w:t>.</w:t>
      </w:r>
      <w:r>
        <w:t xml:space="preserve"> This would assist in targeting any initiatives to develop or support existing VET workers or train and recruit new ones</w:t>
      </w:r>
      <w:r w:rsidR="00613596">
        <w:t xml:space="preserve">. </w:t>
      </w:r>
      <w:r>
        <w:t>An accurate measure of the VET workforce would also need to take into account</w:t>
      </w:r>
      <w:r w:rsidR="00A85C9B">
        <w:t>,</w:t>
      </w:r>
      <w:r>
        <w:t xml:space="preserve"> where possible</w:t>
      </w:r>
      <w:r w:rsidR="00A85C9B">
        <w:t>,</w:t>
      </w:r>
      <w:r>
        <w:t xml:space="preserve"> multiple job holding (see further discussion below). </w:t>
      </w:r>
    </w:p>
    <w:p w14:paraId="0598E32D" w14:textId="77777777" w:rsidR="00A6421D" w:rsidRPr="007111CE" w:rsidRDefault="00A6421D" w:rsidP="00986A2D">
      <w:pPr>
        <w:pStyle w:val="Heading4"/>
        <w:spacing w:before="240"/>
      </w:pPr>
      <w:r>
        <w:t>How diverse is the VET workforce?</w:t>
      </w:r>
    </w:p>
    <w:p w14:paraId="554FEA3F" w14:textId="1A8E2621" w:rsidR="00A6421D" w:rsidRPr="00447217" w:rsidRDefault="00A6421D" w:rsidP="00651563">
      <w:pPr>
        <w:pStyle w:val="ListBullet"/>
      </w:pPr>
      <w:r>
        <w:t xml:space="preserve">Important measures would be gender, and First Nations </w:t>
      </w:r>
      <w:r w:rsidR="0090501B">
        <w:t>s</w:t>
      </w:r>
      <w:r>
        <w:t>tatus.</w:t>
      </w:r>
    </w:p>
    <w:p w14:paraId="75DA55DD" w14:textId="77777777" w:rsidR="00A6421D" w:rsidRPr="00447217" w:rsidRDefault="00A6421D" w:rsidP="00D04786">
      <w:pPr>
        <w:pStyle w:val="ListBullet"/>
      </w:pPr>
      <w:r>
        <w:t>Additional valuable measures would be CALD and workers with disability.</w:t>
      </w:r>
    </w:p>
    <w:p w14:paraId="541CFD77" w14:textId="77777777" w:rsidR="00A6421D" w:rsidRPr="00992E83" w:rsidRDefault="00A6421D" w:rsidP="00651563">
      <w:pPr>
        <w:pStyle w:val="Bodycopy"/>
      </w:pPr>
      <w:r>
        <w:t xml:space="preserve">Providing opportunities in the VET workforce is important to ensure that it reflects the diversity of the Australian population and the student cohort it serves. Diversity takes on added importance in the VET workforce, as there is considerable evidence that, for example, training providers with First Nations workers are likely to achieve greater success with supporting First Nations students to completion. Information of this nature will help government and other national VET bodies develop and monitor strategies to increase the diversity of the VET workforce. </w:t>
      </w:r>
    </w:p>
    <w:p w14:paraId="77349392" w14:textId="7D9B1882" w:rsidR="00A6421D" w:rsidRPr="00992E83" w:rsidRDefault="00A6421D" w:rsidP="00986A2D">
      <w:pPr>
        <w:pStyle w:val="Heading4"/>
        <w:spacing w:before="240"/>
        <w:rPr>
          <w:i/>
          <w:iCs/>
        </w:rPr>
      </w:pPr>
      <w:r>
        <w:t xml:space="preserve">VET Teaching </w:t>
      </w:r>
      <w:r w:rsidR="00500DBC">
        <w:t>w</w:t>
      </w:r>
      <w:r>
        <w:t>orkforce credentials</w:t>
      </w:r>
    </w:p>
    <w:p w14:paraId="370E43F9" w14:textId="77777777" w:rsidR="00A6421D" w:rsidRPr="003D2439" w:rsidRDefault="00A6421D" w:rsidP="00651563">
      <w:pPr>
        <w:pStyle w:val="ListBullet"/>
      </w:pPr>
      <w:r w:rsidRPr="003D2439">
        <w:t>What are the credentials of the VET teaching workforce?</w:t>
      </w:r>
    </w:p>
    <w:p w14:paraId="39526BB8" w14:textId="77777777" w:rsidR="00A6421D" w:rsidRPr="003D2439" w:rsidRDefault="00A6421D" w:rsidP="00651563">
      <w:pPr>
        <w:pStyle w:val="ListBullet"/>
      </w:pPr>
      <w:r w:rsidRPr="003D2439">
        <w:t>What are the teaching/education credentials (by level and type) of the VET teaching workforce?</w:t>
      </w:r>
    </w:p>
    <w:p w14:paraId="29FB3787" w14:textId="77777777" w:rsidR="00A6421D" w:rsidRPr="003D2439" w:rsidRDefault="00A6421D" w:rsidP="00D04786">
      <w:pPr>
        <w:pStyle w:val="ListBullet"/>
      </w:pPr>
      <w:r w:rsidRPr="003D2439">
        <w:t>What are the (non-teaching) credentials (by level and field of education or industry) of the VET teaching workforce?</w:t>
      </w:r>
    </w:p>
    <w:p w14:paraId="258E0D09" w14:textId="5DED3924" w:rsidR="00A6421D" w:rsidRPr="00992E83" w:rsidRDefault="00A6421D" w:rsidP="00E16D4F">
      <w:pPr>
        <w:pStyle w:val="Bodycopy"/>
      </w:pPr>
      <w:r>
        <w:t>Collecting this type of data is again of considerable importance for understanding the impact of the RTO Standards and for considering what qualifications – VET and higher education – and ongoing professional development</w:t>
      </w:r>
      <w:r w:rsidR="007A0B3A">
        <w:t>,</w:t>
      </w:r>
      <w:r>
        <w:t xml:space="preserve"> may be needed for the current and future VET teaching workforce. </w:t>
      </w:r>
    </w:p>
    <w:p w14:paraId="5596E7B0" w14:textId="77777777" w:rsidR="00A6421D" w:rsidRPr="00992E83" w:rsidRDefault="00A6421D" w:rsidP="00986A2D">
      <w:pPr>
        <w:pStyle w:val="Heading4"/>
        <w:spacing w:before="240"/>
      </w:pPr>
      <w:r>
        <w:t>VET teaching workforce age profile, VET teaching retention, tenure, and turnover?</w:t>
      </w:r>
    </w:p>
    <w:p w14:paraId="1943277A" w14:textId="77777777" w:rsidR="00A6421D" w:rsidRPr="003D2439" w:rsidRDefault="00A6421D" w:rsidP="00651563">
      <w:pPr>
        <w:pStyle w:val="ListBullet"/>
      </w:pPr>
      <w:r w:rsidRPr="003D2439">
        <w:t>Based on the existing age profile and any other available information (such as tenure and intentions to leave, what are the likely exits from the VET teaching workforce (and potentially other VET specialist roles)?</w:t>
      </w:r>
    </w:p>
    <w:p w14:paraId="404E334F" w14:textId="77777777" w:rsidR="00A6421D" w:rsidRPr="003D2439" w:rsidRDefault="00A6421D" w:rsidP="00D04786">
      <w:pPr>
        <w:pStyle w:val="ListBullet"/>
      </w:pPr>
      <w:r w:rsidRPr="003D2439">
        <w:t>How does this vary by field of education or industry?</w:t>
      </w:r>
    </w:p>
    <w:p w14:paraId="13133C30" w14:textId="7FEBBCB0" w:rsidR="00A6421D" w:rsidRPr="00992E83" w:rsidRDefault="00A6421D" w:rsidP="00651563">
      <w:pPr>
        <w:pStyle w:val="Bodycopy"/>
      </w:pPr>
      <w:r>
        <w:lastRenderedPageBreak/>
        <w:t xml:space="preserve">Throughout this report we examine the evidence that the demand for </w:t>
      </w:r>
      <w:r w:rsidR="00CC6D50">
        <w:t>VET teachers</w:t>
      </w:r>
      <w:r>
        <w:t xml:space="preserve">, trainers, and assessors (and any current shortages) vary, with shortages particularly evident in trade areas also experiencing occupation shortage, such as electro-technology. This information is needed to work closely with the relevant industry areas to identify and develop pipelines. </w:t>
      </w:r>
      <w:r w:rsidR="007A0B3A">
        <w:t>I</w:t>
      </w:r>
      <w:r>
        <w:t>n general, the largest driver of exits is age, but any available</w:t>
      </w:r>
      <w:r w:rsidR="00B76E35">
        <w:t xml:space="preserve"> </w:t>
      </w:r>
      <w:r>
        <w:t>information on tenure and attitudinal data (e.g. intention to leave)</w:t>
      </w:r>
      <w:r w:rsidR="007A0B3A">
        <w:t>,</w:t>
      </w:r>
      <w:r>
        <w:t xml:space="preserve"> would also be informative. </w:t>
      </w:r>
    </w:p>
    <w:p w14:paraId="63F8B2C9" w14:textId="77777777" w:rsidR="00A6421D" w:rsidRPr="00992E83" w:rsidRDefault="00A6421D" w:rsidP="00986A2D">
      <w:pPr>
        <w:pStyle w:val="Heading4"/>
        <w:spacing w:before="240"/>
      </w:pPr>
      <w:r>
        <w:t>How is work done?</w:t>
      </w:r>
    </w:p>
    <w:p w14:paraId="56EFAF72" w14:textId="77777777" w:rsidR="00A6421D" w:rsidRPr="00B03D74" w:rsidRDefault="00A6421D" w:rsidP="00986A2D">
      <w:pPr>
        <w:pStyle w:val="ListBullet"/>
      </w:pPr>
      <w:r w:rsidRPr="00B03D74">
        <w:t>What essential RTO functions are performed in-house by RTOs?</w:t>
      </w:r>
    </w:p>
    <w:p w14:paraId="442A8DDE" w14:textId="77777777" w:rsidR="00A6421D" w:rsidRPr="00B03D74" w:rsidRDefault="00A6421D" w:rsidP="00986A2D">
      <w:pPr>
        <w:pStyle w:val="ListBullet2"/>
        <w:ind w:left="426" w:hanging="57"/>
      </w:pPr>
      <w:r w:rsidRPr="00B03D74">
        <w:t>Training and teaching delivery</w:t>
      </w:r>
    </w:p>
    <w:p w14:paraId="2F91553E" w14:textId="77777777" w:rsidR="00A6421D" w:rsidRPr="00B03D74" w:rsidRDefault="00A6421D" w:rsidP="00986A2D">
      <w:pPr>
        <w:pStyle w:val="ListBullet2"/>
        <w:ind w:left="426" w:hanging="57"/>
      </w:pPr>
      <w:r w:rsidRPr="00B03D74">
        <w:t>Assessment</w:t>
      </w:r>
    </w:p>
    <w:p w14:paraId="757FEBF5" w14:textId="77777777" w:rsidR="00A6421D" w:rsidRPr="00B03D74" w:rsidRDefault="00A6421D" w:rsidP="00986A2D">
      <w:pPr>
        <w:pStyle w:val="ListBullet2"/>
        <w:ind w:left="426" w:hanging="57"/>
      </w:pPr>
      <w:r w:rsidRPr="00B03D74">
        <w:t>Training and assessment material design</w:t>
      </w:r>
    </w:p>
    <w:p w14:paraId="478C1E4C" w14:textId="77777777" w:rsidR="00A6421D" w:rsidRPr="00B03D74" w:rsidRDefault="00A6421D" w:rsidP="00986A2D">
      <w:pPr>
        <w:pStyle w:val="ListBullet2"/>
        <w:ind w:left="426" w:hanging="57"/>
      </w:pPr>
      <w:r w:rsidRPr="00B03D74">
        <w:t>Quality assurance and compliance</w:t>
      </w:r>
    </w:p>
    <w:p w14:paraId="65733308" w14:textId="77777777" w:rsidR="00A6421D" w:rsidRPr="00B03D74" w:rsidRDefault="00A6421D" w:rsidP="00986A2D">
      <w:pPr>
        <w:pStyle w:val="ListBullet2"/>
        <w:ind w:left="426" w:hanging="57"/>
      </w:pPr>
      <w:r w:rsidRPr="00B03D74">
        <w:t>Student support</w:t>
      </w:r>
    </w:p>
    <w:p w14:paraId="1235CCB0" w14:textId="77777777" w:rsidR="00986A2D" w:rsidRDefault="00A6421D" w:rsidP="00651563">
      <w:pPr>
        <w:pStyle w:val="Bodycopy"/>
      </w:pPr>
      <w:r>
        <w:t xml:space="preserve">One of the issues that this study highlights is that RTOs have options regarding how to perform the essential activities required to maintain RTO registration, including training delivery, assessment, design of training and assessment materials, quality assurance activities, student marketing, and provision of student support services. Not all work is performed by a directly employed workforce. </w:t>
      </w:r>
    </w:p>
    <w:p w14:paraId="0F79A98D" w14:textId="0DE578D1" w:rsidR="00A6421D" w:rsidRDefault="00A6421D" w:rsidP="00651563">
      <w:pPr>
        <w:pStyle w:val="Bodycopy"/>
      </w:pPr>
      <w:r>
        <w:t xml:space="preserve">The extent to which an RTO elects to outsource some of these activities will markedly influence the size and composition of their VET workforce. Relatedly RTOs operating across similar domains (e.g. </w:t>
      </w:r>
      <w:r w:rsidR="002B458A">
        <w:t>s</w:t>
      </w:r>
      <w:r>
        <w:t xml:space="preserve">chools, dual sector universities) may centralise some of these services and have difficulty accurately identifying or apportioning the VET-relevant component. </w:t>
      </w:r>
    </w:p>
    <w:p w14:paraId="496A526D" w14:textId="77777777" w:rsidR="00A6421D" w:rsidRPr="00992E83" w:rsidRDefault="00A6421D" w:rsidP="00651563">
      <w:pPr>
        <w:pStyle w:val="Bodycopy"/>
      </w:pPr>
      <w:r>
        <w:t xml:space="preserve">Information of this type will help regulators better target education and compliance activities and help governments and national VET bodies develop policies and frameworks for effective regulation, training product design and implementation, and student support. It will also help governments better consider how to effectively factor such activities into their funding models for subsidised training. </w:t>
      </w:r>
    </w:p>
    <w:p w14:paraId="0EE8EF06" w14:textId="77777777" w:rsidR="00A6421D" w:rsidRPr="00992E83" w:rsidRDefault="00A6421D" w:rsidP="00986A2D">
      <w:pPr>
        <w:pStyle w:val="Heading4"/>
        <w:spacing w:before="240"/>
        <w:rPr>
          <w:i/>
          <w:iCs/>
        </w:rPr>
      </w:pPr>
      <w:r>
        <w:t>Topics that are lower priority but still important</w:t>
      </w:r>
    </w:p>
    <w:p w14:paraId="19268157" w14:textId="77777777" w:rsidR="00A6421D" w:rsidRPr="00992E83" w:rsidRDefault="00A6421D" w:rsidP="00632323">
      <w:pPr>
        <w:pStyle w:val="Bodycopy"/>
      </w:pPr>
      <w:r>
        <w:t xml:space="preserve">There are questions and topics which are harder to justify for inclusion in a regular data collection of such a diversified sector. </w:t>
      </w:r>
    </w:p>
    <w:p w14:paraId="753C9702" w14:textId="77777777" w:rsidR="00A6421D" w:rsidRPr="009135E0" w:rsidRDefault="00A6421D" w:rsidP="00D04786">
      <w:pPr>
        <w:pStyle w:val="ListBullet"/>
      </w:pPr>
      <w:r w:rsidRPr="009135E0">
        <w:t>Collecting information on (average) remuneration for the VET teaching workforce or other VET workers</w:t>
      </w:r>
    </w:p>
    <w:p w14:paraId="307A0E9B" w14:textId="77777777" w:rsidR="00A6421D" w:rsidRPr="009135E0" w:rsidRDefault="00A6421D" w:rsidP="00D04786">
      <w:pPr>
        <w:pStyle w:val="ListBullet"/>
      </w:pPr>
      <w:r w:rsidRPr="009135E0">
        <w:t>Collecting information on the employment arrangements of the VET teaching workforce or other VET workers</w:t>
      </w:r>
    </w:p>
    <w:p w14:paraId="558F12EB" w14:textId="77777777" w:rsidR="00A6421D" w:rsidRPr="009135E0" w:rsidRDefault="00A6421D" w:rsidP="00D04786">
      <w:pPr>
        <w:pStyle w:val="ListBullet"/>
      </w:pPr>
      <w:r w:rsidRPr="009135E0">
        <w:t>Identifying and tracking individual VET workers</w:t>
      </w:r>
    </w:p>
    <w:p w14:paraId="6CD5AD91" w14:textId="77777777" w:rsidR="00A6421D" w:rsidRDefault="00A6421D" w:rsidP="00D04786">
      <w:pPr>
        <w:pStyle w:val="ListBullet"/>
      </w:pPr>
      <w:r w:rsidRPr="009135E0">
        <w:t>Collecting information on the qualifications held by VET workers in non-teaching roles (except for some VET specialist roles)</w:t>
      </w:r>
    </w:p>
    <w:p w14:paraId="7D1F257F" w14:textId="77777777" w:rsidR="00986A2D" w:rsidRPr="00986A2D" w:rsidRDefault="00986A2D" w:rsidP="00986A2D">
      <w:pPr>
        <w:pStyle w:val="Bodycopy"/>
        <w:rPr>
          <w:lang w:val="en-GB" w:eastAsia="en-GB"/>
        </w:rPr>
      </w:pPr>
    </w:p>
    <w:p w14:paraId="5C70789A" w14:textId="77777777" w:rsidR="00A6421D" w:rsidRPr="007111CE" w:rsidRDefault="00A6421D" w:rsidP="00A6421D">
      <w:pPr>
        <w:pStyle w:val="Heading3"/>
        <w:rPr>
          <w:bCs/>
          <w:szCs w:val="26"/>
          <w:lang w:val="en-US"/>
        </w:rPr>
      </w:pPr>
      <w:r w:rsidRPr="151E15F1">
        <w:rPr>
          <w:lang w:val="en-US"/>
        </w:rPr>
        <w:lastRenderedPageBreak/>
        <w:t>Lessons from previous efforts</w:t>
      </w:r>
    </w:p>
    <w:p w14:paraId="61CF9F8F" w14:textId="77777777" w:rsidR="00A6421D" w:rsidRPr="00992E83" w:rsidRDefault="00A6421D" w:rsidP="00632323">
      <w:pPr>
        <w:pStyle w:val="Bodycopy"/>
      </w:pPr>
      <w:r>
        <w:t>Different RTO types operate in very different contexts. RTOs where the primary activity is something other than delivering VET will find it difficult to identify or apportion its non-teaching VET workforce. This would include:</w:t>
      </w:r>
    </w:p>
    <w:p w14:paraId="75291533" w14:textId="77777777" w:rsidR="00A6421D" w:rsidRPr="009135E0" w:rsidRDefault="00A6421D" w:rsidP="00986A2D">
      <w:pPr>
        <w:pStyle w:val="ListBullet"/>
        <w:ind w:left="397" w:hanging="397"/>
      </w:pPr>
      <w:r w:rsidRPr="009135E0">
        <w:t>School RTOs</w:t>
      </w:r>
    </w:p>
    <w:p w14:paraId="441F4714" w14:textId="77777777" w:rsidR="00A6421D" w:rsidRPr="009135E0" w:rsidRDefault="00A6421D" w:rsidP="00986A2D">
      <w:pPr>
        <w:pStyle w:val="ListBullet"/>
        <w:ind w:left="397" w:hanging="397"/>
      </w:pPr>
      <w:r w:rsidRPr="009135E0">
        <w:t>Dual sector universities</w:t>
      </w:r>
    </w:p>
    <w:p w14:paraId="7EF6A659" w14:textId="77777777" w:rsidR="00A6421D" w:rsidRPr="009135E0" w:rsidRDefault="00A6421D" w:rsidP="00986A2D">
      <w:pPr>
        <w:pStyle w:val="ListBullet"/>
        <w:ind w:left="397" w:hanging="397"/>
      </w:pPr>
      <w:r w:rsidRPr="009135E0">
        <w:t>Enterprise RTOs</w:t>
      </w:r>
    </w:p>
    <w:p w14:paraId="5758AD99" w14:textId="59B68389" w:rsidR="00A6421D" w:rsidRPr="00632323" w:rsidRDefault="00A6421D" w:rsidP="00632323">
      <w:pPr>
        <w:pStyle w:val="Bodycopy"/>
      </w:pPr>
      <w:r w:rsidRPr="00632323">
        <w:t>However, there will be many other RTOs not in these categories that also operate across multiple domains (such as group training providers, employment services providers)</w:t>
      </w:r>
      <w:r w:rsidR="004C712F" w:rsidRPr="00632323">
        <w:t>,</w:t>
      </w:r>
      <w:r w:rsidRPr="00632323">
        <w:t xml:space="preserve"> that would also find this task difficult. </w:t>
      </w:r>
    </w:p>
    <w:p w14:paraId="0008BDCC" w14:textId="77777777" w:rsidR="00A6421D" w:rsidRPr="00632323" w:rsidRDefault="00A6421D" w:rsidP="00632323">
      <w:pPr>
        <w:pStyle w:val="Bodycopy"/>
      </w:pPr>
      <w:r w:rsidRPr="00632323">
        <w:t>A particular topic where there is a high degree of variation in practice and understanding across the sector is what would constitute (and how to measure) a Full-time equivalent employee for VET teaching, training, and assessing roles.</w:t>
      </w:r>
    </w:p>
    <w:p w14:paraId="6A65EE35" w14:textId="4CF8CB7B" w:rsidR="00A6421D" w:rsidRPr="00632323" w:rsidRDefault="00A6421D" w:rsidP="00632323">
      <w:pPr>
        <w:pStyle w:val="Bodycopy"/>
      </w:pPr>
      <w:r w:rsidRPr="00632323">
        <w:t>Relatedly, the issue of multiple job holders (particularly those holding multiple jobs across training providers)</w:t>
      </w:r>
      <w:r w:rsidR="009424FE" w:rsidRPr="00632323">
        <w:t>,</w:t>
      </w:r>
      <w:r w:rsidRPr="00632323">
        <w:t xml:space="preserve"> is difficult to resolve with an employer survey alone. This is an issue common to other sectors (e.g. the National Workforce Census for ECEC).</w:t>
      </w:r>
    </w:p>
    <w:p w14:paraId="637062CF" w14:textId="19926C71" w:rsidR="00A6421D" w:rsidRPr="00632323" w:rsidRDefault="00A6421D" w:rsidP="00632323">
      <w:pPr>
        <w:pStyle w:val="Bodycopy"/>
      </w:pPr>
      <w:r w:rsidRPr="00632323">
        <w:t xml:space="preserve">Another topic, probably relevant only to a minority of RTOs, is how to account for the activities of volunteer </w:t>
      </w:r>
      <w:r w:rsidR="00CC6D50">
        <w:t>VET teachers</w:t>
      </w:r>
      <w:r w:rsidRPr="00632323">
        <w:t>, trainers, and assessors and in other roles.</w:t>
      </w:r>
    </w:p>
    <w:p w14:paraId="698B9AD4" w14:textId="77777777" w:rsidR="00A6421D" w:rsidRPr="00F04579" w:rsidRDefault="00A6421D" w:rsidP="00DF2A92">
      <w:pPr>
        <w:pStyle w:val="Heading3"/>
        <w:spacing w:before="240"/>
        <w:rPr>
          <w:bCs/>
          <w:szCs w:val="26"/>
          <w:lang w:val="en-US"/>
        </w:rPr>
      </w:pPr>
      <w:r w:rsidRPr="151E15F1">
        <w:rPr>
          <w:lang w:val="en-US"/>
        </w:rPr>
        <w:t>Options</w:t>
      </w:r>
    </w:p>
    <w:p w14:paraId="2BBFABFB" w14:textId="77777777" w:rsidR="00A6421D" w:rsidRPr="00992E83" w:rsidRDefault="00A6421D" w:rsidP="00A6421D">
      <w:r>
        <w:t>Three options are considered to develop a regular collection of VET workforce data:</w:t>
      </w:r>
    </w:p>
    <w:p w14:paraId="73358469" w14:textId="1BC0E220" w:rsidR="00A6421D" w:rsidRPr="00992E83" w:rsidRDefault="00A37A6F" w:rsidP="00986A2D">
      <w:pPr>
        <w:pStyle w:val="Bodycopy"/>
        <w:numPr>
          <w:ilvl w:val="0"/>
          <w:numId w:val="16"/>
        </w:numPr>
        <w:ind w:left="397" w:hanging="397"/>
      </w:pPr>
      <w:r>
        <w:t>u</w:t>
      </w:r>
      <w:r w:rsidR="00A6421D">
        <w:t>ltra-minimum data collection tied to RTO registration by ASQA</w:t>
      </w:r>
    </w:p>
    <w:p w14:paraId="6725B43E" w14:textId="49777E3E" w:rsidR="00A6421D" w:rsidRPr="00992E83" w:rsidRDefault="00A37A6F" w:rsidP="00986A2D">
      <w:pPr>
        <w:pStyle w:val="Bodycopy"/>
        <w:numPr>
          <w:ilvl w:val="0"/>
          <w:numId w:val="16"/>
        </w:numPr>
        <w:ind w:left="397" w:hanging="397"/>
      </w:pPr>
      <w:r>
        <w:t>i</w:t>
      </w:r>
      <w:r w:rsidR="00A6421D">
        <w:t xml:space="preserve">mplementation of a VET </w:t>
      </w:r>
      <w:r w:rsidR="001D61E8">
        <w:t>W</w:t>
      </w:r>
      <w:r w:rsidR="00A6421D">
        <w:t xml:space="preserve">orkforce </w:t>
      </w:r>
      <w:r w:rsidR="001D61E8">
        <w:t>S</w:t>
      </w:r>
      <w:r w:rsidR="00A6421D">
        <w:t xml:space="preserve">tandard, to be submitted by RTOs as part of their annual </w:t>
      </w:r>
      <w:r w:rsidR="001D61E8">
        <w:t>t</w:t>
      </w:r>
      <w:r w:rsidR="00A6421D">
        <w:t>otal VET Activity returns</w:t>
      </w:r>
      <w:r>
        <w:t xml:space="preserve"> </w:t>
      </w:r>
      <w:r w:rsidR="00A6421D">
        <w:t>and</w:t>
      </w:r>
    </w:p>
    <w:p w14:paraId="2C80915B" w14:textId="5B487B27" w:rsidR="00A6421D" w:rsidRPr="00992E83" w:rsidRDefault="00A37A6F" w:rsidP="00986A2D">
      <w:pPr>
        <w:pStyle w:val="Bodycopy"/>
        <w:numPr>
          <w:ilvl w:val="0"/>
          <w:numId w:val="16"/>
        </w:numPr>
        <w:ind w:left="397" w:hanging="397"/>
      </w:pPr>
      <w:r>
        <w:t>a</w:t>
      </w:r>
      <w:r w:rsidR="00A6421D">
        <w:t>n RTO survey, ideally with an accompanying employee survey</w:t>
      </w:r>
    </w:p>
    <w:p w14:paraId="78FB74D8" w14:textId="3BBD37D6" w:rsidR="009135E0" w:rsidRPr="009135E0" w:rsidRDefault="00A6421D" w:rsidP="00E16D4F">
      <w:pPr>
        <w:pStyle w:val="Bodycopy"/>
      </w:pPr>
      <w:r w:rsidRPr="009135E0">
        <w:t xml:space="preserve">These options are not necessarily mutually exclusive. One approach could be to conduct option C initially, to better inform the development and implementation of either option A or B, with an RTO survey being held more periodically (such as every 3-5 years), with an evolving set of topics. </w:t>
      </w:r>
    </w:p>
    <w:p w14:paraId="6AD0E9C5" w14:textId="77777777" w:rsidR="00A6421D" w:rsidRPr="00992E83" w:rsidRDefault="00A6421D" w:rsidP="002D4813">
      <w:pPr>
        <w:pStyle w:val="Heading4"/>
        <w:rPr>
          <w:i/>
          <w:iCs/>
        </w:rPr>
      </w:pPr>
      <w:r>
        <w:t>Option A: ultra-minimum data collection tied to RTO registration</w:t>
      </w:r>
    </w:p>
    <w:p w14:paraId="6BA525BF" w14:textId="2AD75D8C" w:rsidR="00A6421D" w:rsidRPr="00992E83" w:rsidRDefault="00A6421D" w:rsidP="00E16D4F">
      <w:pPr>
        <w:pStyle w:val="Bodycopy"/>
      </w:pPr>
      <w:r>
        <w:t>This option would see ASQA</w:t>
      </w:r>
      <w:r w:rsidR="006349BA">
        <w:t>,</w:t>
      </w:r>
      <w:r>
        <w:t xml:space="preserve"> and the other registration bodies refine the workforce data they currently collect at registration, and then collect on a more regular basis (such as at re-registration or more regularly for those given longer registration periods) and publish annually. </w:t>
      </w:r>
    </w:p>
    <w:p w14:paraId="39A601E7" w14:textId="77777777" w:rsidR="00A6421D" w:rsidRPr="00992E83" w:rsidRDefault="00A6421D" w:rsidP="002D4813">
      <w:pPr>
        <w:pStyle w:val="Heading4"/>
      </w:pPr>
      <w:r>
        <w:t>Option B: Implementation of a VET Workforce Standard</w:t>
      </w:r>
    </w:p>
    <w:p w14:paraId="30A3DBF4" w14:textId="0AD4CC1D" w:rsidR="00A6421D" w:rsidRPr="00992E83" w:rsidRDefault="00A6421D" w:rsidP="00E16D4F">
      <w:pPr>
        <w:pStyle w:val="Bodycopy"/>
      </w:pPr>
      <w:r>
        <w:t xml:space="preserve">A VET Workforce Standard has been considered previously and NCVER has even prepared a VET </w:t>
      </w:r>
      <w:r w:rsidR="0DCD1145">
        <w:t>W</w:t>
      </w:r>
      <w:r w:rsidR="146A97AE">
        <w:t xml:space="preserve">orkforce </w:t>
      </w:r>
      <w:r w:rsidR="48B5430C">
        <w:t>S</w:t>
      </w:r>
      <w:r>
        <w:t>tandard. This option would have the benefit of universality</w:t>
      </w:r>
      <w:r w:rsidR="006F3F83">
        <w:t>,</w:t>
      </w:r>
      <w:r>
        <w:t xml:space="preserve"> but the issues from previous efforts to measure the VET workforce and feedback from the draft VET workforce standard</w:t>
      </w:r>
      <w:r w:rsidR="007F1B50">
        <w:t>,</w:t>
      </w:r>
      <w:r>
        <w:t xml:space="preserve"> indicates that it would still be difficult for many RTOs to answer even a small subset of the workforce questions identified above. </w:t>
      </w:r>
    </w:p>
    <w:p w14:paraId="1939DBBC" w14:textId="77777777" w:rsidR="00A6421D" w:rsidRPr="00992E83" w:rsidRDefault="00A6421D" w:rsidP="002D4813">
      <w:pPr>
        <w:pStyle w:val="Heading4"/>
      </w:pPr>
      <w:r>
        <w:lastRenderedPageBreak/>
        <w:t>Option C: AN RTO survey, ideally with an accompanying employee survey</w:t>
      </w:r>
    </w:p>
    <w:p w14:paraId="5BAF88B2" w14:textId="77777777" w:rsidR="00A6421D" w:rsidRPr="00992E83" w:rsidRDefault="00A6421D" w:rsidP="00632323">
      <w:pPr>
        <w:pStyle w:val="Bodycopy"/>
      </w:pPr>
      <w:r>
        <w:t>Option C would allow all the identified questions above to be answered. However, it would be the most expensive and time consuming to develop and administer. The effectiveness of the survey could be improved by considering the following:</w:t>
      </w:r>
    </w:p>
    <w:p w14:paraId="781C06DA" w14:textId="77777777" w:rsidR="00A6421D" w:rsidRPr="00992E83" w:rsidRDefault="00A6421D" w:rsidP="00A6421D">
      <w:pPr>
        <w:pStyle w:val="Heading6"/>
      </w:pPr>
      <w:r>
        <w:t>Pre-piloting and piloting</w:t>
      </w:r>
    </w:p>
    <w:p w14:paraId="663FD281" w14:textId="77777777" w:rsidR="00A6421D" w:rsidRPr="00992E83" w:rsidRDefault="00A6421D" w:rsidP="00632323">
      <w:pPr>
        <w:pStyle w:val="Bodycopy"/>
      </w:pPr>
      <w:r>
        <w:t>Extensive pre-piloting and piloting is strongly recommended to ensure that a variety of approaches to resolving data uncertainties and information gaps, appropriate to different RTO contexts, are identified.</w:t>
      </w:r>
    </w:p>
    <w:p w14:paraId="397B7BB3" w14:textId="77777777" w:rsidR="00A6421D" w:rsidRDefault="00A6421D" w:rsidP="00632323">
      <w:pPr>
        <w:pStyle w:val="Bodycopy"/>
      </w:pPr>
      <w:r>
        <w:t xml:space="preserve">For example, pre-piloting and piloting would be needed to help identify suitable categories for industry and field of education that most training providers would be able to readily provide data against. Similarly, there may be a range of suitable approaches to deriving full-time equivalent workforce figures based on the RTO’s operating environment. </w:t>
      </w:r>
    </w:p>
    <w:p w14:paraId="2AA42744" w14:textId="2B4D0F34" w:rsidR="0078520B" w:rsidRPr="00992E83" w:rsidRDefault="0078520B" w:rsidP="00632323">
      <w:pPr>
        <w:pStyle w:val="Bodycopy"/>
      </w:pPr>
      <w:r w:rsidRPr="0078520B">
        <w:t>At this stage, exploratory work using the ABS data assets PLIDA and the Business Longitudinal Analysis Data Environment (BLADE)</w:t>
      </w:r>
      <w:r w:rsidR="00226D23">
        <w:t>,</w:t>
      </w:r>
      <w:r w:rsidRPr="0078520B">
        <w:t xml:space="preserve"> could also help to produce preliminary estimates for employees in some RTO types.</w:t>
      </w:r>
    </w:p>
    <w:p w14:paraId="51455DE4" w14:textId="77777777" w:rsidR="00A6421D" w:rsidRPr="00992E83" w:rsidRDefault="00A6421D" w:rsidP="00A6421D">
      <w:pPr>
        <w:pStyle w:val="Heading6"/>
      </w:pPr>
      <w:r>
        <w:t>Survey approach</w:t>
      </w:r>
    </w:p>
    <w:p w14:paraId="6D2FC1D3" w14:textId="464D0E24" w:rsidR="00A6421D" w:rsidRPr="00992E83" w:rsidRDefault="00A6421D" w:rsidP="00632323">
      <w:pPr>
        <w:pStyle w:val="Bodycopy"/>
      </w:pPr>
      <w:r>
        <w:t xml:space="preserve">These options have been informed by the experience conducting the National Skills Commission’s VET Course Cost Collection survey, the first ever national survey of training provider </w:t>
      </w:r>
      <w:r w:rsidRPr="00666341">
        <w:rPr>
          <w:color w:val="auto"/>
        </w:rPr>
        <w:t>costs. This survey collected cost data representing over 35% of enrolments in subsidised qualifications, and 25% of total enrolments. A general survey instrument was designed and then adapted as needed</w:t>
      </w:r>
      <w:r w:rsidR="00226D23">
        <w:rPr>
          <w:color w:val="auto"/>
        </w:rPr>
        <w:t>,</w:t>
      </w:r>
      <w:r w:rsidRPr="00666341">
        <w:rPr>
          <w:color w:val="auto"/>
        </w:rPr>
        <w:t xml:space="preserve"> to meet particular RTO requirements. </w:t>
      </w:r>
    </w:p>
    <w:p w14:paraId="5C2BBF3A" w14:textId="77777777" w:rsidR="00A6421D" w:rsidRPr="00992E83" w:rsidRDefault="00A6421D" w:rsidP="00DF2A92">
      <w:pPr>
        <w:pStyle w:val="Heading6"/>
      </w:pPr>
      <w:r>
        <w:t xml:space="preserve">Sampling and instrument </w:t>
      </w:r>
      <w:r w:rsidRPr="00DF2A92">
        <w:t>design</w:t>
      </w:r>
    </w:p>
    <w:p w14:paraId="6915266F" w14:textId="7E58C02A" w:rsidR="009249D0" w:rsidRPr="00992E83" w:rsidRDefault="00A6421D" w:rsidP="00DF2A92">
      <w:pPr>
        <w:pStyle w:val="Bodycopy"/>
      </w:pPr>
      <w:r>
        <w:t xml:space="preserve">The RTO Typology, soon to be released by JSA, could assist in developing a more robust sample frame for the RTO survey, and adapting the instrument design to suit different RTO contexts. </w:t>
      </w:r>
    </w:p>
    <w:p w14:paraId="4FA157E7" w14:textId="77777777" w:rsidR="00A6421D" w:rsidRPr="00992E83" w:rsidRDefault="00A6421D" w:rsidP="00632323">
      <w:pPr>
        <w:pStyle w:val="Bodycopy"/>
      </w:pPr>
      <w:r>
        <w:t>The 2019 survey stratified the sample based on:</w:t>
      </w:r>
    </w:p>
    <w:p w14:paraId="7BB61800" w14:textId="77777777" w:rsidR="00A6421D" w:rsidRPr="009249D0" w:rsidRDefault="00A6421D" w:rsidP="00D04786">
      <w:pPr>
        <w:pStyle w:val="ListBullet"/>
      </w:pPr>
      <w:r w:rsidRPr="009249D0">
        <w:t>RTO type</w:t>
      </w:r>
    </w:p>
    <w:p w14:paraId="641CFB60" w14:textId="77777777" w:rsidR="004431D1" w:rsidRPr="009249D0" w:rsidRDefault="00A6421D" w:rsidP="00D04786">
      <w:pPr>
        <w:pStyle w:val="ListBullet"/>
      </w:pPr>
      <w:r w:rsidRPr="009249D0">
        <w:t xml:space="preserve">Number of enrolments </w:t>
      </w:r>
    </w:p>
    <w:p w14:paraId="53A1758A" w14:textId="3137C110" w:rsidR="00A6421D" w:rsidRPr="009249D0" w:rsidRDefault="00A6421D" w:rsidP="00D04786">
      <w:pPr>
        <w:pStyle w:val="ListBullet"/>
      </w:pPr>
      <w:r w:rsidRPr="009249D0">
        <w:t>The RTO typology includes other dimensions that are likely to be relevant to an RTO’s staffing profile, including:</w:t>
      </w:r>
    </w:p>
    <w:p w14:paraId="74271794" w14:textId="77777777" w:rsidR="00A6421D" w:rsidRPr="009249D0" w:rsidRDefault="00A6421D" w:rsidP="00D04786">
      <w:pPr>
        <w:pStyle w:val="ListBullet"/>
      </w:pPr>
      <w:r w:rsidRPr="009249D0">
        <w:t>Mix of training products delivered (including number of training packages delivered and whether full qualifications or only subject-only enrolments and skill sets)</w:t>
      </w:r>
    </w:p>
    <w:p w14:paraId="1AC090EA" w14:textId="77777777" w:rsidR="00A6421D" w:rsidRPr="009249D0" w:rsidRDefault="00A6421D" w:rsidP="00D04786">
      <w:pPr>
        <w:pStyle w:val="ListBullet"/>
      </w:pPr>
      <w:r w:rsidRPr="009249D0">
        <w:t>Proportion of enrolments receiving at least some government funding</w:t>
      </w:r>
    </w:p>
    <w:p w14:paraId="68841621" w14:textId="77777777" w:rsidR="00A6421D" w:rsidRPr="009249D0" w:rsidRDefault="00A6421D" w:rsidP="00D04786">
      <w:pPr>
        <w:pStyle w:val="ListBullet"/>
      </w:pPr>
      <w:r w:rsidRPr="009249D0">
        <w:t>Number of locations</w:t>
      </w:r>
    </w:p>
    <w:p w14:paraId="2E51E7E0" w14:textId="77777777" w:rsidR="00A6421D" w:rsidRPr="009249D0" w:rsidRDefault="00A6421D" w:rsidP="00D04786">
      <w:pPr>
        <w:pStyle w:val="ListBullet"/>
      </w:pPr>
      <w:r w:rsidRPr="009249D0">
        <w:t>Mode of delivery</w:t>
      </w:r>
    </w:p>
    <w:p w14:paraId="173947D5" w14:textId="77777777" w:rsidR="00A6421D" w:rsidRPr="009249D0" w:rsidRDefault="00A6421D" w:rsidP="00D04786">
      <w:pPr>
        <w:pStyle w:val="ListBullet"/>
      </w:pPr>
      <w:r w:rsidRPr="009249D0">
        <w:t>Student characteristics, including proportion of international students.</w:t>
      </w:r>
    </w:p>
    <w:p w14:paraId="245FF2B5" w14:textId="77777777" w:rsidR="009249D0" w:rsidRPr="00632323" w:rsidRDefault="00A6421D" w:rsidP="00632323">
      <w:pPr>
        <w:pStyle w:val="Bodycopy"/>
      </w:pPr>
      <w:r w:rsidRPr="00632323">
        <w:t xml:space="preserve">The receipt of government funding is a particularly relevant consideration. RTOs not in receipt of any government funding (or access to student loans) have a stronger case to make that they should not be required to provide detailed workforce information that goes beyond helping inform the development and assurance of the RTO Standards. </w:t>
      </w:r>
    </w:p>
    <w:p w14:paraId="531B40EC" w14:textId="06A97CE2" w:rsidR="00F46FB4" w:rsidRDefault="00A6421D" w:rsidP="00E16D4F">
      <w:pPr>
        <w:pStyle w:val="Bodycopy"/>
      </w:pPr>
      <w:r w:rsidRPr="00632323">
        <w:lastRenderedPageBreak/>
        <w:t>On the other hand, the moral (and contractual) basis for requiring more detailed information from RTOs receiving government funding is stronger. Questions of this nature could be agreed with the States and Territories.</w:t>
      </w:r>
    </w:p>
    <w:p w14:paraId="3FBFBBBE" w14:textId="77777777" w:rsidR="00A6421D" w:rsidRPr="00976A74" w:rsidRDefault="00A6421D" w:rsidP="003D39DB">
      <w:pPr>
        <w:pStyle w:val="Heading2"/>
        <w:spacing w:before="240" w:after="240"/>
      </w:pPr>
      <w:bookmarkStart w:id="142" w:name="_Toc1319324746"/>
      <w:bookmarkStart w:id="143" w:name="_Toc176770985"/>
      <w:r>
        <w:t>Conclusion</w:t>
      </w:r>
      <w:bookmarkEnd w:id="142"/>
      <w:bookmarkEnd w:id="143"/>
    </w:p>
    <w:p w14:paraId="251E4089" w14:textId="77777777" w:rsidR="009249D0" w:rsidRPr="00632323" w:rsidRDefault="00A6421D" w:rsidP="00632323">
      <w:pPr>
        <w:pStyle w:val="Bodycopy"/>
      </w:pPr>
      <w:r w:rsidRPr="00632323">
        <w:t xml:space="preserve">This chapter extends previous understandings of the VET workforce from a demographic, geographical and employment characteristics perspective using the taxonomy framework and new PLIDA data. However, JSA acknowledges it falls short of a complete workforce profile due to the data limitations outlined in Chapter 1. Thus, we have identified the four main data gaps and provided recommendations on how to fix </w:t>
      </w:r>
      <w:r w:rsidR="00503360" w:rsidRPr="00632323">
        <w:t xml:space="preserve">them. </w:t>
      </w:r>
    </w:p>
    <w:p w14:paraId="38C2B301" w14:textId="0EFD750B" w:rsidR="00F46FB4" w:rsidRDefault="00503360" w:rsidP="00632323">
      <w:pPr>
        <w:pStyle w:val="Bodycopy"/>
      </w:pPr>
      <w:r w:rsidRPr="00632323">
        <w:t>The</w:t>
      </w:r>
      <w:r w:rsidR="00A6421D" w:rsidRPr="00632323">
        <w:t xml:space="preserve"> next chapter outlines the current diversity of job roles across the sector under each taxonomy and in different RTO types further demonstrating this. Indeed, Chapter 4 highlights how graduates of the key VET teaching credentials the Certificate IV TAE, are not flowing into VET teaching roles further complicating the picture and why we </w:t>
      </w:r>
      <w:r w:rsidR="00050E85" w:rsidRPr="00632323">
        <w:t xml:space="preserve">need </w:t>
      </w:r>
      <w:r w:rsidR="00A6421D" w:rsidRPr="00632323">
        <w:t>a comprehensive profile of the VET workforce</w:t>
      </w:r>
      <w:r w:rsidR="00050E85" w:rsidRPr="00632323">
        <w:t>.</w:t>
      </w:r>
    </w:p>
    <w:p w14:paraId="72F16B72" w14:textId="77777777" w:rsidR="004B4451" w:rsidRDefault="004B4451" w:rsidP="00632323">
      <w:pPr>
        <w:pStyle w:val="Bodycopy"/>
      </w:pPr>
    </w:p>
    <w:p w14:paraId="0DBB9940" w14:textId="73E8DE12" w:rsidR="2D2BB693" w:rsidRPr="00326E6C" w:rsidRDefault="00F46FB4" w:rsidP="00326E6C">
      <w:pPr>
        <w:rPr>
          <w:spacing w:val="2"/>
        </w:rPr>
      </w:pPr>
      <w:r>
        <w:rPr>
          <w:noProof/>
        </w:rPr>
        <w:drawing>
          <wp:inline distT="0" distB="0" distL="0" distR="0" wp14:anchorId="3BA2F7F7" wp14:editId="1D5A9ACF">
            <wp:extent cx="5740516" cy="4799747"/>
            <wp:effectExtent l="0" t="0" r="0" b="1270"/>
            <wp:docPr id="1679585639" name="Picture 1" descr="Two women from diverse backgrounds in a discussion, sitting in a library with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85639" name="Picture 1" descr="Two women from diverse backgrounds in a discussion, sitting in a library with a laptop."/>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5740516" cy="4799747"/>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76A49D15" w14:textId="2C61BA24" w:rsidR="007475A4" w:rsidRDefault="3F6EFB2B" w:rsidP="00326E6C">
      <w:pPr>
        <w:pStyle w:val="Heading1"/>
        <w:numPr>
          <w:ilvl w:val="0"/>
          <w:numId w:val="8"/>
        </w:numPr>
        <w:spacing w:after="480"/>
      </w:pPr>
      <w:bookmarkStart w:id="144" w:name="_Toc1742129153"/>
      <w:bookmarkStart w:id="145" w:name="_Toc711574176"/>
      <w:bookmarkStart w:id="146" w:name="_Toc1361536310"/>
      <w:bookmarkStart w:id="147" w:name="_Toc176770986"/>
      <w:bookmarkEnd w:id="80"/>
      <w:r>
        <w:lastRenderedPageBreak/>
        <w:t>J</w:t>
      </w:r>
      <w:r w:rsidR="007475A4">
        <w:t>ob profiles and pathways</w:t>
      </w:r>
      <w:bookmarkEnd w:id="144"/>
      <w:bookmarkEnd w:id="145"/>
      <w:bookmarkEnd w:id="146"/>
      <w:bookmarkEnd w:id="147"/>
    </w:p>
    <w:p w14:paraId="242B17FB" w14:textId="77777777" w:rsidR="007475A4" w:rsidRPr="00975428" w:rsidRDefault="007475A4" w:rsidP="00975428">
      <w:pPr>
        <w:pStyle w:val="Bodycopy"/>
      </w:pPr>
      <w:r w:rsidRPr="00975428">
        <w:t>In this chapter we explore the diversity of roles in the VET workforce, profiling jobs in each of our six taxonomy segments and the training pathways between them. In doing so, we offer the beginnings of an occupational framework. The rationale for developing an initial occupational framework to sit under the VET workforce taxonomy is threefold:</w:t>
      </w:r>
    </w:p>
    <w:p w14:paraId="2443BAA6" w14:textId="1CC7528B" w:rsidR="007475A4" w:rsidRPr="004A4412" w:rsidRDefault="007475A4" w:rsidP="00326E6C">
      <w:pPr>
        <w:pStyle w:val="ListBullet"/>
        <w:numPr>
          <w:ilvl w:val="0"/>
          <w:numId w:val="17"/>
        </w:numPr>
        <w:spacing w:after="60"/>
        <w:ind w:left="340" w:hanging="340"/>
      </w:pPr>
      <w:r>
        <w:t>Increase understanding of the diversity of job roles in the sector and current industry practice</w:t>
      </w:r>
    </w:p>
    <w:p w14:paraId="555C2A33" w14:textId="61B5299F" w:rsidR="007475A4" w:rsidRPr="004A4412" w:rsidRDefault="007475A4" w:rsidP="00326E6C">
      <w:pPr>
        <w:pStyle w:val="ListBullet"/>
        <w:numPr>
          <w:ilvl w:val="0"/>
          <w:numId w:val="17"/>
        </w:numPr>
        <w:spacing w:after="60"/>
        <w:ind w:left="340" w:hanging="340"/>
      </w:pPr>
      <w:r>
        <w:t>Provide a foundation to better understand the factors influencing attraction, retention and career progression within the VET workforce</w:t>
      </w:r>
    </w:p>
    <w:p w14:paraId="4BCBD3B3" w14:textId="5AFC6324" w:rsidR="007475A4" w:rsidRPr="004A4412" w:rsidRDefault="007475A4" w:rsidP="00386955">
      <w:pPr>
        <w:pStyle w:val="ListBullet"/>
        <w:numPr>
          <w:ilvl w:val="0"/>
          <w:numId w:val="17"/>
        </w:numPr>
        <w:ind w:left="340" w:hanging="340"/>
      </w:pPr>
      <w:r>
        <w:t>Guide</w:t>
      </w:r>
      <w:r w:rsidR="00A37A6F">
        <w:t xml:space="preserve"> a</w:t>
      </w:r>
      <w:r>
        <w:t xml:space="preserve"> more fit-for-purpose future workforce strategy, planning, training pathways and data collection</w:t>
      </w:r>
    </w:p>
    <w:p w14:paraId="65854674" w14:textId="6F69050F" w:rsidR="007475A4" w:rsidRPr="004A4412" w:rsidRDefault="007475A4" w:rsidP="00975428">
      <w:pPr>
        <w:pStyle w:val="Bodycopy"/>
      </w:pPr>
      <w:r>
        <w:t>The occupational framework focuses on profiling teach, train, and assess roles across a spectrum of focused, broad, and extended responsibilities and scope. For example, teach, train, and assess roles with a more focused scope and responsibility are those ‘working under supervision’ or in assessor-only roles, whereas senior educators have broader responsibilities</w:t>
      </w:r>
      <w:r w:rsidR="0003415E">
        <w:t>,</w:t>
      </w:r>
      <w:r>
        <w:t xml:space="preserve"> and team leads or departmental heads have even further extended responsibilities. We examine the training pathways and typical career progressions in these teaching roles as well as other broader and emerging VET roles. This includes pathways and progressions between roles and across segments including into leadership positions.</w:t>
      </w:r>
    </w:p>
    <w:p w14:paraId="44ECB478" w14:textId="77777777" w:rsidR="007475A4" w:rsidRPr="004A4412" w:rsidRDefault="007475A4" w:rsidP="00975428">
      <w:pPr>
        <w:pStyle w:val="Bodycopy"/>
      </w:pPr>
      <w:r>
        <w:t xml:space="preserve">We have drawn on a range of data sources including position descriptions, organisation charts, job advertisements, enterprise agreements, existing VET practitioner capability frameworks, training pathways, policy settings and regulation requirements to develop the job profiles. We have sense-checked the job profiles with key sector stakeholders and account for sector diversity including RTO provider type, delivery context and learner cohort throughout the chapter. </w:t>
      </w:r>
    </w:p>
    <w:p w14:paraId="47D441C0" w14:textId="77777777" w:rsidR="007475A4" w:rsidRDefault="007475A4" w:rsidP="00975428">
      <w:pPr>
        <w:pStyle w:val="Bodycopy"/>
      </w:pPr>
      <w:r>
        <w:t>The main questions we answer in this chapter are:</w:t>
      </w:r>
    </w:p>
    <w:p w14:paraId="34EB3AA4" w14:textId="77777777" w:rsidR="007475A4" w:rsidRPr="00BF3EDE" w:rsidRDefault="007475A4" w:rsidP="00D04786">
      <w:pPr>
        <w:pStyle w:val="ListBullet"/>
      </w:pPr>
      <w:r w:rsidRPr="00BF3EDE">
        <w:t xml:space="preserve">What are the key job roles in each VET workforce taxonomy segment? </w:t>
      </w:r>
    </w:p>
    <w:p w14:paraId="3F3581E4" w14:textId="77777777" w:rsidR="007475A4" w:rsidRPr="00BF3EDE" w:rsidRDefault="007475A4" w:rsidP="00326E6C">
      <w:pPr>
        <w:pStyle w:val="ListBullet"/>
        <w:spacing w:after="60"/>
      </w:pPr>
      <w:r w:rsidRPr="00BF3EDE">
        <w:t>What are the training pathways for becoming a VET teacher, trainer, or assessor and other job roles across the sector?</w:t>
      </w:r>
    </w:p>
    <w:p w14:paraId="02C4D947" w14:textId="77777777" w:rsidR="007475A4" w:rsidRPr="00BF3EDE" w:rsidRDefault="007475A4" w:rsidP="00326E6C">
      <w:pPr>
        <w:pStyle w:val="ListBullet"/>
        <w:spacing w:after="60"/>
      </w:pPr>
      <w:r w:rsidRPr="00BF3EDE">
        <w:t xml:space="preserve">Which jobs roles are growing or emerging in current industry practice? </w:t>
      </w:r>
    </w:p>
    <w:p w14:paraId="54D03D47" w14:textId="77777777" w:rsidR="007475A4" w:rsidRPr="00BF3EDE" w:rsidRDefault="007475A4" w:rsidP="00326E6C">
      <w:pPr>
        <w:pStyle w:val="ListBullet"/>
        <w:spacing w:after="60"/>
      </w:pPr>
      <w:r w:rsidRPr="00BF3EDE">
        <w:t xml:space="preserve">What does typical career progression pathways in the VET sector look like, especially for teachers, trainers, and assessors? </w:t>
      </w:r>
    </w:p>
    <w:p w14:paraId="53CBA762" w14:textId="77777777" w:rsidR="007475A4" w:rsidRPr="00BF3EDE" w:rsidRDefault="007475A4" w:rsidP="00D04786">
      <w:pPr>
        <w:pStyle w:val="ListBullet"/>
      </w:pPr>
      <w:r w:rsidRPr="00BF3EDE">
        <w:t>What are the migration pathways into VET?</w:t>
      </w:r>
    </w:p>
    <w:p w14:paraId="46E13C3C" w14:textId="75C3AFD4" w:rsidR="007475A4" w:rsidRPr="00975428" w:rsidRDefault="007475A4" w:rsidP="00975428">
      <w:pPr>
        <w:pStyle w:val="Bodycopy"/>
      </w:pPr>
      <w:r w:rsidRPr="00975428">
        <w:t xml:space="preserve">The chapter begins with a discussion of training pathways including a historical overview of how VET qualification credentials have changed over time. The remaining content is structured around the six taxonomy segments, profiling jobs in the same format. This format and the actual jobs included in our analysis are summarised in </w:t>
      </w:r>
      <w:hyperlink w:anchor="Figure_3_1" w:history="1">
        <w:r w:rsidRPr="002075A4">
          <w:rPr>
            <w:rStyle w:val="Hyperlink"/>
          </w:rPr>
          <w:t>Figure 3.1</w:t>
        </w:r>
      </w:hyperlink>
      <w:r w:rsidRPr="00975428">
        <w:t>.</w:t>
      </w:r>
      <w:bookmarkStart w:id="148" w:name="_Toc689478553"/>
      <w:bookmarkStart w:id="149" w:name="_Toc1224150202"/>
    </w:p>
    <w:p w14:paraId="4D3E8F7A" w14:textId="194BC1BC" w:rsidR="00024D6A" w:rsidRDefault="007475A4" w:rsidP="007517DD">
      <w:pPr>
        <w:pStyle w:val="Caption"/>
      </w:pPr>
      <w:bookmarkStart w:id="150" w:name="Figure_3_1"/>
      <w:r>
        <w:lastRenderedPageBreak/>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4071C1">
        <w:t>.</w:t>
      </w:r>
      <w:r w:rsidR="006558DC">
        <w:fldChar w:fldCharType="begin"/>
      </w:r>
      <w:r w:rsidR="006558DC">
        <w:instrText xml:space="preserve"> SEQ Figure \* ARABIC \s 1 </w:instrText>
      </w:r>
      <w:r w:rsidR="006558DC">
        <w:fldChar w:fldCharType="separate"/>
      </w:r>
      <w:r w:rsidR="00E7704E">
        <w:rPr>
          <w:noProof/>
        </w:rPr>
        <w:t>1</w:t>
      </w:r>
      <w:r w:rsidR="006558DC">
        <w:fldChar w:fldCharType="end"/>
      </w:r>
      <w:r>
        <w:t xml:space="preserve"> Job profile format and segment profiles</w:t>
      </w:r>
      <w:bookmarkEnd w:id="148"/>
      <w:bookmarkEnd w:id="149"/>
    </w:p>
    <w:bookmarkEnd w:id="150"/>
    <w:p w14:paraId="72A47746" w14:textId="699A5A0F" w:rsidR="007B0DC7" w:rsidRPr="007B0DC7" w:rsidRDefault="007B0DC7" w:rsidP="007B0DC7">
      <w:pPr>
        <w:pStyle w:val="Bodycopy"/>
        <w:spacing w:line="240" w:lineRule="auto"/>
        <w:rPr>
          <w:lang w:val="en-US"/>
        </w:rPr>
      </w:pPr>
      <w:r>
        <w:rPr>
          <w:noProof/>
        </w:rPr>
        <w:drawing>
          <wp:inline distT="0" distB="0" distL="0" distR="0" wp14:anchorId="617DDB79" wp14:editId="34598B9F">
            <wp:extent cx="5652000" cy="5835600"/>
            <wp:effectExtent l="0" t="0" r="6350" b="0"/>
            <wp:docPr id="1286009252" name="Picture 4" descr="Core duties: &#10;Lists core duties sourced from job descriptions, organisation charts, VET practitioner frameworks, advertisements, classifications in Enterprise Agreements and awards.&#10;&#10;Commonly found in:&#10;The RTO type categories used here draw on work under development by JSA.&#10;We distinguish between independent RTOs with narrow scope and broad scope.&#10;&#10;Typical employment arrangements:&#10;Informed by review of literature, data and stakeholder conversations.&#10;&#10;Job pathways in:&#10;Example job roles providing pathway in (non- exhaustive).&#10;&#10;Job pathways out:&#10;Example job roles providing pathway out (non exhaustive).&#10;&#10;Career progression:&#10;Options to take on more senior opportunities within VET workforce.&#10;&#10;Education &amp; training:&#10;Covers both minimum qualification requirements and optional/highly desirable qualifications.&#10;(Flags March 2024 RTO Standards Changes)&#10;&#10;Job and segment profiles: &#10;‘Working under supervision’ roles, Teach, Train &amp; Assess (focused scope), Assessor only roles, Teach, Train &amp; Assess (broad scope), VET Roles in Secondary Schools, Teach, Train &amp; Assess (extended scope), TESOL Teachers, Workplace Trainers&#10;(including volunteers), Adult Literacy and Numeracy Teachers, VET Leadership Roles, Curriculum Specialists/Developers, Quality Assurance and Compliance roles, Education Support Officers, Student/Careers Counsellors, Student records/enrolment officer, Learning Designers (including e-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009252" name="Picture 4" descr="Core duties: &#10;Lists core duties sourced from job descriptions, organisation charts, VET practitioner frameworks, advertisements, classifications in Enterprise Agreements and awards.&#10;&#10;Commonly found in:&#10;The RTO type categories used here draw on work under development by JSA.&#10;We distinguish between independent RTOs with narrow scope and broad scope.&#10;&#10;Typical employment arrangements:&#10;Informed by review of literature, data and stakeholder conversations.&#10;&#10;Job pathways in:&#10;Example job roles providing pathway in (non- exhaustive).&#10;&#10;Job pathways out:&#10;Example job roles providing pathway out (non exhaustive).&#10;&#10;Career progression:&#10;Options to take on more senior opportunities within VET workforce.&#10;&#10;Education &amp; training:&#10;Covers both minimum qualification requirements and optional/highly desirable qualifications.&#10;(Flags March 2024 RTO Standards Changes)&#10;&#10;Job and segment profiles: &#10;‘Working under supervision’ roles, Teach, Train &amp; Assess (focused scope), Assessor only roles, Teach, Train &amp; Assess (broad scope), VET Roles in Secondary Schools, Teach, Train &amp; Assess (extended scope), TESOL Teachers, Workplace Trainers&#10;(including volunteers), Adult Literacy and Numeracy Teachers, VET Leadership Roles, Curriculum Specialists/Developers, Quality Assurance and Compliance roles, Education Support Officers, Student/Careers Counsellors, Student records/enrolment officer, Learning Designers (including e-learni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52000" cy="5835600"/>
                    </a:xfrm>
                    <a:prstGeom prst="rect">
                      <a:avLst/>
                    </a:prstGeom>
                    <a:solidFill>
                      <a:srgbClr val="FFFFFF"/>
                    </a:solidFill>
                    <a:ln>
                      <a:noFill/>
                    </a:ln>
                  </pic:spPr>
                </pic:pic>
              </a:graphicData>
            </a:graphic>
          </wp:inline>
        </w:drawing>
      </w:r>
    </w:p>
    <w:p w14:paraId="05AF1EE6" w14:textId="01BBAD46" w:rsidR="007475A4" w:rsidRDefault="007475A4" w:rsidP="007517DD">
      <w:pPr>
        <w:pStyle w:val="Heading2"/>
        <w:spacing w:before="600"/>
      </w:pPr>
      <w:bookmarkStart w:id="151" w:name="_Toc668077645"/>
      <w:bookmarkStart w:id="152" w:name="_Toc176770987"/>
      <w:r>
        <w:t xml:space="preserve">Training </w:t>
      </w:r>
      <w:r w:rsidR="00681E36">
        <w:t>p</w:t>
      </w:r>
      <w:r>
        <w:t>athways</w:t>
      </w:r>
      <w:bookmarkEnd w:id="151"/>
      <w:bookmarkEnd w:id="152"/>
      <w:r>
        <w:t xml:space="preserve"> </w:t>
      </w:r>
    </w:p>
    <w:p w14:paraId="2A411454" w14:textId="2C088F4C" w:rsidR="007475A4" w:rsidRPr="000D724C" w:rsidRDefault="007475A4" w:rsidP="000D724C">
      <w:pPr>
        <w:pStyle w:val="Bodycopy"/>
      </w:pPr>
      <w:r w:rsidRPr="000D724C">
        <w:t xml:space="preserve">As noted in Chapter 1, the RTO </w:t>
      </w:r>
      <w:r w:rsidR="007C674B">
        <w:t>S</w:t>
      </w:r>
      <w:r w:rsidRPr="000D724C">
        <w:t>tandards and modern award set out the key credentials and qualifications for VET teaching, training, and assessing roles and the most common qualification used to meet training and assessment credential requirements is the Certificate IV in Training and Assessment (Certificate IV TAE). Vocational education delivery has thus been critical to the VET teaching workforce supply. However, as Chapter 2 identified, the Census shows a more mixed set of qualifications across the VET workforce, with almost one quarter of the VET workforce holding a bachelor's degree as their highest level of qualification. As noted in the previous chapter, the dual professional status of the workforce plays a role in this, but also the higher education pathways into VET based on adult education qualifications at the Diploma level or above.</w:t>
      </w:r>
    </w:p>
    <w:p w14:paraId="1DB5ABE4" w14:textId="77777777" w:rsidR="007475A4" w:rsidRPr="000D724C" w:rsidRDefault="007475A4" w:rsidP="000D724C">
      <w:pPr>
        <w:pStyle w:val="Bodycopy"/>
      </w:pPr>
      <w:r w:rsidRPr="000D724C">
        <w:lastRenderedPageBreak/>
        <w:t xml:space="preserve">This also complicates both the training pathways and pipeline analysis of the VET workforce especially when developing insights on supply and demand. This is discussed in the next chapter in detail and in Chapter 5 we offer recommendations on how to better collect qualifications data for the VET workforce in future. </w:t>
      </w:r>
    </w:p>
    <w:p w14:paraId="618759AF" w14:textId="77777777" w:rsidR="005E0C4C" w:rsidRDefault="005E0C4C" w:rsidP="000D724C">
      <w:pPr>
        <w:pStyle w:val="Bodycopy"/>
      </w:pPr>
      <w:r w:rsidRPr="005E0C4C">
        <w:t xml:space="preserve">This section begins with a summary of the key training pathways into VET, mainly for teach, train, and assess roles, and how qualification credentials have changed over time. For example, the recent decline in university adult education and VET qualification offerings. We also note qualifications in education management and curriculum design which flow into non-teaching segments in our taxonomy. </w:t>
      </w:r>
    </w:p>
    <w:p w14:paraId="5D900758" w14:textId="02ED37EE" w:rsidR="007475A4" w:rsidRPr="000D724C" w:rsidRDefault="007475A4" w:rsidP="000D724C">
      <w:pPr>
        <w:pStyle w:val="Bodycopy"/>
      </w:pPr>
      <w:r w:rsidRPr="000D724C">
        <w:t>Higher education training pathways, especially postgraduate qualifications in learning design and educational technologies, are more common for these roles and segments. There is no specific qualification requirement for work in instructional design</w:t>
      </w:r>
      <w:r w:rsidR="00544167">
        <w:t>,</w:t>
      </w:r>
      <w:r w:rsidRPr="000D724C">
        <w:t xml:space="preserve"> and in recent times a small number of private providers such as Instructional Design Australia</w:t>
      </w:r>
      <w:r w:rsidR="00544167">
        <w:t>,</w:t>
      </w:r>
      <w:r w:rsidRPr="000D724C">
        <w:t xml:space="preserve"> are beginning to offer courses that could be used in VET, but which do not fall under Australia’s AQF system. It is unclear whether these are commonly accepted by industry. </w:t>
      </w:r>
    </w:p>
    <w:p w14:paraId="797699AD" w14:textId="1B8FC263" w:rsidR="007475A4" w:rsidRDefault="00CB29F6" w:rsidP="007475A4">
      <w:pPr>
        <w:pStyle w:val="Heading3"/>
        <w:rPr>
          <w:rFonts w:eastAsia="Arial" w:cs="Arial"/>
        </w:rPr>
      </w:pPr>
      <w:r>
        <w:t>Teach, Train, and Assess</w:t>
      </w:r>
      <w:r w:rsidR="007475A4">
        <w:t xml:space="preserve"> Training Pathways</w:t>
      </w:r>
    </w:p>
    <w:p w14:paraId="55F27277" w14:textId="4F3594B9" w:rsidR="007475A4" w:rsidRDefault="007475A4" w:rsidP="00E16D4F">
      <w:pPr>
        <w:pStyle w:val="Bodycopy"/>
      </w:pPr>
      <w:r>
        <w:t xml:space="preserve">Teachers, trainers, and assessors are the foundation of the VET workforce and, for most providers, make up the largest segment. Analysis of 2021 Census data indicates that around half of the VET workforce is employed in </w:t>
      </w:r>
      <w:r w:rsidR="005E0E19">
        <w:t>T</w:t>
      </w:r>
      <w:r w:rsidR="005E0E19" w:rsidRPr="000D724C">
        <w:t xml:space="preserve">each, </w:t>
      </w:r>
      <w:r w:rsidR="005E0E19">
        <w:t>T</w:t>
      </w:r>
      <w:r w:rsidR="005E0E19" w:rsidRPr="000D724C">
        <w:t>rain</w:t>
      </w:r>
      <w:r w:rsidR="005E0E19">
        <w:t xml:space="preserve">, </w:t>
      </w:r>
      <w:r w:rsidR="005E0E19" w:rsidRPr="000D724C">
        <w:t xml:space="preserve">and </w:t>
      </w:r>
      <w:r w:rsidR="005E0E19">
        <w:t>A</w:t>
      </w:r>
      <w:r w:rsidR="005E0E19" w:rsidRPr="000D724C">
        <w:t>ssess</w:t>
      </w:r>
      <w:r w:rsidR="005E0E19">
        <w:t xml:space="preserve"> roles</w:t>
      </w:r>
      <w:r>
        <w:t>. These figures are broadly consistent with data provided to JSA by TAFEs across Australia for this study as well as recent research including the NCVER 2019 workforce survey</w:t>
      </w:r>
      <w:r w:rsidR="00841EF1">
        <w:t>,</w:t>
      </w:r>
      <w:r>
        <w:t xml:space="preserve"> which noted that between 40-59% of the VET workforce for very large or large RTOs were teachers and trainers.  </w:t>
      </w:r>
    </w:p>
    <w:p w14:paraId="511E195E" w14:textId="747BA344" w:rsidR="007475A4" w:rsidRDefault="007475A4" w:rsidP="00E16D4F">
      <w:pPr>
        <w:pStyle w:val="Bodycopy"/>
      </w:pPr>
      <w:r>
        <w:t xml:space="preserve">The unique demands on </w:t>
      </w:r>
      <w:r w:rsidR="00CC6D50">
        <w:t>VET teachers</w:t>
      </w:r>
      <w:r>
        <w:t>, trainers, and assessors to maintain industry currency and be skilled in adult education means pathways into these roles</w:t>
      </w:r>
      <w:r w:rsidR="00273FAE">
        <w:t>,</w:t>
      </w:r>
      <w:r>
        <w:t xml:space="preserve"> typically require dual qualifications and ongoing updating of skills in both their industry specialisation and teaching and training approaches. As </w:t>
      </w:r>
      <w:r w:rsidR="005E0C4C" w:rsidRPr="005E0C4C">
        <w:t>Tyler and Dymock (2021)</w:t>
      </w:r>
      <w:r>
        <w:t xml:space="preserve"> researchers have noted:</w:t>
      </w:r>
    </w:p>
    <w:p w14:paraId="05CCBCC6" w14:textId="21BEE058" w:rsidR="008C3EC2" w:rsidRPr="00E16D4F" w:rsidRDefault="007475A4" w:rsidP="00052446">
      <w:pPr>
        <w:pStyle w:val="Quote"/>
      </w:pPr>
      <w:r w:rsidRPr="00E16D4F">
        <w:t>Becoming a VET practitioner is an ongoing journey, not a destination, involving vocational and educational preparation; a transition to VET; and continuing practice and updating of skills to maintain the dual professionalism that is required to train, assess</w:t>
      </w:r>
      <w:r w:rsidR="007142B3">
        <w:t>,</w:t>
      </w:r>
      <w:r w:rsidRPr="00E16D4F">
        <w:t xml:space="preserve"> and respond to the changing needs of industry.</w:t>
      </w:r>
      <w:r w:rsidR="008851E9">
        <w:rPr>
          <w:rStyle w:val="EndnoteReference"/>
        </w:rPr>
        <w:endnoteReference w:id="29"/>
      </w:r>
    </w:p>
    <w:p w14:paraId="7E6109C2" w14:textId="6A5AFB22" w:rsidR="007475A4" w:rsidRDefault="007475A4" w:rsidP="002D4813">
      <w:pPr>
        <w:pStyle w:val="Heading4"/>
      </w:pPr>
      <w:r>
        <w:t>The key VET teaching qualifications</w:t>
      </w:r>
    </w:p>
    <w:p w14:paraId="6BC061DE" w14:textId="6CED4BFA" w:rsidR="007475A4" w:rsidRPr="000C5612" w:rsidRDefault="007475A4" w:rsidP="00E16D4F">
      <w:pPr>
        <w:pStyle w:val="Bodycopy"/>
      </w:pPr>
      <w:r>
        <w:t>As introduced in Chapter 1, t</w:t>
      </w:r>
      <w:r w:rsidRPr="5D5C690B">
        <w:t xml:space="preserve">he </w:t>
      </w:r>
      <w:r>
        <w:t xml:space="preserve">Certificate </w:t>
      </w:r>
      <w:r w:rsidRPr="5D5C690B">
        <w:t xml:space="preserve">IV TAE is the minimum training and assessment credential for </w:t>
      </w:r>
      <w:r w:rsidR="00CC6D50">
        <w:t>VET teachers</w:t>
      </w:r>
      <w:r w:rsidRPr="5D5C690B">
        <w:t>, and th</w:t>
      </w:r>
      <w:r>
        <w:t xml:space="preserve">is is the main </w:t>
      </w:r>
      <w:r w:rsidRPr="5D5C690B">
        <w:t xml:space="preserve">teaching qualification held by </w:t>
      </w:r>
      <w:r>
        <w:t xml:space="preserve">most of the workforce - </w:t>
      </w:r>
      <w:r w:rsidR="005E0C4C" w:rsidRPr="005E0C4C">
        <w:t>77.1% of trainers and assessors hold this is a</w:t>
      </w:r>
      <w:r w:rsidR="005E0C4C">
        <w:t>s</w:t>
      </w:r>
      <w:r w:rsidR="005E0C4C" w:rsidRPr="005E0C4C">
        <w:t xml:space="preserve"> their highest teaching qualification</w:t>
      </w:r>
      <w:r w:rsidR="005E0C4C">
        <w:t xml:space="preserve">. </w:t>
      </w:r>
      <w:r>
        <w:t xml:space="preserve">However, other </w:t>
      </w:r>
      <w:r w:rsidRPr="1CC622BB">
        <w:rPr>
          <w:rFonts w:eastAsia="Arial" w:cs="Arial"/>
        </w:rPr>
        <w:t>qualification</w:t>
      </w:r>
      <w:r>
        <w:rPr>
          <w:rFonts w:eastAsia="Arial" w:cs="Arial"/>
        </w:rPr>
        <w:t xml:space="preserve"> routes for teachers from the </w:t>
      </w:r>
      <w:r w:rsidRPr="056D6627">
        <w:rPr>
          <w:rFonts w:eastAsia="Arial" w:cs="Arial"/>
          <w:i/>
          <w:iCs/>
        </w:rPr>
        <w:t>working under supervision</w:t>
      </w:r>
      <w:r>
        <w:rPr>
          <w:rFonts w:eastAsia="Arial" w:cs="Arial"/>
        </w:rPr>
        <w:t xml:space="preserve"> to extended spectrum of scope and responsibilities include: </w:t>
      </w:r>
    </w:p>
    <w:p w14:paraId="4E776E5E" w14:textId="77777777" w:rsidR="007475A4" w:rsidRDefault="007475A4" w:rsidP="00D04786">
      <w:pPr>
        <w:pStyle w:val="ListBullet"/>
        <w:rPr>
          <w:rFonts w:eastAsia="Arial" w:cs="Arial"/>
        </w:rPr>
      </w:pPr>
      <w:r>
        <w:t xml:space="preserve">Various Enterprise Trainer or Assessor-only skill sets are a key route for teachers, trainers and assessors who can work under the supervision of a qualified teacher, trainer, or assessor. The latter is for workers who are only doing assessment. </w:t>
      </w:r>
    </w:p>
    <w:p w14:paraId="56D1FB91" w14:textId="603B4ABE" w:rsidR="007475A4" w:rsidRPr="006B41CC" w:rsidRDefault="007475A4" w:rsidP="00D04786">
      <w:pPr>
        <w:pStyle w:val="ListBullet"/>
        <w:rPr>
          <w:rFonts w:eastAsia="Arial" w:cs="Arial"/>
        </w:rPr>
      </w:pPr>
      <w:r>
        <w:lastRenderedPageBreak/>
        <w:t>The Diploma of Vocational Education and Training and the Diploma of Training Design and Development are two other key routes. Some RTOs define these diploma level qualifications as pre-requisites for career progression for existing teachers, trainers, and assessors.</w:t>
      </w:r>
    </w:p>
    <w:p w14:paraId="325D0DCB" w14:textId="145638AB" w:rsidR="007475A4" w:rsidRPr="00664AC2" w:rsidRDefault="007475A4" w:rsidP="00D04786">
      <w:pPr>
        <w:pStyle w:val="ListBullet"/>
        <w:rPr>
          <w:rFonts w:eastAsia="Arial" w:cs="Arial"/>
        </w:rPr>
      </w:pPr>
      <w:r w:rsidRPr="5D5C690B">
        <w:t xml:space="preserve">Qualification requirements to teach </w:t>
      </w:r>
      <w:r w:rsidR="7BBAA55B" w:rsidRPr="5D5C690B">
        <w:t xml:space="preserve">foundation skills (different variations of </w:t>
      </w:r>
      <w:r w:rsidR="7BBAA55B" w:rsidRPr="5003826B">
        <w:t xml:space="preserve">language literacy, numeracy, digital and employability </w:t>
      </w:r>
      <w:r w:rsidR="0093479D">
        <w:t>courses</w:t>
      </w:r>
      <w:r w:rsidR="37D40642" w:rsidRPr="5003826B">
        <w:t xml:space="preserve">) </w:t>
      </w:r>
      <w:r w:rsidRPr="5003826B">
        <w:t xml:space="preserve">vary </w:t>
      </w:r>
      <w:r w:rsidRPr="09B22E24">
        <w:t>considerably</w:t>
      </w:r>
      <w:r w:rsidR="0093479D">
        <w:t xml:space="preserve"> but </w:t>
      </w:r>
      <w:r w:rsidR="00EA6D41">
        <w:t xml:space="preserve">typically </w:t>
      </w:r>
      <w:r w:rsidR="001D27BE">
        <w:t>include</w:t>
      </w:r>
      <w:r w:rsidR="0093479D">
        <w:t xml:space="preserve"> a Certificate IV TAE and higher education </w:t>
      </w:r>
      <w:r w:rsidR="001D27BE">
        <w:t>qualifications in</w:t>
      </w:r>
      <w:r w:rsidR="0093479D">
        <w:t xml:space="preserve"> </w:t>
      </w:r>
      <w:r w:rsidR="001D27BE">
        <w:t>Adult Language, Literacy and Numeracy</w:t>
      </w:r>
      <w:r w:rsidR="0093479D">
        <w:t>.</w:t>
      </w:r>
      <w:r w:rsidR="0093479D" w:rsidRPr="00BE1FCA">
        <w:rPr>
          <w:vertAlign w:val="superscript"/>
        </w:rPr>
        <w:endnoteReference w:id="30"/>
      </w:r>
      <w:r w:rsidRPr="09B22E24">
        <w:t xml:space="preserve"> </w:t>
      </w:r>
      <w:r w:rsidR="001D27BE">
        <w:t>For example,</w:t>
      </w:r>
      <w:r w:rsidR="0093479D">
        <w:t xml:space="preserve"> </w:t>
      </w:r>
      <w:r w:rsidR="001D27BE">
        <w:t xml:space="preserve">the </w:t>
      </w:r>
      <w:r w:rsidRPr="003D37A6">
        <w:t>Graduate Diplomas in Education (Inclusive Literacies)</w:t>
      </w:r>
      <w:r>
        <w:t>.</w:t>
      </w:r>
      <w:r w:rsidR="0093479D" w:rsidRPr="00BE1FCA">
        <w:rPr>
          <w:vertAlign w:val="superscript"/>
        </w:rPr>
        <w:endnoteReference w:id="31"/>
      </w:r>
      <w:r>
        <w:t xml:space="preserve"> </w:t>
      </w:r>
    </w:p>
    <w:p w14:paraId="0F680A08" w14:textId="308A85E2" w:rsidR="007475A4" w:rsidRPr="00CE308E" w:rsidRDefault="007475A4" w:rsidP="00D04786">
      <w:pPr>
        <w:pStyle w:val="ListBullet"/>
        <w:rPr>
          <w:rFonts w:eastAsia="Arial" w:cs="Arial"/>
        </w:rPr>
      </w:pPr>
      <w:r>
        <w:t xml:space="preserve">There are also specific qualification routes for specialised teachers including National ELT Accreditation Scheme (NEAS) and specialist TESOL qualifications, for example Certificate IV in Communicative TESOL or in Teaching Another Language. There are also LLND courses, but they are not accredited. All of these are elaborated on in the respective job profiles of specialist teachers. </w:t>
      </w:r>
    </w:p>
    <w:p w14:paraId="605E4FE6" w14:textId="77777777" w:rsidR="005D5BB5" w:rsidRDefault="347EB015" w:rsidP="00E16D4F">
      <w:pPr>
        <w:pStyle w:val="Bodycopy"/>
      </w:pPr>
      <w:r w:rsidRPr="76B24311">
        <w:t xml:space="preserve">Qualifications in </w:t>
      </w:r>
      <w:r w:rsidR="7DDCEED9">
        <w:t>a</w:t>
      </w:r>
      <w:r w:rsidRPr="76B24311">
        <w:t xml:space="preserve">dult </w:t>
      </w:r>
      <w:r w:rsidR="7DDCEED9">
        <w:t>e</w:t>
      </w:r>
      <w:r w:rsidRPr="76B24311">
        <w:t>ducation at Diploma level and above fulfil the requirement to teach VET under supervision</w:t>
      </w:r>
      <w:r w:rsidR="30E832EB">
        <w:t>,</w:t>
      </w:r>
      <w:r w:rsidRPr="76B24311">
        <w:t xml:space="preserve"> but in practice</w:t>
      </w:r>
      <w:r w:rsidR="0C45480F">
        <w:t>,</w:t>
      </w:r>
      <w:r w:rsidRPr="76B24311">
        <w:t xml:space="preserve"> are often undertaken after the Certificate IV TAE has been taken. In addition to qualifications such as the Diploma of Vocational Education and Training that are clearly directed at VET, there are various higher education qualification routes in the field of adult education. </w:t>
      </w:r>
    </w:p>
    <w:p w14:paraId="25559BF1" w14:textId="326F1D6E" w:rsidR="007475A4" w:rsidRPr="00A83553" w:rsidRDefault="347EB015" w:rsidP="00E16D4F">
      <w:pPr>
        <w:pStyle w:val="Bodycopy"/>
      </w:pPr>
      <w:r w:rsidRPr="76B24311">
        <w:t>For example, there are courses in initial and continuing teaching training offered relating to vocational education and other tertiary teaching courses</w:t>
      </w:r>
      <w:r w:rsidR="7538B351">
        <w:t>,</w:t>
      </w:r>
      <w:r w:rsidRPr="76B24311">
        <w:t xml:space="preserve"> but the </w:t>
      </w:r>
      <w:r w:rsidR="00277FD5" w:rsidRPr="00277FD5">
        <w:t xml:space="preserve">higher education Associate Degrees </w:t>
      </w:r>
      <w:r w:rsidRPr="76B24311">
        <w:t>are the most common qualification aimed solely at VET teaching practitioners, especially for career progression. Only a small number of universities</w:t>
      </w:r>
      <w:r w:rsidR="00115C00">
        <w:t>,</w:t>
      </w:r>
      <w:r w:rsidRPr="76B24311">
        <w:t xml:space="preserve"> RMIT, CQU and CDU offer adult and tertiary education qualifications at Diploma (VET) and Associate Degree (higher education) levels. Some universities do offer Graduate Certificates for established practitioners</w:t>
      </w:r>
      <w:r w:rsidRPr="4469902D">
        <w:t>,</w:t>
      </w:r>
      <w:r w:rsidRPr="76B24311">
        <w:t xml:space="preserve"> but these courses are often targeted at continuing</w:t>
      </w:r>
      <w:r w:rsidR="00D809B4">
        <w:t xml:space="preserve"> </w:t>
      </w:r>
      <w:r w:rsidR="00D809B4" w:rsidRPr="00D809B4">
        <w:t>development for VET teaching practitioners</w:t>
      </w:r>
      <w:r w:rsidR="00A3F6C7">
        <w:t>,</w:t>
      </w:r>
      <w:r w:rsidRPr="76B24311">
        <w:t xml:space="preserve"> not initial staff development.</w:t>
      </w:r>
      <w:r w:rsidR="007475A4" w:rsidRPr="00BE1FCA">
        <w:rPr>
          <w:vertAlign w:val="superscript"/>
        </w:rPr>
        <w:endnoteReference w:id="32"/>
      </w:r>
    </w:p>
    <w:p w14:paraId="604C2785" w14:textId="77777777" w:rsidR="007475A4" w:rsidRPr="00C45CAE" w:rsidRDefault="007475A4" w:rsidP="002D4813">
      <w:pPr>
        <w:pStyle w:val="Heading4"/>
        <w:rPr>
          <w:color w:val="191919" w:themeColor="text1" w:themeTint="E6"/>
        </w:rPr>
      </w:pPr>
      <w:r>
        <w:t>Recent changes to the RTO Standards</w:t>
      </w:r>
    </w:p>
    <w:p w14:paraId="6494F148" w14:textId="0E7469C5" w:rsidR="007475A4" w:rsidRDefault="007475A4" w:rsidP="00E16D4F">
      <w:pPr>
        <w:pStyle w:val="Bodycopy"/>
      </w:pPr>
      <w:r>
        <w:t xml:space="preserve">Recent changes to the RTO Standards in March 2024 have slightly altered the </w:t>
      </w:r>
      <w:r w:rsidR="008A676F">
        <w:t>T</w:t>
      </w:r>
      <w:r>
        <w:t xml:space="preserve">each, </w:t>
      </w:r>
      <w:r w:rsidR="008A676F">
        <w:t>T</w:t>
      </w:r>
      <w:r>
        <w:t xml:space="preserve">rain, </w:t>
      </w:r>
      <w:r w:rsidR="008A676F">
        <w:t>A</w:t>
      </w:r>
      <w:r>
        <w:t xml:space="preserve">ssess qualification credentials and thus also the training pathways into VET. It is too early for any analysis or insight from a supply perspective, but the changes have strengthened the pathway into VET for existing </w:t>
      </w:r>
      <w:r w:rsidR="00BD4366">
        <w:t>s</w:t>
      </w:r>
      <w:r w:rsidR="00F13473">
        <w:t>econdary school teachers</w:t>
      </w:r>
      <w:r>
        <w:t xml:space="preserve"> who qualify for school teacher registration. They will now be able to teach </w:t>
      </w:r>
      <w:r w:rsidRPr="294321A8">
        <w:rPr>
          <w:i/>
          <w:iCs/>
        </w:rPr>
        <w:t>under supervision</w:t>
      </w:r>
      <w:r>
        <w:t xml:space="preserve"> or</w:t>
      </w:r>
      <w:r w:rsidRPr="294321A8">
        <w:rPr>
          <w:i/>
          <w:iCs/>
        </w:rPr>
        <w:t xml:space="preserve"> </w:t>
      </w:r>
      <w:r>
        <w:t xml:space="preserve">without supervision if they complete a specific skill set. The recent changes are summarised below: </w:t>
      </w:r>
    </w:p>
    <w:p w14:paraId="40F93A70" w14:textId="331BEAA1" w:rsidR="007475A4" w:rsidRDefault="007475A4" w:rsidP="00D04786">
      <w:pPr>
        <w:pStyle w:val="ListBullet"/>
      </w:pPr>
      <w:r>
        <w:t xml:space="preserve">Any secondary school teacher that is qualified to register in any </w:t>
      </w:r>
      <w:r w:rsidR="00BD4366">
        <w:t>s</w:t>
      </w:r>
      <w:r>
        <w:t xml:space="preserve">tate or </w:t>
      </w:r>
      <w:r w:rsidR="00BD4366">
        <w:t>t</w:t>
      </w:r>
      <w:r>
        <w:t>erritory is now able to deliver training under supervision.</w:t>
      </w:r>
    </w:p>
    <w:p w14:paraId="3443A804" w14:textId="618DFD00" w:rsidR="007475A4" w:rsidRDefault="007475A4" w:rsidP="00D04786">
      <w:pPr>
        <w:pStyle w:val="ListBullet"/>
      </w:pPr>
      <w:r>
        <w:t xml:space="preserve">Any secondary school teacher that is qualified to register in any </w:t>
      </w:r>
      <w:r w:rsidR="00BD4366">
        <w:t>s</w:t>
      </w:r>
      <w:r>
        <w:t xml:space="preserve">tate or </w:t>
      </w:r>
      <w:r w:rsidR="00BD4366">
        <w:t>t</w:t>
      </w:r>
      <w:r>
        <w:t>erritory and holds either the Assessor Skill Set, or the VET Delivered to School Students Teacher Enhancement Skill Set</w:t>
      </w:r>
      <w:r w:rsidR="00FF4855">
        <w:t>,</w:t>
      </w:r>
      <w:r>
        <w:t xml:space="preserve"> can train and assess in any VET context without supervision.</w:t>
      </w:r>
    </w:p>
    <w:p w14:paraId="22916650" w14:textId="569B9879" w:rsidR="007475A4" w:rsidRDefault="007475A4" w:rsidP="00D04786">
      <w:pPr>
        <w:pStyle w:val="ListBullet"/>
      </w:pPr>
      <w:r>
        <w:t>Anyone ‘actively working towards’ the Certificate IV or Diploma from the TAE Training Package</w:t>
      </w:r>
      <w:r w:rsidR="00F912E4">
        <w:t>,</w:t>
      </w:r>
      <w:r>
        <w:t xml:space="preserve"> can deliver training and contribute to assessment under supervision. In this case the credential does need to be completed within two years of commencement.  </w:t>
      </w:r>
    </w:p>
    <w:p w14:paraId="3F0EE221" w14:textId="77777777" w:rsidR="007475A4" w:rsidRDefault="007475A4" w:rsidP="00D04786">
      <w:pPr>
        <w:pStyle w:val="ListBullet"/>
      </w:pPr>
      <w:r w:rsidRPr="00431A08">
        <w:lastRenderedPageBreak/>
        <w:t xml:space="preserve">Enabling industry experts to deliver training </w:t>
      </w:r>
      <w:r w:rsidRPr="722EA3E9">
        <w:t>alongside</w:t>
      </w:r>
      <w:r w:rsidRPr="00431A08">
        <w:t xml:space="preserve"> a trainer and/or assessor.</w:t>
      </w:r>
      <w:r>
        <w:t xml:space="preserve"> Under the previous RTO Standards, industry experts could only</w:t>
      </w:r>
      <w:r w:rsidRPr="00431A08">
        <w:t xml:space="preserve"> work</w:t>
      </w:r>
      <w:r>
        <w:t xml:space="preserve"> </w:t>
      </w:r>
      <w:r w:rsidRPr="722EA3E9">
        <w:t>alongside</w:t>
      </w:r>
      <w:r w:rsidRPr="00431A08">
        <w:t xml:space="preserve"> the trainer and/or assessor </w:t>
      </w:r>
      <w:r>
        <w:t>for assessment</w:t>
      </w:r>
      <w:r w:rsidRPr="00431A08">
        <w:t>.</w:t>
      </w:r>
      <w:r w:rsidRPr="007A3A38">
        <w:rPr>
          <w:vertAlign w:val="superscript"/>
        </w:rPr>
        <w:endnoteReference w:id="33"/>
      </w:r>
    </w:p>
    <w:p w14:paraId="342CE114" w14:textId="77777777" w:rsidR="002105C4" w:rsidRDefault="007475A4" w:rsidP="00E16D4F">
      <w:pPr>
        <w:pStyle w:val="Bodycopy"/>
      </w:pPr>
      <w:r>
        <w:t xml:space="preserve">In the next chapter, we provide data on the number of students commencing and completing the above qualification credentials, demonstrating that the training pipeline supply of workers is concentrated in the Certificate IV TAE credential and limited supply is flowing from diploma and above qualifications, whether delivered in VET or higher education settings. </w:t>
      </w:r>
    </w:p>
    <w:p w14:paraId="3905E860" w14:textId="322AEF58" w:rsidR="007475A4" w:rsidRPr="002F6EC8" w:rsidRDefault="007475A4" w:rsidP="00E16D4F">
      <w:pPr>
        <w:pStyle w:val="Bodycopy"/>
      </w:pPr>
      <w:r>
        <w:t>For example, 2021 enrolments in vocational education undergraduate courses in universities</w:t>
      </w:r>
      <w:r w:rsidR="000B0EF5">
        <w:t xml:space="preserve"> were in the low hundreds</w:t>
      </w:r>
      <w:r w:rsidR="008536EB">
        <w:t>,</w:t>
      </w:r>
      <w:r>
        <w:t xml:space="preserve"> whereas in the same year there were </w:t>
      </w:r>
      <w:r w:rsidR="000B0EF5">
        <w:t xml:space="preserve">over </w:t>
      </w:r>
      <w:r>
        <w:t>2</w:t>
      </w:r>
      <w:r w:rsidR="000B0EF5">
        <w:t>5</w:t>
      </w:r>
      <w:r>
        <w:t>,</w:t>
      </w:r>
      <w:r w:rsidR="000B0EF5">
        <w:t>000</w:t>
      </w:r>
      <w:r>
        <w:t xml:space="preserve"> enrolments in the Certificate IV TAE. However, this heavy reliance on the Certificate IV credential wasn’t always the case and presents a significant shift since the late 1990s.</w:t>
      </w:r>
    </w:p>
    <w:p w14:paraId="38A9949C" w14:textId="77777777" w:rsidR="007475A4" w:rsidRPr="00165676" w:rsidRDefault="007475A4" w:rsidP="002D4813">
      <w:pPr>
        <w:pStyle w:val="Heading4"/>
        <w:rPr>
          <w:rFonts w:ascii="Calibri" w:eastAsia="Calibri" w:hAnsi="Calibri" w:cs="Calibri"/>
        </w:rPr>
      </w:pPr>
      <w:r>
        <w:t>Shifts in VET teaching credentials over time</w:t>
      </w:r>
    </w:p>
    <w:p w14:paraId="5CB6FFA2" w14:textId="1AED8A3A" w:rsidR="007475A4" w:rsidRDefault="347EB015" w:rsidP="00E16D4F">
      <w:pPr>
        <w:pStyle w:val="Bodycopy"/>
      </w:pPr>
      <w:r>
        <w:t xml:space="preserve">Before the late 1990s, initial VET teacher education typically involved gaining a </w:t>
      </w:r>
      <w:r w:rsidR="7DDCEED9">
        <w:t>D</w:t>
      </w:r>
      <w:r>
        <w:t xml:space="preserve">iploma or </w:t>
      </w:r>
      <w:r w:rsidR="7DDCEED9">
        <w:t>G</w:t>
      </w:r>
      <w:r>
        <w:t xml:space="preserve">raduate </w:t>
      </w:r>
      <w:r w:rsidR="7DDCEED9">
        <w:t>D</w:t>
      </w:r>
      <w:r>
        <w:t>iploma (or Bachelor qualification) in adult or vocational education delivered by a university</w:t>
      </w:r>
      <w:r w:rsidR="144DF59D">
        <w:t>,</w:t>
      </w:r>
      <w:r>
        <w:t xml:space="preserve"> as a pathway to a full-time teaching role in the TAFE sector.</w:t>
      </w:r>
      <w:r w:rsidR="007475A4">
        <w:rPr>
          <w:rStyle w:val="EndnoteReference"/>
        </w:rPr>
        <w:endnoteReference w:id="34"/>
      </w:r>
      <w:r>
        <w:t xml:space="preserve"> Awards covering TAFE teachers provided for dedicated work time for entry-level teachers to complete their teaching qualification. Prior to the 2000s, it was usual for TAFE institutes to specify that a bachelor-level qualification in education was the minimum qualification required for a teaching role. </w:t>
      </w:r>
      <w:r w:rsidR="743FC1CC">
        <w:t xml:space="preserve">The qualification levels of </w:t>
      </w:r>
      <w:r w:rsidR="00CC6D50">
        <w:t>VET teachers</w:t>
      </w:r>
      <w:r w:rsidR="743FC1CC">
        <w:t xml:space="preserve"> have dropped considerably since the year </w:t>
      </w:r>
      <w:r w:rsidR="743FC1CC" w:rsidRPr="00B10213">
        <w:t>2000</w:t>
      </w:r>
      <w:r w:rsidR="743FC1CC">
        <w:t>.</w:t>
      </w:r>
      <w:r w:rsidR="00B10213">
        <w:rPr>
          <w:rStyle w:val="EndnoteReference"/>
        </w:rPr>
        <w:endnoteReference w:id="35"/>
      </w:r>
    </w:p>
    <w:p w14:paraId="7379D752" w14:textId="10590C64" w:rsidR="007475A4" w:rsidRDefault="007475A4" w:rsidP="002C2737">
      <w:pPr>
        <w:pStyle w:val="Bodycopy"/>
      </w:pPr>
      <w:r>
        <w:t>While Diploma or higher-level qualifications in adult education can still serve as an initial training and assessment credential, these qualifications are more commonly undertaken by later or mid-career teachers, trainers and assessors for the purposes of career progression. For instance, the Victorian TAFE Teaching Staff Agreement 2018 contains approved teacher qualification requirements for progression along the salary scale and appointment to the Education Manager classification. Under this Agreement, an employee will not be eligible for promotion or appointment as an Education Manager without an approved teaching qualification at AQF Level 6 (Advanced Diploma or Associate Degree)</w:t>
      </w:r>
      <w:r w:rsidR="004B3BB3">
        <w:t>,</w:t>
      </w:r>
      <w:r>
        <w:t xml:space="preserve"> or above.</w:t>
      </w:r>
    </w:p>
    <w:p w14:paraId="24464D17" w14:textId="7B091C66" w:rsidR="007475A4" w:rsidRDefault="007475A4" w:rsidP="002C2737">
      <w:pPr>
        <w:pStyle w:val="Bodycopy"/>
      </w:pPr>
      <w:r>
        <w:t>The shift towards the Certificate IV as the baseline requirement to be fully qualified as a trainer and assessor has been linked with a range of factors including:</w:t>
      </w:r>
    </w:p>
    <w:p w14:paraId="38083F33" w14:textId="24564520" w:rsidR="007475A4" w:rsidRPr="005D5BB5" w:rsidRDefault="007475A4" w:rsidP="00D04786">
      <w:pPr>
        <w:pStyle w:val="ListBullet"/>
      </w:pPr>
      <w:r w:rsidRPr="005D5BB5">
        <w:t>the introduction of contestable funding and implementation of a market-based VET system with a greater role for non-TAFE providers</w:t>
      </w:r>
    </w:p>
    <w:p w14:paraId="2F6D6B2F" w14:textId="3D632213" w:rsidR="007475A4" w:rsidRPr="005D5BB5" w:rsidRDefault="007475A4" w:rsidP="00D04786">
      <w:pPr>
        <w:pStyle w:val="ListBullet"/>
      </w:pPr>
      <w:r w:rsidRPr="005D5BB5">
        <w:t>an increased acceptance of the workplace as a legitimate site of vocational education and training and the consequent growth of workplace trainers and assessors</w:t>
      </w:r>
    </w:p>
    <w:p w14:paraId="13B5B3E2" w14:textId="13B2B8D4" w:rsidR="007475A4" w:rsidRPr="005D5BB5" w:rsidRDefault="007475A4" w:rsidP="00D04786">
      <w:pPr>
        <w:pStyle w:val="ListBullet"/>
      </w:pPr>
      <w:r w:rsidRPr="005D5BB5">
        <w:t>the casualisation of the VET workforce, with implications for willingness to undertake, and support to access, higher level qualifications and continued professional development</w:t>
      </w:r>
      <w:r w:rsidR="00FA468B">
        <w:t xml:space="preserve"> </w:t>
      </w:r>
      <w:r w:rsidRPr="004C530F">
        <w:rPr>
          <w:rStyle w:val="EndnoteReference"/>
        </w:rPr>
        <w:endnoteReference w:id="36"/>
      </w:r>
      <w:r w:rsidR="00115C00">
        <w:t xml:space="preserve"> </w:t>
      </w:r>
      <w:r w:rsidRPr="005D5BB5">
        <w:t xml:space="preserve">and </w:t>
      </w:r>
    </w:p>
    <w:p w14:paraId="3CC2955B" w14:textId="4A695EA7" w:rsidR="007475A4" w:rsidRPr="005D5BB5" w:rsidRDefault="007475A4" w:rsidP="00D04786">
      <w:pPr>
        <w:pStyle w:val="ListBullet"/>
      </w:pPr>
      <w:r w:rsidRPr="005D5BB5">
        <w:t>the adoption of competency-based training from abroad</w:t>
      </w:r>
      <w:r w:rsidR="00FA468B">
        <w:t xml:space="preserve"> </w:t>
      </w:r>
      <w:r w:rsidRPr="004C530F">
        <w:rPr>
          <w:rStyle w:val="EndnoteReference"/>
        </w:rPr>
        <w:endnoteReference w:id="37"/>
      </w:r>
    </w:p>
    <w:p w14:paraId="75FB83C3" w14:textId="77777777" w:rsidR="006C5EFF" w:rsidRDefault="006C5EFF">
      <w:pPr>
        <w:rPr>
          <w:spacing w:val="2"/>
        </w:rPr>
      </w:pPr>
      <w:r>
        <w:br w:type="page"/>
      </w:r>
    </w:p>
    <w:p w14:paraId="0FE89D00" w14:textId="6AE1DD81" w:rsidR="007475A4" w:rsidRDefault="007475A4" w:rsidP="002C2737">
      <w:pPr>
        <w:pStyle w:val="Bodycopy"/>
      </w:pPr>
      <w:r>
        <w:lastRenderedPageBreak/>
        <w:t>These changes over recent decades in the VET sector have led to an increasingly diversified provider and training landscape</w:t>
      </w:r>
      <w:r w:rsidR="005652E1">
        <w:t>,</w:t>
      </w:r>
      <w:r>
        <w:t xml:space="preserve"> </w:t>
      </w:r>
      <w:r w:rsidR="004A6DDF">
        <w:t xml:space="preserve">making it more challenging for </w:t>
      </w:r>
      <w:r>
        <w:t>the Certificate IV in Training and Assessment</w:t>
      </w:r>
      <w:r w:rsidR="004A6DDF">
        <w:t xml:space="preserve"> to suit</w:t>
      </w:r>
      <w:r w:rsidR="00C01854">
        <w:t xml:space="preserve"> all contexts</w:t>
      </w:r>
      <w:r>
        <w:t xml:space="preserve">. Two common critiques </w:t>
      </w:r>
      <w:r w:rsidR="000B0573">
        <w:t xml:space="preserve">(not easily reconciled) </w:t>
      </w:r>
      <w:r>
        <w:t>have been that the qualification is:</w:t>
      </w:r>
    </w:p>
    <w:p w14:paraId="69DBD3C7" w14:textId="7423B68A" w:rsidR="007475A4" w:rsidRDefault="007475A4" w:rsidP="00D04786">
      <w:pPr>
        <w:pStyle w:val="ListBullet"/>
      </w:pPr>
      <w:r>
        <w:t xml:space="preserve">too low-level and overly focused on compliance or understanding VET more broadly rather than equipping trainer and assessors with strong </w:t>
      </w:r>
      <w:r w:rsidR="00B76E35" w:rsidRPr="00B76E35">
        <w:t>pedagogical</w:t>
      </w:r>
      <w:r>
        <w:t xml:space="preserve"> skills</w:t>
      </w:r>
    </w:p>
    <w:p w14:paraId="31585DC6" w14:textId="0A4B3029" w:rsidR="007475A4" w:rsidRDefault="007475A4" w:rsidP="00D04786">
      <w:pPr>
        <w:pStyle w:val="ListBullet"/>
      </w:pPr>
      <w:r>
        <w:t xml:space="preserve">too time intensive for those with current industry skills but with limited recent formal education </w:t>
      </w:r>
      <w:r w:rsidRPr="00E22ECB">
        <w:t>experience</w:t>
      </w:r>
      <w:r w:rsidR="00E22ECB">
        <w:t xml:space="preserve"> </w:t>
      </w:r>
      <w:r w:rsidR="00E22ECB">
        <w:rPr>
          <w:rStyle w:val="EndnoteReference"/>
        </w:rPr>
        <w:endnoteReference w:id="38"/>
      </w:r>
    </w:p>
    <w:p w14:paraId="24FAA90C" w14:textId="69C12CEB" w:rsidR="007475A4" w:rsidRPr="00115C00" w:rsidRDefault="347EB015" w:rsidP="007F51E2">
      <w:pPr>
        <w:pStyle w:val="Bodycopy"/>
      </w:pPr>
      <w:r w:rsidRPr="3EA8C90E">
        <w:t>There has also been a decreasing number of institutions offering higher teaching or adult education qualifications (from the twenty-two documented in Guthrie et al., 2011), to just a handful in 2023</w:t>
      </w:r>
      <w:r w:rsidR="07DE2456" w:rsidRPr="3EA8C90E">
        <w:t>,</w:t>
      </w:r>
      <w:r w:rsidRPr="3EA8C90E">
        <w:t xml:space="preserve"> as universities have withdrawn from the market. Research from UNE in 2016 also pointed towards this decline in university level adult education courses across the higher education sector. Research cited in the presentation by Smith (2014) found there to be approximately 1700 students enrolled in university based adult educator programs across </w:t>
      </w:r>
      <w:r w:rsidRPr="00D108FD">
        <w:rPr>
          <w:color w:val="auto"/>
        </w:rPr>
        <w:t>12 universities</w:t>
      </w:r>
      <w:r w:rsidR="00D108FD" w:rsidRPr="00D108FD">
        <w:rPr>
          <w:color w:val="auto"/>
        </w:rPr>
        <w:t>.</w:t>
      </w:r>
      <w:r w:rsidR="00E22ECB">
        <w:rPr>
          <w:rStyle w:val="EndnoteReference"/>
          <w:color w:val="auto"/>
        </w:rPr>
        <w:endnoteReference w:id="39"/>
      </w:r>
    </w:p>
    <w:p w14:paraId="6BB385DD" w14:textId="6B46564D" w:rsidR="00897770" w:rsidRDefault="4083E615" w:rsidP="002C2737">
      <w:pPr>
        <w:pStyle w:val="Bodycopy"/>
      </w:pPr>
      <w:r w:rsidRPr="71BE244F">
        <w:t>A</w:t>
      </w:r>
      <w:r w:rsidRPr="001B7D12">
        <w:t xml:space="preserve">longside the decline in the </w:t>
      </w:r>
      <w:r w:rsidR="360A8F37">
        <w:t xml:space="preserve">requirement for and </w:t>
      </w:r>
      <w:r w:rsidRPr="001B7D12">
        <w:t>availability of higher teaching</w:t>
      </w:r>
      <w:r w:rsidR="40C36865" w:rsidRPr="001B7D12">
        <w:t>/</w:t>
      </w:r>
      <w:r w:rsidRPr="001B7D12">
        <w:t xml:space="preserve">adult education </w:t>
      </w:r>
      <w:r w:rsidR="4C24EF59" w:rsidRPr="001B7D12">
        <w:t xml:space="preserve">qualifications, </w:t>
      </w:r>
      <w:r w:rsidR="40C36865" w:rsidRPr="001B7D12">
        <w:t>academic research h</w:t>
      </w:r>
      <w:r w:rsidR="40C36865">
        <w:t xml:space="preserve">as </w:t>
      </w:r>
      <w:r w:rsidR="06D6BDB7">
        <w:t xml:space="preserve">shown that </w:t>
      </w:r>
      <w:r w:rsidR="40C36865" w:rsidRPr="001B7D12">
        <w:t xml:space="preserve">made the case that </w:t>
      </w:r>
      <w:r w:rsidR="0436E903" w:rsidRPr="001B7D12">
        <w:t xml:space="preserve">higher level qualifications for </w:t>
      </w:r>
      <w:r w:rsidR="00CC6D50">
        <w:t>VET teachers</w:t>
      </w:r>
      <w:r w:rsidR="0436E903" w:rsidRPr="001B7D12">
        <w:t xml:space="preserve"> </w:t>
      </w:r>
      <w:r w:rsidR="5739ABB2" w:rsidRPr="001B7D12">
        <w:t>improve</w:t>
      </w:r>
      <w:r w:rsidR="0436E903">
        <w:t xml:space="preserve"> teaching quality</w:t>
      </w:r>
      <w:r w:rsidR="00652CF3">
        <w:t>.</w:t>
      </w:r>
    </w:p>
    <w:p w14:paraId="4B309138" w14:textId="32B15714" w:rsidR="00413A65" w:rsidRDefault="007475A4" w:rsidP="007142B3">
      <w:pPr>
        <w:pStyle w:val="Bodycopy"/>
      </w:pPr>
      <w:r>
        <w:t xml:space="preserve">In the next chapter, we discuss how higher education qualifications currently do not provide a training pipeline into VET teaching but instead offer a small number of courses that are more focused on career progression </w:t>
      </w:r>
      <w:r w:rsidR="00F363FD">
        <w:t xml:space="preserve">for </w:t>
      </w:r>
      <w:r>
        <w:t xml:space="preserve">existing </w:t>
      </w:r>
      <w:r w:rsidR="00CC6D50">
        <w:t>VET teachers</w:t>
      </w:r>
      <w:r>
        <w:t xml:space="preserve">, including into leadership roles or education advisor roles. </w:t>
      </w:r>
    </w:p>
    <w:p w14:paraId="455A51DA" w14:textId="77777777" w:rsidR="007475A4" w:rsidRPr="00D47462" w:rsidRDefault="007475A4" w:rsidP="007475A4">
      <w:pPr>
        <w:pStyle w:val="Heading3"/>
        <w:rPr>
          <w:bCs/>
          <w:szCs w:val="26"/>
        </w:rPr>
      </w:pPr>
      <w:r>
        <w:t>Training pathways into other segments</w:t>
      </w:r>
      <w:r>
        <w:rPr>
          <w:color w:val="000000" w:themeColor="text1"/>
        </w:rPr>
        <w:t xml:space="preserve"> </w:t>
      </w:r>
    </w:p>
    <w:p w14:paraId="5CCD8E07" w14:textId="77777777" w:rsidR="00D108FD" w:rsidRDefault="007475A4" w:rsidP="00E16D4F">
      <w:pPr>
        <w:pStyle w:val="Bodycopy"/>
      </w:pPr>
      <w:r>
        <w:t xml:space="preserve">Considering the variety of occupations covered by VET, including professions that exist across most large organisations such as accounting, IT and management, this section will focus mostly on the training pathways into educational focused leadership and curriculum and learning design job roles. </w:t>
      </w:r>
    </w:p>
    <w:p w14:paraId="35030032" w14:textId="6C5039FD" w:rsidR="007475A4" w:rsidRDefault="007475A4" w:rsidP="00E16D4F">
      <w:pPr>
        <w:pStyle w:val="Bodycopy"/>
      </w:pPr>
      <w:r>
        <w:t xml:space="preserve">Training pathways into roles in the education support and quality assurance and compliance segments are explored in the job profiles below because, again, these roles have qualification credentials that are not specific to the VET context. For example, credentials for ancillary professionals like counsellors and librarians in education support or more generic qualifications in compliance, risk management and auditing for roles in quality assurance and compliance. </w:t>
      </w:r>
    </w:p>
    <w:p w14:paraId="4F2B5C80" w14:textId="094CDBC5" w:rsidR="007475A4" w:rsidRDefault="007475A4" w:rsidP="00E16D4F">
      <w:pPr>
        <w:pStyle w:val="Bodycopy"/>
      </w:pPr>
      <w:r>
        <w:t xml:space="preserve">Moreover, the regulatory context, especially in relation to the RTO </w:t>
      </w:r>
      <w:r w:rsidR="006E1CB0">
        <w:t>S</w:t>
      </w:r>
      <w:r>
        <w:t xml:space="preserve">tandards means there are not mandated qualification credentials for roles outside teach, train, and assess roles. However, many RTOs may desire workers in quality and compliance, curriculum and learning design and leadership roles to have a Certificate IV TAE as competency-based training makes VET different from other education sectors. </w:t>
      </w:r>
    </w:p>
    <w:p w14:paraId="136F1239" w14:textId="77777777" w:rsidR="00413A65" w:rsidRDefault="007475A4" w:rsidP="00E16D4F">
      <w:pPr>
        <w:pStyle w:val="Bodycopy"/>
      </w:pPr>
      <w:r>
        <w:t xml:space="preserve">In leadership, curriculum and learning design and learning support segments, both VET and higher education settings offer credentials in areas such as education studies, educational leadership, and education management. For example, under the Business Services Training Package there is a Graduate Diploma of Management (Learning) and at </w:t>
      </w:r>
      <w:r>
        <w:lastRenderedPageBreak/>
        <w:t xml:space="preserve">various universities there is a Master of Educational Leadership and at Swinburne University there is a Bachelor of Education Studies (Non-teaching). </w:t>
      </w:r>
    </w:p>
    <w:p w14:paraId="4F42CD4B" w14:textId="77777777" w:rsidR="00662936" w:rsidRDefault="007475A4" w:rsidP="00D20ACD">
      <w:pPr>
        <w:pStyle w:val="Bodycopy"/>
      </w:pPr>
      <w:r>
        <w:t xml:space="preserve">The University of Technology offers Graduate Certificates in Learning Design, Digital Learning and Teaching, and several universities offer Graduate Certificates in Education with specialisations in Career Development, Professional Learning, Innovative Learning Design and Digital Learning including Queensland University of Technology, Monash University, Victoria University, and Flinders University. </w:t>
      </w:r>
      <w:r w:rsidRPr="1AC728B0">
        <w:t>Key VET teaching qualifications like the Federation University’s Associate Degree of Vocational Education and Training also includes specific subjects on curriculum design and so these are</w:t>
      </w:r>
      <w:r>
        <w:t xml:space="preserve"> also pathways into this.</w:t>
      </w:r>
      <w:r w:rsidR="00E22ECB">
        <w:rPr>
          <w:rStyle w:val="EndnoteReference"/>
        </w:rPr>
        <w:endnoteReference w:id="40"/>
      </w:r>
    </w:p>
    <w:p w14:paraId="12AE7472" w14:textId="6CDC01ED" w:rsidR="00D108FD" w:rsidRDefault="007475A4" w:rsidP="00D20ACD">
      <w:pPr>
        <w:pStyle w:val="Bodycopy"/>
      </w:pPr>
      <w:r w:rsidRPr="00413A65">
        <w:t xml:space="preserve">Training pathways into learning support roles are either for ancillary education professionals such as psychology degrees for counsellors or information management for librarians but there are also various VET qualifications for learning support roles, that whilst targeted at schools are relevant and used in VET. </w:t>
      </w:r>
    </w:p>
    <w:p w14:paraId="0515341A" w14:textId="54CE8AC4" w:rsidR="007475A4" w:rsidRPr="00413A65" w:rsidRDefault="007475A4" w:rsidP="00D20ACD">
      <w:pPr>
        <w:pStyle w:val="Bodycopy"/>
      </w:pPr>
      <w:r w:rsidRPr="00413A65">
        <w:t xml:space="preserve">For example, the main qualifications in VET are the CHC30221 Certificate III and CHC40221 Certificate IV in School Based Education Support and Diploma of School Based Education Support. At the higher education level, The University of Tasmania offers an Associate Degree in Education Support (42B) and the University of Canberra offers an Undergraduate Certificate in Education Support (40B). </w:t>
      </w:r>
    </w:p>
    <w:p w14:paraId="197C87CA" w14:textId="71FC04C6" w:rsidR="007475A4" w:rsidRPr="00413A65" w:rsidRDefault="007475A4" w:rsidP="00D20ACD">
      <w:pPr>
        <w:pStyle w:val="Bodycopy"/>
      </w:pPr>
      <w:r w:rsidRPr="00413A65">
        <w:t>TAFE Queensland also offers a qualification in Aboriginal and Torres Strait Islander Education at both the Certificate III and Diploma level</w:t>
      </w:r>
      <w:r w:rsidR="009756B7" w:rsidRPr="00413A65">
        <w:t>,</w:t>
      </w:r>
      <w:r w:rsidRPr="00413A65">
        <w:t xml:space="preserve"> but is the only RTO currently to do so. The Aboriginal and/or Torres Strait Islander Education Support Skill Set is offered more widely. Other learning support qualifications that support ancillary education professionals in this segment include the Certificate III in Library and Information Services for library assistant roles.</w:t>
      </w:r>
    </w:p>
    <w:p w14:paraId="7C0EC38C" w14:textId="56D4CF8D" w:rsidR="00D108FD" w:rsidRDefault="007475A4" w:rsidP="00E16D4F">
      <w:pPr>
        <w:pStyle w:val="Bodycopy"/>
      </w:pPr>
      <w:r>
        <w:t xml:space="preserve">Whilst data on micro-credentials is unclear, there is evidence that these short courses could be used to transfer skills from another teaching qualification to an adult education setting. For example, some current course titles include Inclusive and adult education and Leading the Science of Learning. </w:t>
      </w:r>
    </w:p>
    <w:p w14:paraId="3D2B41C5" w14:textId="77777777" w:rsidR="00D108FD" w:rsidRDefault="00D108FD">
      <w:pPr>
        <w:rPr>
          <w:spacing w:val="2"/>
        </w:rPr>
      </w:pPr>
      <w:r>
        <w:br w:type="page"/>
      </w:r>
    </w:p>
    <w:p w14:paraId="06C2D852" w14:textId="54AE2DA2" w:rsidR="007475A4" w:rsidRPr="00CB364B" w:rsidRDefault="007475A4" w:rsidP="007475A4">
      <w:pPr>
        <w:pStyle w:val="ChartandTablelabel"/>
        <w:rPr>
          <w:rFonts w:eastAsia="Arial" w:cs="Arial"/>
        </w:rPr>
      </w:pPr>
      <w:r>
        <w:lastRenderedPageBreak/>
        <w:t xml:space="preserve">Box </w:t>
      </w:r>
      <w:r>
        <w:fldChar w:fldCharType="begin"/>
      </w:r>
      <w:r>
        <w:instrText xml:space="preserve"> STYLEREF 1 \s </w:instrText>
      </w:r>
      <w:r>
        <w:fldChar w:fldCharType="separate"/>
      </w:r>
      <w:r w:rsidR="00E7704E">
        <w:rPr>
          <w:noProof/>
        </w:rPr>
        <w:t>3</w:t>
      </w:r>
      <w:r>
        <w:fldChar w:fldCharType="end"/>
      </w:r>
      <w:r>
        <w:t>.</w:t>
      </w:r>
      <w:r>
        <w:fldChar w:fldCharType="begin"/>
      </w:r>
      <w:r>
        <w:instrText xml:space="preserve"> SEQ Box \* ARABIC \s 1 </w:instrText>
      </w:r>
      <w:r>
        <w:fldChar w:fldCharType="separate"/>
      </w:r>
      <w:r w:rsidR="00E7704E">
        <w:rPr>
          <w:noProof/>
        </w:rPr>
        <w:t>1</w:t>
      </w:r>
      <w:r>
        <w:fldChar w:fldCharType="end"/>
      </w:r>
      <w:r>
        <w:t xml:space="preserve"> Migration pathways</w:t>
      </w:r>
    </w:p>
    <w:p w14:paraId="7BF1799B" w14:textId="77AE87F7" w:rsidR="007475A4" w:rsidRPr="002F6EC8" w:rsidRDefault="007475A4" w:rsidP="00D7331B">
      <w:pPr>
        <w:pStyle w:val="Breakoutbox"/>
        <w:pBdr>
          <w:top w:val="single" w:sz="36" w:space="5" w:color="EEF1F6"/>
          <w:bottom w:val="single" w:sz="36" w:space="5" w:color="EEF1F6"/>
          <w:right w:val="single" w:sz="36" w:space="10" w:color="EEF1F6"/>
        </w:pBdr>
      </w:pPr>
      <w:r w:rsidRPr="002F6EC8">
        <w:t xml:space="preserve">As outlined in the last chapter, the proportion of the VET workforce born overseas closely resembles the Australian labour force. However, only </w:t>
      </w:r>
      <w:r w:rsidR="00847C30" w:rsidRPr="002F6EC8">
        <w:t>19.</w:t>
      </w:r>
      <w:r w:rsidR="00B6693B" w:rsidRPr="002F6EC8">
        <w:t>2</w:t>
      </w:r>
      <w:r w:rsidRPr="002F6EC8">
        <w:t xml:space="preserve">% of </w:t>
      </w:r>
      <w:r w:rsidR="00CC6D50">
        <w:t>VET teachers</w:t>
      </w:r>
      <w:r w:rsidRPr="002F6EC8">
        <w:t xml:space="preserve">, trainers and assessors born overseas have arrived since 2011 compared to </w:t>
      </w:r>
      <w:r w:rsidR="00B6693B" w:rsidRPr="002F6EC8">
        <w:t>33.8</w:t>
      </w:r>
      <w:r w:rsidRPr="002F6EC8">
        <w:t xml:space="preserve">% of the labour force. This suggests that for </w:t>
      </w:r>
      <w:r w:rsidR="00CC6D50">
        <w:t>VET teachers</w:t>
      </w:r>
      <w:r w:rsidRPr="002F6EC8">
        <w:t xml:space="preserve"> born overseas, VET teaching was not typically their first job on arrival in Australia. This is unsurprising given the requirements for </w:t>
      </w:r>
      <w:r w:rsidR="00CC6D50">
        <w:t>VET teachers</w:t>
      </w:r>
      <w:r w:rsidRPr="002F6EC8">
        <w:t xml:space="preserve"> to be dual qualified in vocational education and training as well as their vocational area and have current industry skills. The pool of migrants able to step into a VET teacher role without further study or prior employment in Australia will be limited.</w:t>
      </w:r>
    </w:p>
    <w:p w14:paraId="79D33BDF" w14:textId="008579C2" w:rsidR="007475A4" w:rsidRPr="002F6EC8" w:rsidRDefault="007475A4" w:rsidP="00D7331B">
      <w:pPr>
        <w:pStyle w:val="Breakoutbox"/>
        <w:pBdr>
          <w:top w:val="single" w:sz="36" w:space="5" w:color="EEF1F6"/>
          <w:bottom w:val="single" w:sz="36" w:space="5" w:color="EEF1F6"/>
          <w:right w:val="single" w:sz="36" w:space="10" w:color="EEF1F6"/>
        </w:pBdr>
      </w:pPr>
      <w:r w:rsidRPr="002F6EC8">
        <w:t xml:space="preserve">As a direct pathway to fill VET teacher shortages, the role of migration has historically been modest. For instance, the number of </w:t>
      </w:r>
      <w:r w:rsidR="006E1CB0">
        <w:t>t</w:t>
      </w:r>
      <w:r w:rsidRPr="002F6EC8">
        <w:t xml:space="preserve">emporary resident (skilled) visa holders in Australia with VET teacher as their nominated occupation has ranged between 19 and fewer than five in each period since 2014-15. A Vocational Education and Training Sector visa (subclass 572) was previously in place but closed for new applications on </w:t>
      </w:r>
      <w:r w:rsidR="006E1CB0">
        <w:br/>
      </w:r>
      <w:r w:rsidRPr="002F6EC8">
        <w:t>1 July 2016.</w:t>
      </w:r>
      <w:r w:rsidR="00A23AA8">
        <w:t xml:space="preserve"> Anecdotally, this</w:t>
      </w:r>
      <w:r w:rsidRPr="002F6EC8">
        <w:t xml:space="preserve"> was not considered a success due to low take-up. The ANZSCO occupation Vocational Education Teacher has been an eligible skilled occupation on the Regional Occupation List since 2018 under a range of visas including:   </w:t>
      </w:r>
    </w:p>
    <w:p w14:paraId="37ACD0EC" w14:textId="640354A4" w:rsidR="007475A4" w:rsidRPr="002F6EC8" w:rsidRDefault="007475A4" w:rsidP="000C051B">
      <w:pPr>
        <w:pStyle w:val="Breakoutbox"/>
        <w:numPr>
          <w:ilvl w:val="0"/>
          <w:numId w:val="20"/>
        </w:numPr>
        <w:pBdr>
          <w:top w:val="single" w:sz="36" w:space="5" w:color="EEF1F6"/>
          <w:bottom w:val="single" w:sz="36" w:space="5" w:color="EEF1F6"/>
          <w:right w:val="single" w:sz="36" w:space="10" w:color="EEF1F6"/>
        </w:pBdr>
        <w:ind w:left="567" w:hanging="283"/>
      </w:pPr>
      <w:r w:rsidRPr="002F6EC8">
        <w:t xml:space="preserve">Training visa (subclass 407);   </w:t>
      </w:r>
    </w:p>
    <w:p w14:paraId="7BD7D1C3" w14:textId="6ED30126" w:rsidR="007475A4" w:rsidRPr="002F6EC8" w:rsidRDefault="007475A4" w:rsidP="000C051B">
      <w:pPr>
        <w:pStyle w:val="Breakoutbox"/>
        <w:numPr>
          <w:ilvl w:val="0"/>
          <w:numId w:val="20"/>
        </w:numPr>
        <w:pBdr>
          <w:top w:val="single" w:sz="36" w:space="5" w:color="EEF1F6"/>
          <w:bottom w:val="single" w:sz="36" w:space="5" w:color="EEF1F6"/>
          <w:right w:val="single" w:sz="36" w:space="10" w:color="EEF1F6"/>
        </w:pBdr>
        <w:ind w:left="567" w:hanging="283"/>
      </w:pPr>
      <w:r w:rsidRPr="002F6EC8">
        <w:t xml:space="preserve">Skilled Regional (Provisional) visa (subclass 489) – State or Territory Nominated;   </w:t>
      </w:r>
    </w:p>
    <w:p w14:paraId="2197127D" w14:textId="2FE00C63" w:rsidR="007475A4" w:rsidRPr="002F6EC8" w:rsidRDefault="007475A4" w:rsidP="000C051B">
      <w:pPr>
        <w:pStyle w:val="Breakoutbox"/>
        <w:numPr>
          <w:ilvl w:val="0"/>
          <w:numId w:val="20"/>
        </w:numPr>
        <w:pBdr>
          <w:top w:val="single" w:sz="36" w:space="5" w:color="EEF1F6"/>
          <w:bottom w:val="single" w:sz="36" w:space="5" w:color="EEF1F6"/>
          <w:right w:val="single" w:sz="36" w:space="10" w:color="EEF1F6"/>
        </w:pBdr>
        <w:ind w:left="567" w:hanging="283"/>
      </w:pPr>
      <w:r w:rsidRPr="002F6EC8">
        <w:t xml:space="preserve">Temporary Skill Shortage (subclass 482) – Medium Term Stream;   </w:t>
      </w:r>
    </w:p>
    <w:p w14:paraId="3BAD0793" w14:textId="4147F5ED" w:rsidR="007475A4" w:rsidRPr="002F6EC8" w:rsidRDefault="007475A4" w:rsidP="000C051B">
      <w:pPr>
        <w:pStyle w:val="Breakoutbox"/>
        <w:numPr>
          <w:ilvl w:val="0"/>
          <w:numId w:val="20"/>
        </w:numPr>
        <w:pBdr>
          <w:top w:val="single" w:sz="36" w:space="5" w:color="EEF1F6"/>
          <w:bottom w:val="single" w:sz="36" w:space="5" w:color="EEF1F6"/>
          <w:right w:val="single" w:sz="36" w:space="10" w:color="EEF1F6"/>
        </w:pBdr>
        <w:ind w:left="567" w:hanging="283"/>
      </w:pPr>
      <w:r w:rsidRPr="002F6EC8">
        <w:t xml:space="preserve">Regional Sponsor Migration Scheme (subclass 187);  </w:t>
      </w:r>
    </w:p>
    <w:p w14:paraId="780854C9" w14:textId="00B25546" w:rsidR="007475A4" w:rsidRPr="002F6EC8" w:rsidRDefault="007475A4" w:rsidP="000C051B">
      <w:pPr>
        <w:pStyle w:val="Breakoutbox"/>
        <w:numPr>
          <w:ilvl w:val="0"/>
          <w:numId w:val="20"/>
        </w:numPr>
        <w:pBdr>
          <w:top w:val="single" w:sz="36" w:space="5" w:color="EEF1F6"/>
          <w:bottom w:val="single" w:sz="36" w:space="5" w:color="EEF1F6"/>
          <w:right w:val="single" w:sz="36" w:space="10" w:color="EEF1F6"/>
        </w:pBdr>
        <w:ind w:left="567" w:hanging="283"/>
      </w:pPr>
      <w:r w:rsidRPr="002F6EC8">
        <w:t xml:space="preserve">Skilled Employer Sponsored Regional (provisional) (subclass 494) – Employer sponsored stream  </w:t>
      </w:r>
    </w:p>
    <w:p w14:paraId="72A9A0AC" w14:textId="547E1F8B" w:rsidR="007475A4" w:rsidRPr="002F6EC8" w:rsidRDefault="007475A4" w:rsidP="000C051B">
      <w:pPr>
        <w:pStyle w:val="Breakoutbox"/>
        <w:numPr>
          <w:ilvl w:val="0"/>
          <w:numId w:val="20"/>
        </w:numPr>
        <w:pBdr>
          <w:top w:val="single" w:sz="36" w:space="5" w:color="EEF1F6"/>
          <w:bottom w:val="single" w:sz="36" w:space="5" w:color="EEF1F6"/>
          <w:right w:val="single" w:sz="36" w:space="10" w:color="EEF1F6"/>
        </w:pBdr>
        <w:ind w:left="567" w:hanging="283"/>
      </w:pPr>
      <w:r w:rsidRPr="002F6EC8">
        <w:t xml:space="preserve">Skilled Work Regional (provisional) visa (subclass 491) – State or Territory Nominated  </w:t>
      </w:r>
    </w:p>
    <w:p w14:paraId="7085D7D9" w14:textId="77777777" w:rsidR="007475A4" w:rsidRPr="002F6EC8" w:rsidRDefault="007475A4" w:rsidP="00D7331B">
      <w:pPr>
        <w:pStyle w:val="Breakoutbox"/>
        <w:pBdr>
          <w:top w:val="single" w:sz="36" w:space="5" w:color="EEF1F6"/>
          <w:bottom w:val="single" w:sz="36" w:space="5" w:color="EEF1F6"/>
          <w:right w:val="single" w:sz="36" w:space="10" w:color="EEF1F6"/>
        </w:pBdr>
      </w:pPr>
      <w:r w:rsidRPr="002F6EC8">
        <w:t xml:space="preserve">The skilled migration pathway for the previous subclass 457 temporary skilled visa and the current Temporary Skill Shortage (subclass 482) visa have been used infrequently to sponsor Vocational Education Teachers, with generally under 20 visas granted per year over the last decade. None were granted at all in three of these years. Data on the Primary Permanent Skill Stream Visa also indicates that it is little used for Vocational Education Teachers. </w:t>
      </w:r>
    </w:p>
    <w:p w14:paraId="59B6994A" w14:textId="47192DD5" w:rsidR="007475A4" w:rsidRPr="002F6EC8" w:rsidRDefault="007475A4" w:rsidP="00D7331B">
      <w:pPr>
        <w:pStyle w:val="Breakoutbox"/>
        <w:pBdr>
          <w:top w:val="single" w:sz="36" w:space="5" w:color="EEF1F6"/>
          <w:bottom w:val="single" w:sz="36" w:space="5" w:color="EEF1F6"/>
          <w:right w:val="single" w:sz="36" w:space="10" w:color="EEF1F6"/>
        </w:pBdr>
      </w:pPr>
      <w:r w:rsidRPr="002F6EC8">
        <w:t xml:space="preserve">Those who migrate to Australia may make a more significant indirect contribution to the VET workforce (e.g. by becoming a teacher, trainer and assessor later in their careers). This may be particularly true for occupations requiring a VET qualification which have the highest proportion of workers born overseas.  In the Government’s Migration Strategy, published in December 2023, it noted stakeholder </w:t>
      </w:r>
      <w:r>
        <w:t>concern with</w:t>
      </w:r>
      <w:r w:rsidRPr="002F6EC8">
        <w:t xml:space="preserve"> </w:t>
      </w:r>
      <w:r>
        <w:t>the issue of some</w:t>
      </w:r>
      <w:r w:rsidRPr="002F6EC8">
        <w:t xml:space="preserve"> education providers helping non-genuine students to access Australia’s labour market through a student visa.</w:t>
      </w:r>
      <w:r w:rsidR="00CA2EA9">
        <w:rPr>
          <w:rStyle w:val="EndnoteReference"/>
        </w:rPr>
        <w:endnoteReference w:id="41"/>
      </w:r>
      <w:r w:rsidRPr="002F6EC8">
        <w:t xml:space="preserve"> The Strategy also suggests that future work will examine the barriers to international students undertaking apprenticeships on student visas where they are pursuing trade qualifications. It suggests that this may be through reforms to the vocational stream of the temporary graduate visa program. In the event this sees an increase in international student demand for VET qualifications, this could significantly impact the already high demand for </w:t>
      </w:r>
      <w:r w:rsidR="00CC6D50">
        <w:t>VET teachers</w:t>
      </w:r>
      <w:r w:rsidRPr="002F6EC8">
        <w:t xml:space="preserve">, especially in trade qualifications. </w:t>
      </w:r>
    </w:p>
    <w:p w14:paraId="4D2396A8" w14:textId="0D5F17FC" w:rsidR="007475A4" w:rsidRPr="00D47462" w:rsidRDefault="007475A4" w:rsidP="007475A4">
      <w:pPr>
        <w:pStyle w:val="Heading2"/>
      </w:pPr>
      <w:bookmarkStart w:id="153" w:name="_Toc1815216748"/>
      <w:bookmarkStart w:id="154" w:name="_Toc176770988"/>
      <w:r>
        <w:lastRenderedPageBreak/>
        <w:t xml:space="preserve">Job </w:t>
      </w:r>
      <w:r w:rsidR="00681E36">
        <w:t>p</w:t>
      </w:r>
      <w:r>
        <w:t>rofiles</w:t>
      </w:r>
      <w:bookmarkEnd w:id="153"/>
      <w:bookmarkEnd w:id="154"/>
    </w:p>
    <w:p w14:paraId="69577EA6" w14:textId="0922657E" w:rsidR="007475A4" w:rsidRDefault="007475A4" w:rsidP="007475A4">
      <w:pPr>
        <w:pStyle w:val="Heading3"/>
      </w:pPr>
      <w:r>
        <w:t>Teach, Train</w:t>
      </w:r>
      <w:r w:rsidR="00CB29F6">
        <w:t>,</w:t>
      </w:r>
      <w:r>
        <w:t xml:space="preserve"> </w:t>
      </w:r>
      <w:r w:rsidR="00CB29F6">
        <w:t>and</w:t>
      </w:r>
      <w:r>
        <w:t xml:space="preserve"> Assess</w:t>
      </w:r>
    </w:p>
    <w:p w14:paraId="5CA29B6B" w14:textId="7BD723E5" w:rsidR="007475A4" w:rsidRDefault="007475A4" w:rsidP="002E6A69">
      <w:pPr>
        <w:pStyle w:val="Bodycopy"/>
      </w:pPr>
      <w:r>
        <w:t xml:space="preserve">A range of roles are performed by </w:t>
      </w:r>
      <w:r w:rsidR="00CC6D50">
        <w:t>VET teachers</w:t>
      </w:r>
      <w:r>
        <w:t xml:space="preserve">, trainers and assessors depending on the employees’ level of experience, expertise, employee preferences, the size of the provider, the delivery context, and the student cohort. This diversity is captured in various VET practitioner capability frameworks, the award and industrial agreements and conceptualises the progression of skills and capabilities of </w:t>
      </w:r>
      <w:r w:rsidR="00CC6D50">
        <w:t>VET teachers</w:t>
      </w:r>
      <w:r>
        <w:t xml:space="preserve">, trainers, and assessors. </w:t>
      </w:r>
    </w:p>
    <w:p w14:paraId="748F6690" w14:textId="0F330347" w:rsidR="00BD3ACC" w:rsidRDefault="007475A4" w:rsidP="002E6A69">
      <w:pPr>
        <w:pStyle w:val="Bodycopy"/>
      </w:pPr>
      <w:r>
        <w:t>One example is the VET Practitioner Capability Framework developed by Innovation and Business Skills Australia (IBSA) which identifies three levels of initial, proficient, and advanced.</w:t>
      </w:r>
      <w:r w:rsidR="00CA2EA9">
        <w:rPr>
          <w:rStyle w:val="EndnoteReference"/>
        </w:rPr>
        <w:endnoteReference w:id="42"/>
      </w:r>
      <w:r>
        <w:t xml:space="preserve"> Another developed by Charles Darwin University, the VET Educator Capability Framework is not limited to teaching roles and uses four levels of: industry expert/educator, advanced educator, educational manager and educational leader.</w:t>
      </w:r>
      <w:r w:rsidRPr="1DADEFF4">
        <w:rPr>
          <w:rStyle w:val="EndnoteReference"/>
        </w:rPr>
        <w:t xml:space="preserve"> </w:t>
      </w:r>
      <w:r w:rsidR="00CA2EA9">
        <w:rPr>
          <w:rStyle w:val="EndnoteReference"/>
        </w:rPr>
        <w:endnoteReference w:id="43"/>
      </w:r>
    </w:p>
    <w:p w14:paraId="13F54611" w14:textId="444FA1FB" w:rsidR="00BD3ACC" w:rsidRDefault="007475A4" w:rsidP="002E6A69">
      <w:pPr>
        <w:pStyle w:val="Bodycopy"/>
      </w:pPr>
      <w:r>
        <w:t xml:space="preserve">Another is TAFE SA which defines four levels of educator progression: New Lecturer, Lecturer, Accomplished Lecturer and Senior </w:t>
      </w:r>
      <w:r w:rsidR="00CA2EA9">
        <w:t>and</w:t>
      </w:r>
      <w:r>
        <w:t xml:space="preserve"> Principal Lecturer. All four levels have qualification requirements moving from completed skills sets, to Certificate IV TAE, to Diploma and Graduate Diploma/ Bachelor level qualifications in both industry and adult education. </w:t>
      </w:r>
    </w:p>
    <w:p w14:paraId="2FBB7547" w14:textId="7449084F" w:rsidR="00BD3ACC" w:rsidRDefault="007475A4" w:rsidP="002E6A69">
      <w:pPr>
        <w:pStyle w:val="Bodycopy"/>
      </w:pPr>
      <w:r>
        <w:t xml:space="preserve">The Australian Institute for Teaching and School Leadership (AITSL) also has four levels of teaching standards from graduate to proficient, highly accomplished and lead but does not apply to VET. After graduation, secondary, primary and some early childhood teachers (depending on the jurisdiction) must apply for provisional registration and work towards full registration which equates to the proficient level of </w:t>
      </w:r>
      <w:r w:rsidRPr="00FE3553">
        <w:t>the Teacher Standards.</w:t>
      </w:r>
      <w:r w:rsidR="00FE3553">
        <w:rPr>
          <w:rStyle w:val="EndnoteReference"/>
        </w:rPr>
        <w:endnoteReference w:id="44"/>
      </w:r>
      <w:r>
        <w:t xml:space="preserve"> </w:t>
      </w:r>
    </w:p>
    <w:p w14:paraId="65312E09" w14:textId="0E43D213" w:rsidR="007475A4" w:rsidRDefault="007475A4" w:rsidP="002E6A69">
      <w:pPr>
        <w:pStyle w:val="Bodycopy"/>
      </w:pPr>
      <w:r>
        <w:t>There are seven standards, each with six criteria across the areas of professional knowledge, practice, and engagement for teachers to refer and progress through. NCVER has noted that in some locally developed VET frameworks, these standards are used as guidelines rather than prescriptions.</w:t>
      </w:r>
      <w:r w:rsidR="00FE3553">
        <w:rPr>
          <w:rStyle w:val="EndnoteReference"/>
        </w:rPr>
        <w:endnoteReference w:id="45"/>
      </w:r>
    </w:p>
    <w:p w14:paraId="2AC00B21" w14:textId="77777777" w:rsidR="007475A4" w:rsidRDefault="007475A4" w:rsidP="002E6A69">
      <w:pPr>
        <w:pStyle w:val="Bodycopy"/>
        <w:rPr>
          <w:rFonts w:eastAsia="Arial" w:cs="Arial"/>
        </w:rPr>
      </w:pPr>
      <w:r>
        <w:t>Over time, an occupational framework for VET teaching roles in conjunction with the RTO Standards could be adapted or developed to support career progression more formally. However, this does need to be balanced with the unique nature of VET including the requirement to maintain dual competency. As 2021 NCVER research into building capability and quality in VET teaching found there are mixed views on mandatory registration and limited appetite for nationally prescribed capability frameworks. However:</w:t>
      </w:r>
    </w:p>
    <w:p w14:paraId="2477AE22" w14:textId="56854E1E" w:rsidR="007475A4" w:rsidRPr="00E16D4F" w:rsidRDefault="007475A4" w:rsidP="00052446">
      <w:pPr>
        <w:pStyle w:val="Quote"/>
      </w:pPr>
      <w:r w:rsidRPr="00E16D4F">
        <w:t>Stakeholders are generally united on the need to implement systematic approaches</w:t>
      </w:r>
      <w:r w:rsidR="00AA0240" w:rsidRPr="00E16D4F">
        <w:t xml:space="preserve"> </w:t>
      </w:r>
      <w:r w:rsidR="002E6A69">
        <w:br/>
      </w:r>
      <w:r w:rsidRPr="00E16D4F">
        <w:t xml:space="preserve">to teacher preparation, mentorship support and opportunities for continuing </w:t>
      </w:r>
      <w:r w:rsidR="002E6A69">
        <w:br/>
      </w:r>
      <w:r w:rsidRPr="00E16D4F">
        <w:t>professional development.</w:t>
      </w:r>
      <w:r w:rsidR="00FE3553">
        <w:rPr>
          <w:rStyle w:val="EndnoteReference"/>
        </w:rPr>
        <w:endnoteReference w:id="46"/>
      </w:r>
    </w:p>
    <w:p w14:paraId="1E600A39" w14:textId="6C558FB5" w:rsidR="007475A4" w:rsidRDefault="007475A4" w:rsidP="00E16D4F">
      <w:pPr>
        <w:pStyle w:val="Bodycopy"/>
      </w:pPr>
      <w:r w:rsidRPr="3D275CDE">
        <w:t>Wheelahan and Moodie (2011)</w:t>
      </w:r>
      <w:r w:rsidR="00FE3553">
        <w:t xml:space="preserve"> </w:t>
      </w:r>
      <w:r w:rsidRPr="3D275CDE">
        <w:t>recommended a nested model of teaching qualifications accompanied by appropriate CPD and mentoring</w:t>
      </w:r>
      <w:r w:rsidR="00B5088D">
        <w:t>,</w:t>
      </w:r>
      <w:r w:rsidRPr="3D275CDE">
        <w:t xml:space="preserve"> to support new entrants as they transition from new to accomplished teacher and to educational leader if they choose to and remains a sensible approach for a VET occupational framework.</w:t>
      </w:r>
      <w:r w:rsidR="00FE3553">
        <w:rPr>
          <w:rStyle w:val="EndnoteReference"/>
        </w:rPr>
        <w:endnoteReference w:id="47"/>
      </w:r>
    </w:p>
    <w:p w14:paraId="17F113DD" w14:textId="2CE91579" w:rsidR="00BD3ACC" w:rsidRDefault="007475A4" w:rsidP="00E16D4F">
      <w:pPr>
        <w:pStyle w:val="Bodycopy"/>
      </w:pPr>
      <w:r>
        <w:lastRenderedPageBreak/>
        <w:t xml:space="preserve">Considering the above, this study profiles </w:t>
      </w:r>
      <w:r w:rsidR="00CC6D50">
        <w:t>VET teachers</w:t>
      </w:r>
      <w:r>
        <w:t>, trainers, and assessors across a spectrum of entry-level roles working under supervision and that are focused almost exclusively on training and assessment to roles with broader and extended responsibilities and scope. It should not be assumed that all training providers have</w:t>
      </w:r>
      <w:r w:rsidRPr="294321A8">
        <w:rPr>
          <w:i/>
          <w:iCs/>
        </w:rPr>
        <w:t xml:space="preserve"> all</w:t>
      </w:r>
      <w:r>
        <w:t xml:space="preserve"> or </w:t>
      </w:r>
      <w:r w:rsidRPr="294321A8">
        <w:rPr>
          <w:i/>
          <w:iCs/>
        </w:rPr>
        <w:t>only</w:t>
      </w:r>
      <w:r>
        <w:t xml:space="preserve"> these teaching levels or classifications. As the forthcoming job profiling shows, linear progression through these levels is not the only option, progression and pathways between teaching and non-teaching roles and even segments in VET</w:t>
      </w:r>
      <w:r w:rsidR="002A5638">
        <w:t>,</w:t>
      </w:r>
      <w:r>
        <w:t xml:space="preserve"> routinely occur. </w:t>
      </w:r>
    </w:p>
    <w:p w14:paraId="6574E533" w14:textId="458EF245" w:rsidR="007475A4" w:rsidRDefault="007475A4" w:rsidP="00E16D4F">
      <w:pPr>
        <w:pStyle w:val="Bodycopy"/>
      </w:pPr>
      <w:r>
        <w:t>Moreover, in the smallest RTOs, the lead teacher in a program may also be the sole trainer and assessor in that program or a CEO or RTO Manager</w:t>
      </w:r>
      <w:r w:rsidR="00BF458A">
        <w:t>,</w:t>
      </w:r>
      <w:r>
        <w:t xml:space="preserve"> may indeed have some teaching responsibilities. In contrast, larger TAFEs may have significantly more classification teaching levels with pay scale and qualification credentials to match. </w:t>
      </w:r>
    </w:p>
    <w:p w14:paraId="7965567B" w14:textId="0950B96D" w:rsidR="00E50448" w:rsidRPr="00E50448" w:rsidRDefault="006730A7" w:rsidP="00E16D4F">
      <w:pPr>
        <w:pStyle w:val="Bodycopy"/>
      </w:pPr>
      <w:hyperlink w:anchor="Figure_3_2" w:history="1">
        <w:r w:rsidR="007475A4" w:rsidRPr="002075A4">
          <w:rPr>
            <w:rStyle w:val="Hyperlink"/>
          </w:rPr>
          <w:t>Figure 3.2</w:t>
        </w:r>
      </w:hyperlink>
      <w:r w:rsidR="007475A4">
        <w:t xml:space="preserve"> shows the JSA spectrum of </w:t>
      </w:r>
      <w:r w:rsidR="00CB29F6">
        <w:t>Teach, Train, and Assess</w:t>
      </w:r>
      <w:r w:rsidR="007475A4">
        <w:t xml:space="preserve"> roles and </w:t>
      </w:r>
      <w:hyperlink w:anchor="Figure_3_3" w:history="1">
        <w:r w:rsidR="007475A4" w:rsidRPr="002075A4">
          <w:rPr>
            <w:rStyle w:val="Hyperlink"/>
          </w:rPr>
          <w:t xml:space="preserve">Figure </w:t>
        </w:r>
        <w:r w:rsidR="006315E3" w:rsidRPr="002075A4">
          <w:rPr>
            <w:rStyle w:val="Hyperlink"/>
          </w:rPr>
          <w:t>3</w:t>
        </w:r>
        <w:r w:rsidR="007475A4" w:rsidRPr="002075A4">
          <w:rPr>
            <w:rStyle w:val="Hyperlink"/>
          </w:rPr>
          <w:t>.3</w:t>
        </w:r>
      </w:hyperlink>
      <w:r w:rsidR="007475A4">
        <w:t xml:space="preserve"> illustrates the entry-pathways into VET and the </w:t>
      </w:r>
      <w:r w:rsidR="007475A4" w:rsidRPr="00E50448">
        <w:t>potential progressions</w:t>
      </w:r>
      <w:r w:rsidR="007475A4">
        <w:t xml:space="preserve"> across roles and segments.</w:t>
      </w:r>
    </w:p>
    <w:p w14:paraId="5299FB73" w14:textId="65680B47" w:rsidR="007475A4" w:rsidRDefault="007475A4" w:rsidP="00963EBC">
      <w:pPr>
        <w:pStyle w:val="Caption"/>
        <w:keepNext/>
        <w:spacing w:after="120"/>
      </w:pPr>
      <w:bookmarkStart w:id="155" w:name="Figure_3_2"/>
      <w:r>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4071C1">
        <w:t>.</w:t>
      </w:r>
      <w:r w:rsidR="006558DC">
        <w:fldChar w:fldCharType="begin"/>
      </w:r>
      <w:r w:rsidR="006558DC">
        <w:instrText xml:space="preserve"> SEQ Figure \* ARABIC \s 1 </w:instrText>
      </w:r>
      <w:r w:rsidR="006558DC">
        <w:fldChar w:fldCharType="separate"/>
      </w:r>
      <w:r w:rsidR="00E7704E">
        <w:rPr>
          <w:noProof/>
        </w:rPr>
        <w:t>2</w:t>
      </w:r>
      <w:r w:rsidR="006558DC">
        <w:fldChar w:fldCharType="end"/>
      </w:r>
      <w:r>
        <w:t xml:space="preserve"> A spectrum of VET Teach, Train, and Assess roles</w:t>
      </w:r>
    </w:p>
    <w:bookmarkEnd w:id="155"/>
    <w:p w14:paraId="6CBF645E" w14:textId="13FF1139" w:rsidR="00E50448" w:rsidRPr="00963EBC" w:rsidRDefault="00ED32E4" w:rsidP="00963EBC">
      <w:pPr>
        <w:spacing w:before="120"/>
        <w:rPr>
          <w:lang w:val="en-US"/>
        </w:rPr>
      </w:pPr>
      <w:r>
        <w:rPr>
          <w:noProof/>
          <w:lang w:val="en-US"/>
        </w:rPr>
        <w:drawing>
          <wp:inline distT="0" distB="0" distL="0" distR="0" wp14:anchorId="6F8FF39B" wp14:editId="7BEF108B">
            <wp:extent cx="5648400" cy="3710144"/>
            <wp:effectExtent l="0" t="0" r="0" b="5080"/>
            <wp:docPr id="1069108103" name="Picture 1" descr="The diagram outlines the various job profiles that are discussed in the report and the spectrums of scope of practice (focused, broad and extended), focus of accountability and extent of responsibility and autonomy that informed the construction of Teach, Train and Assess job profiles. It provides a hypothetical career along the spectrum. This is detailed in the proceeding pages in this chapte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108103" name="Picture 1" descr="The diagram outlines the various job profiles that are discussed in the report and the spectrums of scope of practice (focused, broad and extended), focus of accountability and extent of responsibility and autonomy that informed the construction of Teach, Train and Assess job profiles. It provides a hypothetical career along the spectrum. This is detailed in the proceeding pages in this chapter. &#10;"/>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48400" cy="3710144"/>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r w:rsidR="00E50448">
        <w:br/>
      </w:r>
      <w:r w:rsidR="00963EBC">
        <w:br/>
      </w:r>
      <w:r w:rsidR="007475A4" w:rsidRPr="00E50448">
        <w:t>Workforce data from</w:t>
      </w:r>
      <w:r w:rsidR="002544FA" w:rsidRPr="00E50448">
        <w:t xml:space="preserve"> </w:t>
      </w:r>
      <w:r w:rsidR="007475A4" w:rsidRPr="00E50448">
        <w:t xml:space="preserve">TAFE Queensland provides insight into the proportion of educator staff in a large RTO that make up different roles across the spectrum, as well as the diversity of work tasks they perform. In this organisation, ‘Foundation Educators’ work under supervision and make up a small proportion of the educator workforce (1.1%). </w:t>
      </w:r>
    </w:p>
    <w:p w14:paraId="3C6A9BCB" w14:textId="2B440D4F" w:rsidR="007475A4" w:rsidRPr="00E50448" w:rsidRDefault="007475A4" w:rsidP="00E16D4F">
      <w:pPr>
        <w:pStyle w:val="Bodycopy"/>
      </w:pPr>
      <w:r w:rsidRPr="00E50448">
        <w:t xml:space="preserve">The bulk of educator staff are classified as ‘Teachers and Senior Teacher’ (63.2%) with a smaller proportion of ‘Leading Vocational Teacher’ (11.9%). TAFE Queensland also has on staff ‘Short Course Facilitators’ (.06%), ‘Community Education Lecturers and Teachers’ (0.2%), ‘Higher Education Educators’ (0.4%), ‘Associate Lecturers, Lecturers, and Senior Lecturers’ (1.3%). Finally, ‘Educational Team Leader’ make up 3.9% of the educator workforce. </w:t>
      </w:r>
    </w:p>
    <w:p w14:paraId="2D4226ED" w14:textId="5A5F237A" w:rsidR="007475A4" w:rsidRDefault="4D082D78" w:rsidP="00BD5ACA">
      <w:pPr>
        <w:pStyle w:val="Caption"/>
        <w:keepNext/>
      </w:pPr>
      <w:bookmarkStart w:id="156" w:name="Figure_3_3"/>
      <w:r>
        <w:lastRenderedPageBreak/>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4071C1">
        <w:t>.</w:t>
      </w:r>
      <w:r w:rsidR="006558DC">
        <w:fldChar w:fldCharType="begin"/>
      </w:r>
      <w:r w:rsidR="006558DC">
        <w:instrText xml:space="preserve"> SEQ Figure \* ARABIC \s 1 </w:instrText>
      </w:r>
      <w:r w:rsidR="006558DC">
        <w:fldChar w:fldCharType="separate"/>
      </w:r>
      <w:r w:rsidR="00E7704E">
        <w:rPr>
          <w:noProof/>
        </w:rPr>
        <w:t>3</w:t>
      </w:r>
      <w:r w:rsidR="006558DC">
        <w:fldChar w:fldCharType="end"/>
      </w:r>
      <w:r>
        <w:t xml:space="preserve"> Potential pathways and progressions into VET roles and segments</w:t>
      </w:r>
      <w:bookmarkEnd w:id="156"/>
      <w:r w:rsidR="003A25DF">
        <w:br/>
      </w:r>
    </w:p>
    <w:p w14:paraId="6A8C1C39" w14:textId="3C3351C7" w:rsidR="00EB26A9" w:rsidRDefault="075FEAC5" w:rsidP="007475A4">
      <w:pPr>
        <w:keepNext/>
        <w:keepLines/>
      </w:pPr>
      <w:r>
        <w:rPr>
          <w:noProof/>
        </w:rPr>
        <w:drawing>
          <wp:inline distT="0" distB="0" distL="0" distR="0" wp14:anchorId="406C4AEA" wp14:editId="739E39EB">
            <wp:extent cx="5741670" cy="5040000"/>
            <wp:effectExtent l="0" t="0" r="0" b="8255"/>
            <wp:docPr id="901516355" name="Picture 16" descr="Potential pathways and progressions into VET roles and seg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516355" name="Picture 16" descr="Potential pathways and progressions into VET roles and segments"/>
                    <pic:cNvPicPr/>
                  </pic:nvPicPr>
                  <pic:blipFill rotWithShape="1">
                    <a:blip r:embed="rId40" cstate="print">
                      <a:extLst>
                        <a:ext uri="{28A0092B-C50C-407E-A947-70E740481C1C}">
                          <a14:useLocalDpi xmlns:a14="http://schemas.microsoft.com/office/drawing/2010/main" val="0"/>
                        </a:ext>
                      </a:extLst>
                    </a:blip>
                    <a:srcRect t="-997" b="-2475"/>
                    <a:stretch/>
                  </pic:blipFill>
                  <pic:spPr bwMode="auto">
                    <a:xfrm>
                      <a:off x="0" y="0"/>
                      <a:ext cx="5745600" cy="5043450"/>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61F32ED7" w14:textId="2FD515FC" w:rsidR="007475A4" w:rsidRDefault="007475A4" w:rsidP="002D4813">
      <w:pPr>
        <w:pStyle w:val="Heading4"/>
      </w:pPr>
      <w:r>
        <w:t xml:space="preserve">Focused </w:t>
      </w:r>
      <w:r w:rsidR="00CB29F6">
        <w:t>Teach, Train, and Assess</w:t>
      </w:r>
      <w:r>
        <w:t xml:space="preserve"> Roles </w:t>
      </w:r>
    </w:p>
    <w:p w14:paraId="4958E637" w14:textId="09F449A2" w:rsidR="007475A4" w:rsidRDefault="007475A4" w:rsidP="00E16D4F">
      <w:pPr>
        <w:pStyle w:val="Bodycopy"/>
      </w:pPr>
      <w:r>
        <w:t>This section profiles entry-level and</w:t>
      </w:r>
      <w:r w:rsidDel="00223254">
        <w:t xml:space="preserve"> </w:t>
      </w:r>
      <w:r>
        <w:t xml:space="preserve">other focused </w:t>
      </w:r>
      <w:r w:rsidR="00CB29F6">
        <w:t>Teach, Train, and Assess</w:t>
      </w:r>
      <w:r>
        <w:t xml:space="preserve"> roles including the core duties of those working under supervision, assessing only or in the early years of their VET teaching career. It also profiles workplace trainers who are common in enterprise RTOs and embedded in industry and/or workplaces. These roles are focused on supervising and mentoring apprentices, delivering non-accredited training, managing training within the organisation</w:t>
      </w:r>
      <w:r w:rsidR="00567923">
        <w:t>,</w:t>
      </w:r>
      <w:r>
        <w:t xml:space="preserve"> or delivering subject-only training in a volunteer capacity.</w:t>
      </w:r>
    </w:p>
    <w:p w14:paraId="7284AC56" w14:textId="77777777" w:rsidR="007475A4" w:rsidRDefault="007475A4" w:rsidP="007475A4">
      <w:pPr>
        <w:pStyle w:val="Heading5"/>
        <w:keepNext/>
        <w:keepLines/>
      </w:pPr>
      <w:r>
        <w:t>Entry level ‘working under supervision’ to established teaching roles</w:t>
      </w:r>
    </w:p>
    <w:p w14:paraId="66D44FB5" w14:textId="77D55142" w:rsidR="007475A4" w:rsidRDefault="007475A4" w:rsidP="00E16D4F">
      <w:pPr>
        <w:pStyle w:val="Bodycopy"/>
      </w:pPr>
      <w:r>
        <w:t xml:space="preserve">Working </w:t>
      </w:r>
      <w:r w:rsidR="00961A50">
        <w:t>u</w:t>
      </w:r>
      <w:r>
        <w:t xml:space="preserve">nder </w:t>
      </w:r>
      <w:r w:rsidR="00961A50">
        <w:t>s</w:t>
      </w:r>
      <w:r>
        <w:t xml:space="preserve">upervision is a clear point of entry into the VET workforce for industry practitioners. Prior to March 2024, industry practitioners needed to have demonstrated specific skill sets and be working towards the Certificate IV TAE. However, from March 2024, any industry practitioner who is actively working towards the Certificate IV TAE and/or any </w:t>
      </w:r>
      <w:r w:rsidR="00961A50">
        <w:t>Secondary</w:t>
      </w:r>
      <w:r>
        <w:t xml:space="preserve"> School Teacher who is qualified to register in any state or territory</w:t>
      </w:r>
      <w:r w:rsidR="008172C4">
        <w:t>,</w:t>
      </w:r>
      <w:r>
        <w:t xml:space="preserve"> can teach under supervision in VET. This expands the entry pathways into VET teaching roles but with this change it will be important to uphold the unique offer of VET and need for adult education theory, practice and instruction (andragogy) in VET qualifications. </w:t>
      </w:r>
    </w:p>
    <w:p w14:paraId="0BAB1981" w14:textId="77777777" w:rsidR="007E2A12" w:rsidRDefault="007E2A12" w:rsidP="00E16D4F">
      <w:pPr>
        <w:pStyle w:val="Bodycopy"/>
      </w:pPr>
    </w:p>
    <w:p w14:paraId="7A02C551" w14:textId="77777777" w:rsidR="007475A4" w:rsidRDefault="007475A4" w:rsidP="00E16D4F">
      <w:pPr>
        <w:pStyle w:val="Bodycopy"/>
      </w:pPr>
      <w:r>
        <w:t>The main duties of a trainer and assessor operating under supervision may include:</w:t>
      </w:r>
    </w:p>
    <w:p w14:paraId="5758AA36" w14:textId="77777777" w:rsidR="007475A4" w:rsidRDefault="007475A4" w:rsidP="00D04786">
      <w:pPr>
        <w:pStyle w:val="ListBullet"/>
      </w:pPr>
      <w:r>
        <w:t>delivering training sessions for classroom, industry, distance or web-based learners in accordance with the relevant training product requirements under supervision;</w:t>
      </w:r>
    </w:p>
    <w:p w14:paraId="7F86C822" w14:textId="77777777" w:rsidR="007475A4" w:rsidRDefault="007475A4" w:rsidP="00D04786">
      <w:pPr>
        <w:pStyle w:val="ListBullet"/>
      </w:pPr>
      <w:r>
        <w:t>conducting assessment of learner capability using approved assessment strategies under supervision; and</w:t>
      </w:r>
    </w:p>
    <w:p w14:paraId="70B8BD7B" w14:textId="58E95531" w:rsidR="007475A4" w:rsidRDefault="007475A4" w:rsidP="00D04786">
      <w:pPr>
        <w:pStyle w:val="ListBullet"/>
      </w:pPr>
      <w:r>
        <w:t xml:space="preserve">the more generalist duties of all </w:t>
      </w:r>
      <w:r w:rsidR="00CC6D50">
        <w:t>VET teachers</w:t>
      </w:r>
      <w:r>
        <w:t xml:space="preserve"> as outlined in </w:t>
      </w:r>
      <w:hyperlink w:anchor="Figure_3_4" w:history="1">
        <w:r w:rsidRPr="007B7CF2">
          <w:rPr>
            <w:rStyle w:val="Hyperlink"/>
          </w:rPr>
          <w:t>Figure 3.4</w:t>
        </w:r>
      </w:hyperlink>
      <w:r>
        <w:t>.</w:t>
      </w:r>
    </w:p>
    <w:p w14:paraId="7A49FEB5" w14:textId="1EFAE320" w:rsidR="007475A4" w:rsidRDefault="007475A4" w:rsidP="00E16D4F">
      <w:pPr>
        <w:pStyle w:val="Bodycopy"/>
      </w:pPr>
      <w:r>
        <w:t xml:space="preserve">Trainers and assessors working under supervision may deliver a narrower range of units and potentially use learning and assessment materials that have been designed by someone else. They are also typically not responsible for the provider’s learning and assessment strategy for the units or qualifications they are delivering. However, they do develop their own </w:t>
      </w:r>
      <w:r w:rsidR="006970CF" w:rsidRPr="006970CF">
        <w:t xml:space="preserve">pedagogical </w:t>
      </w:r>
      <w:r>
        <w:t>approach including teaching materials and instruction.</w:t>
      </w:r>
    </w:p>
    <w:p w14:paraId="23ABDB5A" w14:textId="77777777" w:rsidR="007E2A12" w:rsidRDefault="007475A4" w:rsidP="00E16D4F">
      <w:pPr>
        <w:pStyle w:val="Bodycopy"/>
      </w:pPr>
      <w:r w:rsidRPr="59D8145D">
        <w:t xml:space="preserve">More broadly, across the spectrum of entry-level Working Under Supervision to more narrowly focused teaching roles there is less expectation to assess individual learner needs and put support strategies in place. </w:t>
      </w:r>
    </w:p>
    <w:p w14:paraId="581D2B42" w14:textId="637D6055" w:rsidR="007E2A12" w:rsidRDefault="007475A4" w:rsidP="00E16D4F">
      <w:pPr>
        <w:pStyle w:val="Bodycopy"/>
      </w:pPr>
      <w:r w:rsidRPr="59D8145D">
        <w:t>For example, the extent of authority of an entry/graduate-level trainer and assessor per the enterprise agreement classification standards in one large dual sector provider</w:t>
      </w:r>
      <w:r w:rsidR="00560528">
        <w:t>,</w:t>
      </w:r>
      <w:r w:rsidRPr="59D8145D">
        <w:t xml:space="preserve"> is to refer learning difficulties to other program areas and/or staff.</w:t>
      </w:r>
      <w:r w:rsidR="00FE3553">
        <w:rPr>
          <w:rStyle w:val="EndnoteReference"/>
        </w:rPr>
        <w:endnoteReference w:id="48"/>
      </w:r>
      <w:r>
        <w:t xml:space="preserve"> However, the level of expectation may differ based on the size of the RTO and the characteristics of the learner cohort. </w:t>
      </w:r>
    </w:p>
    <w:p w14:paraId="03BD5CAB" w14:textId="3DFE194B" w:rsidR="007475A4" w:rsidDel="007B1514" w:rsidRDefault="007475A4" w:rsidP="00E16D4F">
      <w:pPr>
        <w:pStyle w:val="Bodycopy"/>
      </w:pPr>
      <w:r>
        <w:t>For instance, an increasingly established trainer and assessor may be required to take a more active role in adapting teaching strategies and materials</w:t>
      </w:r>
      <w:r w:rsidR="0068125A">
        <w:t>,</w:t>
      </w:r>
      <w:r>
        <w:t xml:space="preserve"> to </w:t>
      </w:r>
      <w:r w:rsidR="00FC7E49">
        <w:t xml:space="preserve">suit </w:t>
      </w:r>
      <w:r>
        <w:t>different learner needs at a small community-based provider delivering foundation skills training to adults with low language, literacy, numeracy, or digital skills.</w:t>
      </w:r>
    </w:p>
    <w:p w14:paraId="1298C9CA" w14:textId="208BF430" w:rsidR="007475A4" w:rsidRDefault="007475A4" w:rsidP="00E16D4F">
      <w:pPr>
        <w:pStyle w:val="Bodycopy"/>
      </w:pPr>
      <w:r>
        <w:t xml:space="preserve">Once a teacher, trainer or assessor gains the Certificate IV TAE credential, core duties largely remain the same but are not performed under supervision as outlined in </w:t>
      </w:r>
      <w:hyperlink w:anchor="Figure_3_5" w:history="1">
        <w:r w:rsidRPr="007B7CF2">
          <w:rPr>
            <w:rStyle w:val="Hyperlink"/>
          </w:rPr>
          <w:t>Figure 3.5</w:t>
        </w:r>
      </w:hyperlink>
      <w:r w:rsidRPr="005B2822">
        <w:t>.</w:t>
      </w:r>
      <w:r>
        <w:t xml:space="preserve"> Where a collective agreement is applicable, focused entry-level roles are generally described as Trainer and Assessor – Level A, Teacher – Level 1, Teacher – Base Grade, Lecturer – Grade 1, VET Tutor or other similar terms. For example,</w:t>
      </w:r>
      <w:r w:rsidDel="00D76F6A">
        <w:t xml:space="preserve"> </w:t>
      </w:r>
      <w:r>
        <w:t>TAFE Queensland has a Foundation Educator pathway and TAFE SA positions teachers under supervision as ‘New Lecturers’.</w:t>
      </w:r>
    </w:p>
    <w:p w14:paraId="166A27DA" w14:textId="77777777" w:rsidR="007B0DC7" w:rsidRDefault="007B0DC7">
      <w:pPr>
        <w:rPr>
          <w:b/>
          <w:sz w:val="20"/>
          <w:lang w:val="en-US"/>
        </w:rPr>
      </w:pPr>
      <w:r>
        <w:br w:type="page"/>
      </w:r>
    </w:p>
    <w:p w14:paraId="1F6B464E" w14:textId="27183672" w:rsidR="00AD1AF4" w:rsidRDefault="007475A4" w:rsidP="007F37C3">
      <w:pPr>
        <w:pStyle w:val="Caption"/>
      </w:pPr>
      <w:bookmarkStart w:id="157" w:name="Figure_3_4"/>
      <w:r>
        <w:lastRenderedPageBreak/>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4C455A">
        <w:t>.</w:t>
      </w:r>
      <w:r w:rsidR="006558DC">
        <w:fldChar w:fldCharType="begin"/>
      </w:r>
      <w:r w:rsidR="006558DC">
        <w:instrText xml:space="preserve"> SEQ Figure \* ARABIC \s 1 </w:instrText>
      </w:r>
      <w:r w:rsidR="006558DC">
        <w:fldChar w:fldCharType="separate"/>
      </w:r>
      <w:r w:rsidR="00E7704E">
        <w:rPr>
          <w:noProof/>
        </w:rPr>
        <w:t>4</w:t>
      </w:r>
      <w:r w:rsidR="006558DC">
        <w:fldChar w:fldCharType="end"/>
      </w:r>
      <w:r>
        <w:t xml:space="preserve"> </w:t>
      </w:r>
      <w:r w:rsidR="00403DAC">
        <w:t>‘</w:t>
      </w:r>
      <w:r>
        <w:t xml:space="preserve">Working </w:t>
      </w:r>
      <w:r w:rsidR="00403DAC">
        <w:t>u</w:t>
      </w:r>
      <w:r>
        <w:t xml:space="preserve">nder </w:t>
      </w:r>
      <w:r w:rsidR="00403DAC">
        <w:t>s</w:t>
      </w:r>
      <w:r>
        <w:t>upervision</w:t>
      </w:r>
      <w:r w:rsidR="00403DAC">
        <w:t>’</w:t>
      </w:r>
      <w:r>
        <w:t xml:space="preserve"> roles</w:t>
      </w:r>
    </w:p>
    <w:bookmarkEnd w:id="157"/>
    <w:p w14:paraId="07761977" w14:textId="0672916B" w:rsidR="00585A14" w:rsidRDefault="007B0DC7" w:rsidP="007F37C3">
      <w:pPr>
        <w:pStyle w:val="Caption"/>
      </w:pPr>
      <w:r>
        <w:rPr>
          <w:noProof/>
        </w:rPr>
        <w:drawing>
          <wp:inline distT="0" distB="0" distL="0" distR="0" wp14:anchorId="74415CD5" wp14:editId="11C8886A">
            <wp:extent cx="5652000" cy="7373033"/>
            <wp:effectExtent l="0" t="0" r="6350" b="0"/>
            <wp:docPr id="1362690100" name="Picture 2" descr="Core duties: &#10;Deliver training sessions for classroom, industry, distance or web-based learners under supervision.&#10;Conduct assessment of learner capability using approved assessment strategies under supervision.&#10;Undertake professional development in educational and technical disciplines. &#10;Establish and maintaining networks with industry, relevant VET bodies and other stakeholders.&#10;Comply with appropriate legislative requirements and organisational policies, including with respect to record-keeping and reporting.&#10;Participate in continuous improvement processes, including in relation to their own performance.&#10;&#10;Commonly found in:&#10;TAFEs.&#10;Dual sector institutions.&#10;Multi-field independent RTOs.&#10;Subject specialist independent RTOs.&#10;Enterprise RTOs.&#10;School-based RTOs.&#10;ACE providers.&#10;&#10;Typical employment arrangements:&#10;May be full-time, part-time, casual or sessional.&#10;Often part-time, sessional or casual upon commencement in role.&#10;&#10;Job pathways in:&#10;Industry practitioner (e.g. chef, childcare worker, mechanic).&#10;Training &amp; Development Professional.&#10;Secondary school teacher (From March 2024).&#10;&#10;Job pathways out:&#10;Further study to become a School teacher.&#10;Education Adviser or curriculum and learning design roles.&#10;Training &amp; Development Professional.&#10;&#10;Career progression:&#10;Become a trainer not under supervision.&#10;Promotion through teaching levels towards leadership.&#10;Transition from casual/fixed term contract to permanent position.&#10;&#10;Education &amp; training:&#10;Minimum requirements per RTO Standards, as completed Skill Sets and is working towards the Certificate IV TAE.&#10;Moving on to obtain Certificate IV or Diploma TAE.&#10;(March 2024 change: Anyone ‘actively working towards’ Cert IV/Diploma from TAE Training Package or Qualified to register as a Secondary School Teach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690100" name="Picture 2" descr="Core duties: &#10;Deliver training sessions for classroom, industry, distance or web-based learners under supervision.&#10;Conduct assessment of learner capability using approved assessment strategies under supervision.&#10;Undertake professional development in educational and technical disciplines. &#10;Establish and maintaining networks with industry, relevant VET bodies and other stakeholders.&#10;Comply with appropriate legislative requirements and organisational policies, including with respect to record-keeping and reporting.&#10;Participate in continuous improvement processes, including in relation to their own performance.&#10;&#10;Commonly found in:&#10;TAFEs.&#10;Dual sector institutions.&#10;Multi-field independent RTOs.&#10;Subject specialist independent RTOs.&#10;Enterprise RTOs.&#10;School-based RTOs.&#10;ACE providers.&#10;&#10;Typical employment arrangements:&#10;May be full-time, part-time, casual or sessional.&#10;Often part-time, sessional or casual upon commencement in role.&#10;&#10;Job pathways in:&#10;Industry practitioner (e.g. chef, childcare worker, mechanic).&#10;Training &amp; Development Professional.&#10;Secondary school teacher (From March 2024).&#10;&#10;Job pathways out:&#10;Further study to become a School teacher.&#10;Education Adviser or curriculum and learning design roles.&#10;Training &amp; Development Professional.&#10;&#10;Career progression:&#10;Become a trainer not under supervision.&#10;Promotion through teaching levels towards leadership.&#10;Transition from casual/fixed term contract to permanent position.&#10;&#10;Education &amp; training:&#10;Minimum requirements per RTO Standards, as completed Skill Sets and is working towards the Certificate IV TAE.&#10;Moving on to obtain Certificate IV or Diploma TAE.&#10;(March 2024 change: Anyone ‘actively working towards’ Cert IV/Diploma from TAE Training Package or Qualified to register as a Secondary School Teacher)&#1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52000" cy="7373033"/>
                    </a:xfrm>
                    <a:prstGeom prst="rect">
                      <a:avLst/>
                    </a:prstGeom>
                    <a:solidFill>
                      <a:schemeClr val="bg1"/>
                    </a:solidFill>
                  </pic:spPr>
                </pic:pic>
              </a:graphicData>
            </a:graphic>
          </wp:inline>
        </w:drawing>
      </w:r>
    </w:p>
    <w:p w14:paraId="3AC63222" w14:textId="73B9CDF0" w:rsidR="007475A4" w:rsidRPr="007F37C3" w:rsidRDefault="007475A4" w:rsidP="007F37C3">
      <w:pPr>
        <w:pStyle w:val="Caption"/>
      </w:pPr>
      <w:r>
        <w:br w:type="page"/>
      </w:r>
    </w:p>
    <w:p w14:paraId="607E1D2A" w14:textId="65DBD680" w:rsidR="007475A4" w:rsidRPr="0086110C" w:rsidRDefault="4D082D78" w:rsidP="007475A4">
      <w:pPr>
        <w:pStyle w:val="Caption"/>
      </w:pPr>
      <w:bookmarkStart w:id="158" w:name="Figure_3_5"/>
      <w:r>
        <w:lastRenderedPageBreak/>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4C455A">
        <w:t>.</w:t>
      </w:r>
      <w:r w:rsidR="006558DC">
        <w:fldChar w:fldCharType="begin"/>
      </w:r>
      <w:r w:rsidR="006558DC">
        <w:instrText xml:space="preserve"> SEQ Figure \* ARABIC \s 1 </w:instrText>
      </w:r>
      <w:r w:rsidR="006558DC">
        <w:fldChar w:fldCharType="separate"/>
      </w:r>
      <w:r w:rsidR="00E7704E">
        <w:rPr>
          <w:noProof/>
        </w:rPr>
        <w:t>5</w:t>
      </w:r>
      <w:r w:rsidR="006558DC">
        <w:fldChar w:fldCharType="end"/>
      </w:r>
      <w:r>
        <w:t xml:space="preserve"> </w:t>
      </w:r>
      <w:r w:rsidR="00CB29F6">
        <w:t>Teach, Train, and Assess</w:t>
      </w:r>
      <w:r w:rsidR="621BDF5D">
        <w:t xml:space="preserve"> roles with focused scope</w:t>
      </w:r>
    </w:p>
    <w:bookmarkEnd w:id="158"/>
    <w:p w14:paraId="28AB4E81" w14:textId="772E9EEE" w:rsidR="00C342BE" w:rsidRDefault="37C00774" w:rsidP="00DE73B7">
      <w:r>
        <w:rPr>
          <w:noProof/>
        </w:rPr>
        <w:drawing>
          <wp:inline distT="0" distB="0" distL="0" distR="0" wp14:anchorId="5AA59B1A" wp14:editId="7DA082D8">
            <wp:extent cx="5652000" cy="6727092"/>
            <wp:effectExtent l="0" t="0" r="6350" b="0"/>
            <wp:docPr id="1691090394" name="Picture 3" descr="Core duties: &#10;Deliver training sessions for classroom, industry, distance or web-based learners – likely only a small range of units of competency. May not deliver a full qualification.&#10;Conduct assessment of learner capability using approved assessment strategies. Note – some roles may not involve conducting assessment. &#10;Undertake professional development in educational and technical disciplines. &#10;Establish and maintain networks with industry and other stakeholders (more recent arrival from industry may mean stronger networks despite the more entry-level teaching role).&#10;Comply with appropriate legislative requirements and organisational policies, including with respect to record-keeping and reporting.&#10;Participate in continuous improvement processes, including in relation to their own performance.&#10;&#10;Commonly found in:&#10;TAFEs.&#10;Dual sector institutions.&#10;Multi-field independent RTOs.&#10;Subject specialist independent RTOs.&#10;Enterprise RTOs.&#10;ACE providers.&#10;&#10;Typical employment arrangements:&#10;May be full-time, part-time, casual or sessional.&#10;Often part-time, sessional or casual upon commencement in role.&#10;&#10;Job pathways in:&#10;Industry practitioner (e.g. chef, childcare worker, mechanic).&#10;Secondary school teacher.&#10;Training &amp; Development Professional.&#10;&#10;Job pathways out:&#10;Further study to become a School teacher.&#10;Education Adviser or curriculum and learning design roles.&#10;Training &amp; Development Professional.&#10;&#10;Career progression:&#10;Promotion through teaching levels towards leadership.&#10;Transition from casual/fixed term contract to permanent position.&#10;&#10;Education &amp; training:&#10;Minimum requirements per RTO Standards. Entry/established - Vocational competencies at least to level trained/assessed and has Certificate IV in Training and Assessment.&#10;Moving on to obtain Diploma TAE.&#10;(March 2024 change: Industry experts can teach 'alongside' trainers. Qualified to register as Secondary School Teacher and holds specific skill s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90394" name="Picture 3" descr="Core duties: &#10;Deliver training sessions for classroom, industry, distance or web-based learners – likely only a small range of units of competency. May not deliver a full qualification.&#10;Conduct assessment of learner capability using approved assessment strategies. Note – some roles may not involve conducting assessment. &#10;Undertake professional development in educational and technical disciplines. &#10;Establish and maintain networks with industry and other stakeholders (more recent arrival from industry may mean stronger networks despite the more entry-level teaching role).&#10;Comply with appropriate legislative requirements and organisational policies, including with respect to record-keeping and reporting.&#10;Participate in continuous improvement processes, including in relation to their own performance.&#10;&#10;Commonly found in:&#10;TAFEs.&#10;Dual sector institutions.&#10;Multi-field independent RTOs.&#10;Subject specialist independent RTOs.&#10;Enterprise RTOs.&#10;ACE providers.&#10;&#10;Typical employment arrangements:&#10;May be full-time, part-time, casual or sessional.&#10;Often part-time, sessional or casual upon commencement in role.&#10;&#10;Job pathways in:&#10;Industry practitioner (e.g. chef, childcare worker, mechanic).&#10;Secondary school teacher.&#10;Training &amp; Development Professional.&#10;&#10;Job pathways out:&#10;Further study to become a School teacher.&#10;Education Adviser or curriculum and learning design roles.&#10;Training &amp; Development Professional.&#10;&#10;Career progression:&#10;Promotion through teaching levels towards leadership.&#10;Transition from casual/fixed term contract to permanent position.&#10;&#10;Education &amp; training:&#10;Minimum requirements per RTO Standards. Entry/established - Vocational competencies at least to level trained/assessed and has Certificate IV in Training and Assessment.&#10;Moving on to obtain Diploma TAE.&#10;(March 2024 change: Industry experts can teach 'alongside' trainers. Qualified to register as Secondary School Teacher and holds specific skill set)&#1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52000" cy="6727092"/>
                    </a:xfrm>
                    <a:prstGeom prst="rect">
                      <a:avLst/>
                    </a:prstGeom>
                    <a:solidFill>
                      <a:schemeClr val="bg1"/>
                    </a:solidFill>
                  </pic:spPr>
                </pic:pic>
              </a:graphicData>
            </a:graphic>
          </wp:inline>
        </w:drawing>
      </w:r>
    </w:p>
    <w:p w14:paraId="4ACB3CED" w14:textId="529416CE" w:rsidR="007475A4" w:rsidRDefault="347EB015" w:rsidP="00E16D4F">
      <w:pPr>
        <w:pStyle w:val="Bodycopy"/>
      </w:pPr>
      <w:r>
        <w:t>From the perspective of career progression, in some cases entry-level or focused teachers, trainers, and assessors are financially supported or motivated to complete the Certificate IV, Diploma TAE or Associate Degree</w:t>
      </w:r>
      <w:r w:rsidR="257E5EFF">
        <w:t>,</w:t>
      </w:r>
      <w:r>
        <w:t xml:space="preserve"> to secure more full-time permanent teaching work. For example, the</w:t>
      </w:r>
      <w:r w:rsidRPr="3EA8C90E">
        <w:rPr>
          <w:rFonts w:asciiTheme="minorHAnsi" w:eastAsiaTheme="minorEastAsia" w:hAnsiTheme="minorHAnsi"/>
        </w:rPr>
        <w:t xml:space="preserve"> CIT enterprise agreement provides the opportunity for permanent and temporary employees on a contract of 3 years or more</w:t>
      </w:r>
      <w:r w:rsidR="64873A60" w:rsidRPr="3EA8C90E">
        <w:rPr>
          <w:rFonts w:asciiTheme="minorHAnsi" w:eastAsiaTheme="minorEastAsia" w:hAnsiTheme="minorHAnsi"/>
        </w:rPr>
        <w:t>,</w:t>
      </w:r>
      <w:r w:rsidRPr="3EA8C90E">
        <w:rPr>
          <w:rFonts w:asciiTheme="minorHAnsi" w:eastAsiaTheme="minorEastAsia" w:hAnsiTheme="minorHAnsi"/>
        </w:rPr>
        <w:t xml:space="preserve"> for a reduction of up to 150 hours in allocated annual teaching load for the attainment of an adult learning and development qualification. I</w:t>
      </w:r>
      <w:r>
        <w:t xml:space="preserve">ndustry training funds, such as the South Australian Construction Industry Training Board’s tradie2trainer initiative, is another example. In some cases, financial support is conditional on the trainer and assessor remaining with an RTO for a set period, e.g. at least 12 months. Other initiatives such as the TAFE NSW paid to learn program </w:t>
      </w:r>
      <w:r>
        <w:lastRenderedPageBreak/>
        <w:t>(see case study below)</w:t>
      </w:r>
      <w:r w:rsidR="13BCF676">
        <w:t>,</w:t>
      </w:r>
      <w:r>
        <w:t xml:space="preserve"> supports industry professionals to </w:t>
      </w:r>
      <w:r w:rsidR="60E487E5">
        <w:t xml:space="preserve">move </w:t>
      </w:r>
      <w:r>
        <w:t xml:space="preserve">into a VET teaching career through intensive paid training. </w:t>
      </w:r>
    </w:p>
    <w:p w14:paraId="17C91FFE" w14:textId="77777777" w:rsidR="00371CB6" w:rsidRDefault="347EB015" w:rsidP="00E16D4F">
      <w:pPr>
        <w:pStyle w:val="Bodycopy"/>
      </w:pPr>
      <w:r>
        <w:t>However, as we explore in t</w:t>
      </w:r>
      <w:r w:rsidRPr="5E1BBEDB">
        <w:t>he next chapter</w:t>
      </w:r>
      <w:r>
        <w:t xml:space="preserve">, relatively few teachers, trainers and assessors with the Certificate IV TAE pursue a diploma level qualification. This pathway is often more available and defined in larger providers, where this progression and relevant pay increments is outlined in enterprise agreements which incentivises further study. </w:t>
      </w:r>
    </w:p>
    <w:p w14:paraId="71ED2331" w14:textId="4759E142" w:rsidR="007475A4" w:rsidRDefault="347EB015" w:rsidP="00E16D4F">
      <w:pPr>
        <w:pStyle w:val="Bodycopy"/>
      </w:pPr>
      <w:r>
        <w:t>In small RTOs with more limited positions for teachers, trainers and assessors, progression may also be closely intertwined with movement of other staff causing a vacancy to open.</w:t>
      </w:r>
      <w:r w:rsidR="00FE3553">
        <w:rPr>
          <w:rStyle w:val="EndnoteReference"/>
        </w:rPr>
        <w:endnoteReference w:id="49"/>
      </w:r>
      <w:r>
        <w:t xml:space="preserve"> Alternatively, career progression for individuals who have recently entered the VET workforce may come in the form of </w:t>
      </w:r>
      <w:r w:rsidR="36E93F1F">
        <w:t xml:space="preserve">moving </w:t>
      </w:r>
      <w:r>
        <w:t>from casual or fixed-term contract employment to a full-time permanent position.</w:t>
      </w:r>
    </w:p>
    <w:p w14:paraId="50DCD3F6" w14:textId="77777777" w:rsidR="00371CB6" w:rsidRDefault="007475A4" w:rsidP="00E16D4F">
      <w:pPr>
        <w:pStyle w:val="Bodycopy"/>
      </w:pPr>
      <w:r>
        <w:t xml:space="preserve">Another factor impacting career progression or pathways into the Diploma VET teaching credentials is the funding of these in fee-free TAFE initiatives. The Certificate IV TAE only became part of fee-free TAFE from 1 January 2024 for all jurisdictions and only NSW and WA offer the diploma level TAE at no cost. </w:t>
      </w:r>
    </w:p>
    <w:p w14:paraId="316BF980" w14:textId="498660E1" w:rsidR="007475A4" w:rsidRDefault="007475A4" w:rsidP="00E16D4F">
      <w:pPr>
        <w:pStyle w:val="Bodycopy"/>
      </w:pPr>
      <w:r>
        <w:t xml:space="preserve">The various Skill Sets which offer entry-pathways into VET teaching, training and assessing roles </w:t>
      </w:r>
      <w:r w:rsidR="00371CB6">
        <w:t>–</w:t>
      </w:r>
      <w:r>
        <w:t xml:space="preserve"> including LLND roles – are mostly only funded by one jurisdiction. The Assessor Skill Set, funded by NT and WA and the Work Skill Instructor Skill Set funded by ACT, TAS and WA are the two exceptions. </w:t>
      </w:r>
    </w:p>
    <w:p w14:paraId="164F7028" w14:textId="335FDA8E" w:rsidR="007475A4" w:rsidRDefault="007475A4" w:rsidP="007475A4"/>
    <w:p w14:paraId="008E5B0B" w14:textId="295C5401" w:rsidR="007475A4" w:rsidRDefault="007475A4" w:rsidP="007475A4">
      <w:pPr>
        <w:pStyle w:val="Caption"/>
        <w:rPr>
          <w:szCs w:val="20"/>
        </w:rPr>
      </w:pPr>
      <w:r>
        <w:t xml:space="preserve">Box </w:t>
      </w:r>
      <w:r>
        <w:fldChar w:fldCharType="begin"/>
      </w:r>
      <w:r>
        <w:instrText xml:space="preserve"> STYLEREF 1 \s </w:instrText>
      </w:r>
      <w:r>
        <w:fldChar w:fldCharType="separate"/>
      </w:r>
      <w:r w:rsidR="00E7704E">
        <w:rPr>
          <w:noProof/>
        </w:rPr>
        <w:t>3</w:t>
      </w:r>
      <w:r>
        <w:fldChar w:fldCharType="end"/>
      </w:r>
      <w:r>
        <w:t>.</w:t>
      </w:r>
      <w:r>
        <w:fldChar w:fldCharType="begin"/>
      </w:r>
      <w:r>
        <w:instrText xml:space="preserve"> SEQ Box \* ARABIC \s 1 </w:instrText>
      </w:r>
      <w:r>
        <w:fldChar w:fldCharType="separate"/>
      </w:r>
      <w:r w:rsidR="00E7704E">
        <w:rPr>
          <w:noProof/>
        </w:rPr>
        <w:t>2</w:t>
      </w:r>
      <w:r>
        <w:fldChar w:fldCharType="end"/>
      </w:r>
      <w:r>
        <w:t xml:space="preserve"> Case studies of pathway programs to entry-level teaching</w:t>
      </w:r>
    </w:p>
    <w:p w14:paraId="7047646C" w14:textId="77777777" w:rsidR="007475A4" w:rsidRPr="00DE73B7" w:rsidRDefault="007475A4" w:rsidP="003D6D5B">
      <w:pPr>
        <w:pStyle w:val="Breakoutbox"/>
        <w:pBdr>
          <w:top w:val="single" w:sz="36" w:space="5" w:color="EEF1F6"/>
          <w:bottom w:val="single" w:sz="36" w:space="5" w:color="EEF1F6"/>
          <w:right w:val="single" w:sz="36" w:space="10" w:color="EEF1F6"/>
        </w:pBdr>
        <w:spacing w:before="240" w:after="240"/>
        <w:rPr>
          <w:b/>
          <w:bCs/>
          <w:i/>
          <w:iCs/>
        </w:rPr>
      </w:pPr>
      <w:r w:rsidRPr="00DE73B7">
        <w:rPr>
          <w:b/>
          <w:bCs/>
        </w:rPr>
        <w:t>TAFE NSW Paid to Learn Program</w:t>
      </w:r>
    </w:p>
    <w:p w14:paraId="7DE4829C" w14:textId="4B32244E" w:rsidR="007475A4" w:rsidRPr="00D93FDB" w:rsidRDefault="007475A4" w:rsidP="003D6D5B">
      <w:pPr>
        <w:pStyle w:val="Breakoutbox"/>
        <w:pBdr>
          <w:top w:val="single" w:sz="36" w:space="5" w:color="EEF1F6"/>
          <w:bottom w:val="single" w:sz="36" w:space="5" w:color="EEF1F6"/>
          <w:right w:val="single" w:sz="36" w:space="10" w:color="EEF1F6"/>
        </w:pBdr>
        <w:rPr>
          <w:i/>
          <w:iCs/>
          <w:sz w:val="20"/>
          <w:szCs w:val="20"/>
        </w:rPr>
      </w:pPr>
      <w:r w:rsidRPr="00D93FDB">
        <w:t xml:space="preserve">The TAFE NSW Paid to Learn initiative enables participants to complete a Certificate IV in Training and Assessment qualification while being paid. The 14-week program aims to leverage the skills and experience of current industry professionals to help meet the increasing demand for </w:t>
      </w:r>
      <w:r w:rsidR="00CC6D50">
        <w:t>VET teachers</w:t>
      </w:r>
      <w:r w:rsidRPr="00D93FDB">
        <w:t xml:space="preserve"> across TAFE NSW. Applicants are required to have a nationally recognised qualification in the discipline in which they want to teach and between 3 and 5 years of industry experience (depending on the industry). </w:t>
      </w:r>
    </w:p>
    <w:p w14:paraId="42739E52" w14:textId="634943D2" w:rsidR="007475A4" w:rsidRPr="00D93FDB" w:rsidRDefault="007475A4" w:rsidP="003D6D5B">
      <w:pPr>
        <w:pStyle w:val="Breakoutbox"/>
        <w:pBdr>
          <w:top w:val="single" w:sz="36" w:space="5" w:color="EEF1F6"/>
          <w:bottom w:val="single" w:sz="36" w:space="5" w:color="EEF1F6"/>
          <w:right w:val="single" w:sz="36" w:space="10" w:color="EEF1F6"/>
        </w:pBdr>
      </w:pPr>
      <w:r w:rsidRPr="00D93FDB">
        <w:t>Participants undertake intensive training consisting of 35 hours per week over 5 days, typically 8.00am to 4.00pm. Participants earn a teacher’s salary above $100,000 (for a full-time teaching role) while learning and undertaking practical training. The program provides tailored support, including mentors and other wraparound assistance and includes an extended professional development allowance of 72 hours per year in addition to membership of a Teacher Engagement Network.</w:t>
      </w:r>
      <w:r w:rsidR="00FE3553">
        <w:rPr>
          <w:rStyle w:val="EndnoteReference"/>
        </w:rPr>
        <w:endnoteReference w:id="50"/>
      </w:r>
      <w:r w:rsidRPr="00D93FDB">
        <w:t xml:space="preserve"> </w:t>
      </w:r>
    </w:p>
    <w:p w14:paraId="1AFB9BF3" w14:textId="009D2AD8" w:rsidR="00DE73B7" w:rsidRDefault="007475A4" w:rsidP="003D6D5B">
      <w:pPr>
        <w:pStyle w:val="Breakoutbox"/>
        <w:pBdr>
          <w:top w:val="single" w:sz="36" w:space="5" w:color="EEF1F6"/>
          <w:bottom w:val="single" w:sz="36" w:space="5" w:color="EEF1F6"/>
          <w:right w:val="single" w:sz="36" w:space="10" w:color="EEF1F6"/>
        </w:pBdr>
      </w:pPr>
      <w:r w:rsidRPr="00D93FDB">
        <w:t xml:space="preserve">The recent (March 2024) Commonwealth Government Senate Inquiry report on the perception and status of VET recommends increasing the supply of </w:t>
      </w:r>
      <w:r w:rsidR="00CC6D50">
        <w:t>VET teachers</w:t>
      </w:r>
      <w:r w:rsidRPr="00D93FDB">
        <w:t xml:space="preserve"> through subsidising Training and Education (TAE) and the expansion of existing fast-track pathways, including the nationalisation of TAFE NSW’s </w:t>
      </w:r>
      <w:r w:rsidR="00371CB6">
        <w:t>‘</w:t>
      </w:r>
      <w:r w:rsidRPr="00D93FDB">
        <w:t>Paid to Learn</w:t>
      </w:r>
      <w:r w:rsidR="00371CB6">
        <w:t>’</w:t>
      </w:r>
      <w:r w:rsidRPr="00D93FDB">
        <w:t xml:space="preserve"> program. Likewise, the NSW VET Review, also released in March 2024, reported stakeholders proposing similar initiatives such as a </w:t>
      </w:r>
      <w:r w:rsidR="00371CB6">
        <w:t>‘</w:t>
      </w:r>
      <w:r w:rsidRPr="00D93FDB">
        <w:t>Day a month</w:t>
      </w:r>
      <w:r w:rsidR="00371CB6">
        <w:t>’</w:t>
      </w:r>
      <w:r w:rsidRPr="00D93FDB">
        <w:t xml:space="preserve"> campaign, to encourage more skilled people to enter into vocational teacher settings, enhancing their awareness of available VET opportunities.</w:t>
      </w:r>
      <w:r w:rsidR="00DE73B7">
        <w:br/>
      </w:r>
    </w:p>
    <w:p w14:paraId="19BA6D98" w14:textId="381FD273" w:rsidR="007475A4" w:rsidRPr="00985B8A" w:rsidDel="00C77DAE" w:rsidRDefault="00DE73B7" w:rsidP="003D6D5B">
      <w:pPr>
        <w:pStyle w:val="Breakoutbox"/>
        <w:pBdr>
          <w:top w:val="single" w:sz="36" w:space="5" w:color="EEF1F6"/>
          <w:bottom w:val="single" w:sz="36" w:space="5" w:color="EEF1F6"/>
          <w:right w:val="single" w:sz="36" w:space="10" w:color="EEF1F6"/>
        </w:pBdr>
        <w:rPr>
          <w:b/>
          <w:bCs/>
        </w:rPr>
      </w:pPr>
      <w:r>
        <w:lastRenderedPageBreak/>
        <w:br/>
      </w:r>
      <w:r w:rsidR="007475A4" w:rsidRPr="00985B8A">
        <w:rPr>
          <w:b/>
          <w:bCs/>
        </w:rPr>
        <w:t xml:space="preserve">TAFE Queensland Foundation Education Program </w:t>
      </w:r>
    </w:p>
    <w:p w14:paraId="200B1532" w14:textId="33986952" w:rsidR="007475A4" w:rsidRPr="00752638" w:rsidRDefault="347EB015" w:rsidP="003D6D5B">
      <w:pPr>
        <w:pStyle w:val="Breakoutbox"/>
        <w:pBdr>
          <w:top w:val="single" w:sz="36" w:space="5" w:color="EEF1F6"/>
          <w:bottom w:val="single" w:sz="36" w:space="5" w:color="EEF1F6"/>
          <w:right w:val="single" w:sz="36" w:space="10" w:color="EEF1F6"/>
        </w:pBdr>
        <w:spacing w:after="240"/>
      </w:pPr>
      <w:r w:rsidRPr="3EA8C90E">
        <w:t xml:space="preserve">In the Foundation Educator Program, over 12-months industry experts complete a Certificate IV in Training and Assessment (fully funded) and practice their skills in a supervised environment, whilst being employed as a paid ‘Foundation Educator’. At the completion of their Certificate IV in Training and Assessment, Foundation Educators can then </w:t>
      </w:r>
      <w:r w:rsidR="47F71092" w:rsidRPr="3EA8C90E">
        <w:t xml:space="preserve">move </w:t>
      </w:r>
      <w:r w:rsidRPr="3EA8C90E">
        <w:t>to teaching or tutoring positions with TAFE Queensland</w:t>
      </w:r>
      <w:r w:rsidR="484694A5" w:rsidRPr="3EA8C90E">
        <w:t>.</w:t>
      </w:r>
    </w:p>
    <w:p w14:paraId="66AF71D8" w14:textId="77777777" w:rsidR="00752638" w:rsidRPr="00985B8A" w:rsidRDefault="00752638" w:rsidP="003D6D5B">
      <w:pPr>
        <w:pStyle w:val="Breakoutbox"/>
        <w:pBdr>
          <w:top w:val="single" w:sz="36" w:space="5" w:color="EEF1F6"/>
          <w:bottom w:val="single" w:sz="36" w:space="5" w:color="EEF1F6"/>
          <w:right w:val="single" w:sz="36" w:space="10" w:color="EEF1F6"/>
        </w:pBdr>
        <w:rPr>
          <w:rFonts w:ascii="Calibri" w:hAnsi="Calibri"/>
          <w:b/>
          <w:bCs/>
          <w:color w:val="auto"/>
        </w:rPr>
      </w:pPr>
      <w:r w:rsidRPr="00985B8A">
        <w:rPr>
          <w:b/>
          <w:bCs/>
        </w:rPr>
        <w:t xml:space="preserve">TAFE Western Australia (TAFE WA) Advanced Industry Lecturers </w:t>
      </w:r>
    </w:p>
    <w:p w14:paraId="73AF6AEB" w14:textId="34F452E4" w:rsidR="00752638" w:rsidRPr="00752638" w:rsidRDefault="00752638" w:rsidP="003D6D5B">
      <w:pPr>
        <w:pStyle w:val="Breakoutbox"/>
        <w:pBdr>
          <w:top w:val="single" w:sz="36" w:space="5" w:color="EEF1F6"/>
          <w:bottom w:val="single" w:sz="36" w:space="5" w:color="EEF1F6"/>
          <w:right w:val="single" w:sz="36" w:space="10" w:color="EEF1F6"/>
        </w:pBdr>
        <w:spacing w:after="240"/>
      </w:pPr>
      <w:r w:rsidRPr="00752638">
        <w:t xml:space="preserve">The TAFE WA 2021 Agreement introduced Advanced Industry Lecturers (AIL) </w:t>
      </w:r>
      <w:r>
        <w:t>for</w:t>
      </w:r>
      <w:r w:rsidRPr="00752638">
        <w:t xml:space="preserve"> highly regarded industry professionals new to teaching. The Agreement provides 160-hours off teaching over 2 years for new lecturers to enable them to gain their Cert</w:t>
      </w:r>
      <w:r>
        <w:t>ificate</w:t>
      </w:r>
      <w:r w:rsidRPr="00752638">
        <w:t xml:space="preserve"> IV TAE. </w:t>
      </w:r>
    </w:p>
    <w:p w14:paraId="0FA1F004" w14:textId="71B3B6AF" w:rsidR="00752638" w:rsidRPr="00985B8A" w:rsidRDefault="00752638" w:rsidP="003D6D5B">
      <w:pPr>
        <w:pStyle w:val="Breakoutbox"/>
        <w:pBdr>
          <w:top w:val="single" w:sz="36" w:space="5" w:color="EEF1F6"/>
          <w:bottom w:val="single" w:sz="36" w:space="5" w:color="EEF1F6"/>
          <w:right w:val="single" w:sz="36" w:space="10" w:color="EEF1F6"/>
        </w:pBdr>
        <w:rPr>
          <w:b/>
          <w:bCs/>
        </w:rPr>
      </w:pPr>
      <w:r w:rsidRPr="00985B8A">
        <w:rPr>
          <w:b/>
          <w:bCs/>
        </w:rPr>
        <w:t>TasTAFE Associate Teacher program</w:t>
      </w:r>
    </w:p>
    <w:p w14:paraId="528193EE" w14:textId="3B4EFD8C" w:rsidR="00752638" w:rsidRPr="00752638" w:rsidRDefault="00752638" w:rsidP="003D6D5B">
      <w:pPr>
        <w:pStyle w:val="Breakoutbox"/>
        <w:pBdr>
          <w:top w:val="single" w:sz="36" w:space="5" w:color="EEF1F6"/>
          <w:bottom w:val="single" w:sz="36" w:space="5" w:color="EEF1F6"/>
          <w:right w:val="single" w:sz="36" w:space="10" w:color="EEF1F6"/>
        </w:pBdr>
        <w:spacing w:after="240"/>
      </w:pPr>
      <w:r w:rsidRPr="00752638">
        <w:t xml:space="preserve">The Associate Teacher program with TasTAFE provides new teachers with a 1-year teaching contract to complete the </w:t>
      </w:r>
      <w:r w:rsidR="00334C3B" w:rsidRPr="00752638">
        <w:t>Cert</w:t>
      </w:r>
      <w:r w:rsidR="00334C3B">
        <w:t>ificate</w:t>
      </w:r>
      <w:r w:rsidRPr="00752638">
        <w:t xml:space="preserve"> IV TAE (fully funded), a reduced teaching load and mentoring/supervision by an experienced teacher. Upon successful completion of the Certificate IV in Training and Assessment qualification, and satisfactory performance within the role, the associate teacher will become a fully qualified teacher and a TasTAFE employee.</w:t>
      </w:r>
      <w:r w:rsidR="00D176DF">
        <w:br/>
      </w:r>
    </w:p>
    <w:p w14:paraId="6438E2BF" w14:textId="04C848FC" w:rsidR="007475A4" w:rsidRPr="005B5243" w:rsidRDefault="00371CB6" w:rsidP="007475A4">
      <w:pPr>
        <w:pStyle w:val="Heading5"/>
      </w:pPr>
      <w:r>
        <w:br/>
      </w:r>
      <w:r w:rsidR="007475A4">
        <w:t xml:space="preserve">Assessor only roles </w:t>
      </w:r>
    </w:p>
    <w:p w14:paraId="755FB371" w14:textId="341F4CA0" w:rsidR="007475A4" w:rsidRPr="00597121" w:rsidRDefault="007475A4" w:rsidP="00E16D4F">
      <w:pPr>
        <w:pStyle w:val="Bodycopy"/>
        <w:rPr>
          <w:color w:val="1192E8" w:themeColor="accent3"/>
        </w:rPr>
      </w:pPr>
      <w:r>
        <w:t xml:space="preserve">Assessor-only roles are focused roles where there is no training or teaching delivery responsibilities. The core duty of an assessor is to conduct assessment and assess competence. The minimum credential is the Assessor Skill Set. This skill set’s three units of study are indicative of the core duties of the role and are further outlined in </w:t>
      </w:r>
      <w:hyperlink w:anchor="Figure_3_6" w:history="1">
        <w:r w:rsidRPr="007B7CF2">
          <w:rPr>
            <w:rStyle w:val="Hyperlink"/>
          </w:rPr>
          <w:t>Figure 3.6</w:t>
        </w:r>
      </w:hyperlink>
      <w:r>
        <w:t>.</w:t>
      </w:r>
    </w:p>
    <w:p w14:paraId="7373F221" w14:textId="77777777" w:rsidR="007475A4" w:rsidRPr="00371CB6" w:rsidRDefault="007475A4" w:rsidP="00371CB6">
      <w:pPr>
        <w:pStyle w:val="ListBullet"/>
      </w:pPr>
      <w:r w:rsidRPr="00371CB6">
        <w:t>TAEASS412 Assess competence</w:t>
      </w:r>
    </w:p>
    <w:p w14:paraId="421CD466" w14:textId="77777777" w:rsidR="007475A4" w:rsidRPr="00371CB6" w:rsidRDefault="007475A4" w:rsidP="00371CB6">
      <w:pPr>
        <w:pStyle w:val="ListBullet"/>
      </w:pPr>
      <w:r w:rsidRPr="00371CB6">
        <w:t>TAEASS413 Participate in assessment validation</w:t>
      </w:r>
    </w:p>
    <w:p w14:paraId="670D22FF" w14:textId="77777777" w:rsidR="007475A4" w:rsidRPr="00371CB6" w:rsidRDefault="007475A4" w:rsidP="00371CB6">
      <w:pPr>
        <w:pStyle w:val="ListBullet"/>
      </w:pPr>
      <w:r w:rsidRPr="00371CB6">
        <w:t>TAEDES411 Use nationally recognised training products to meet vocational training needs.</w:t>
      </w:r>
    </w:p>
    <w:p w14:paraId="1441FB29" w14:textId="5B8F72AF" w:rsidR="00FA5572" w:rsidRDefault="007475A4" w:rsidP="00E16D4F">
      <w:pPr>
        <w:pStyle w:val="Bodycopy"/>
      </w:pPr>
      <w:r>
        <w:t xml:space="preserve">Skilled assessors may also be responsible for conducting assessments for the recognition of prior learning (RPL). This determines the extent to which that individual meets the requirements specified in the training package or VET accredited courses. While a specific RPL </w:t>
      </w:r>
      <w:r w:rsidR="004F2C5C">
        <w:t>unit</w:t>
      </w:r>
      <w:r>
        <w:t xml:space="preserve"> is offered as an elective in </w:t>
      </w:r>
      <w:r w:rsidR="004F2C5C">
        <w:t xml:space="preserve">the </w:t>
      </w:r>
      <w:r>
        <w:t xml:space="preserve">Certificate IV TAE (TAEASS514 Develop and implement plans for recognition of prior learning), assessors who conduct RPL assessments are typically senior or specialist. </w:t>
      </w:r>
    </w:p>
    <w:p w14:paraId="0C6CA55D" w14:textId="5A343790" w:rsidR="007475A4" w:rsidRDefault="4D082D78" w:rsidP="007475A4">
      <w:pPr>
        <w:pStyle w:val="Caption"/>
        <w:keepNext/>
        <w:ind w:left="340" w:hanging="340"/>
      </w:pPr>
      <w:bookmarkStart w:id="159" w:name="Figure_3_6"/>
      <w:r>
        <w:lastRenderedPageBreak/>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4C455A">
        <w:t>.</w:t>
      </w:r>
      <w:r w:rsidR="006558DC">
        <w:fldChar w:fldCharType="begin"/>
      </w:r>
      <w:r w:rsidR="006558DC">
        <w:instrText xml:space="preserve"> SEQ Figure \* ARABIC \s 1 </w:instrText>
      </w:r>
      <w:r w:rsidR="006558DC">
        <w:fldChar w:fldCharType="separate"/>
      </w:r>
      <w:r w:rsidR="00E7704E">
        <w:rPr>
          <w:noProof/>
        </w:rPr>
        <w:t>6</w:t>
      </w:r>
      <w:r w:rsidR="006558DC">
        <w:fldChar w:fldCharType="end"/>
      </w:r>
      <w:r>
        <w:t xml:space="preserve"> Assessor only roles</w:t>
      </w:r>
    </w:p>
    <w:bookmarkEnd w:id="159"/>
    <w:p w14:paraId="77CDF072" w14:textId="23EEE61F" w:rsidR="004B4DB4" w:rsidRDefault="175B2DD5" w:rsidP="007F37C3">
      <w:r>
        <w:rPr>
          <w:noProof/>
        </w:rPr>
        <w:drawing>
          <wp:inline distT="0" distB="0" distL="0" distR="0" wp14:anchorId="6D08E2D9" wp14:editId="2B47D419">
            <wp:extent cx="5652000" cy="6409747"/>
            <wp:effectExtent l="0" t="0" r="6350" b="0"/>
            <wp:docPr id="591282767" name="Picture 4" descr="Core duties: &#10;The Assessor role is characterised by the absence of training/teaching duties. &#10;Conduct assessment of learner capability using approved assessment strategies.&#10;Undertake professional development in educational and technical disciplines. &#10;Comply with appropriate legislative requirements and organisational policies, including with respect to record-keeping and reporting.&#10;Participate in continuous improvement processes, including in relation to their own performance.&#10;&#10;Commonly found in:&#10;Enterprise RTOs.&#10;TAFEs.&#10;Dual sector institutions.&#10;Multi-field independent RTOs.&#10;Subject specialist independent RTOs.&#10;School-based RTOs.&#10;ACE providers.&#10;&#10;Typical employment arrangements:&#10;May be full-time, part-time, casual or sessional.&#10;Often employed on a casual basis.&#10;Assessor duties may be within a broader industry-based practitioner role.&#10;&#10;Job pathways in:&#10;VET Trainer and Assessor.&#10;Industry practitioner.&#10;School teacher.&#10;Training &amp; Development Professional.&#10;Secondary school teacher (From March 2024).&#10;&#10;Job pathways out:&#10;VET Trainer and Assessor.&#10;School teacher.&#10;University lecturer.&#10;Education Adviser.&#10;Training &amp; Development Professional.&#10;&#10;Career progression:&#10;Expanded role to take on teaching duties.&#10;Transition from casual to permanent position.&#10;&#10;Education &amp; training:&#10;Minimum requirements per RTO Standards. Assessor Skill Set; AND Vocational competencies at least to level assessed OR industry expert working 'alongside' trainer/assessor.&#10;Will commonly hold the Certificate IV in Training and Assessment.&#10;(March 2024 change: Qualified to register as Secondary School Teacher and holds specific skill s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282767" name="Picture 4" descr="Core duties: &#10;The Assessor role is characterised by the absence of training/teaching duties. &#10;Conduct assessment of learner capability using approved assessment strategies.&#10;Undertake professional development in educational and technical disciplines. &#10;Comply with appropriate legislative requirements and organisational policies, including with respect to record-keeping and reporting.&#10;Participate in continuous improvement processes, including in relation to their own performance.&#10;&#10;Commonly found in:&#10;Enterprise RTOs.&#10;TAFEs.&#10;Dual sector institutions.&#10;Multi-field independent RTOs.&#10;Subject specialist independent RTOs.&#10;School-based RTOs.&#10;ACE providers.&#10;&#10;Typical employment arrangements:&#10;May be full-time, part-time, casual or sessional.&#10;Often employed on a casual basis.&#10;Assessor duties may be within a broader industry-based practitioner role.&#10;&#10;Job pathways in:&#10;VET Trainer and Assessor.&#10;Industry practitioner.&#10;School teacher.&#10;Training &amp; Development Professional.&#10;Secondary school teacher (From March 2024).&#10;&#10;Job pathways out:&#10;VET Trainer and Assessor.&#10;School teacher.&#10;University lecturer.&#10;Education Adviser.&#10;Training &amp; Development Professional.&#10;&#10;Career progression:&#10;Expanded role to take on teaching duties.&#10;Transition from casual to permanent position.&#10;&#10;Education &amp; training:&#10;Minimum requirements per RTO Standards. Assessor Skill Set; AND Vocational competencies at least to level assessed OR industry expert working 'alongside' trainer/assessor.&#10;Will commonly hold the Certificate IV in Training and Assessment.&#10;(March 2024 change: Qualified to register as Secondary School Teacher and holds specific skill set)&#1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52000" cy="6409747"/>
                    </a:xfrm>
                    <a:prstGeom prst="rect">
                      <a:avLst/>
                    </a:prstGeom>
                    <a:solidFill>
                      <a:schemeClr val="bg1"/>
                    </a:solidFill>
                  </pic:spPr>
                </pic:pic>
              </a:graphicData>
            </a:graphic>
          </wp:inline>
        </w:drawing>
      </w:r>
    </w:p>
    <w:p w14:paraId="7B2E5356" w14:textId="0A93ED44" w:rsidR="007475A4" w:rsidRPr="00BE7FE9" w:rsidRDefault="007475A4" w:rsidP="00FB7F40">
      <w:pPr>
        <w:pStyle w:val="Bodycopy"/>
      </w:pPr>
      <w:r>
        <w:t>Assessors do not need to hold a Certificate IV TAE</w:t>
      </w:r>
      <w:r w:rsidR="00311492">
        <w:t>,</w:t>
      </w:r>
      <w:r>
        <w:t xml:space="preserve"> but commonly do. This likely relates to the larger volume of the Assessor Skill Set which encourages many to undertake the full Certificate IV regardless. Thus, while the Assessor Skill Set does provide a shorter training pathway into VET, it is not particularly common and there is a tension between demonstrating current knowledge and skills in vocational training and learning and holding this short-form qualification. Holding the Certificate IV TAE is also considered best practice for assessors.  See the next chapter for a discussion of broader increasing TAE Skill Set completions since 2016 against falling Certificate IV TAE completions over the same period. </w:t>
      </w:r>
    </w:p>
    <w:p w14:paraId="4D3A05AC" w14:textId="77777777" w:rsidR="006C5EFF" w:rsidRDefault="006C5EFF">
      <w:pPr>
        <w:rPr>
          <w:spacing w:val="2"/>
        </w:rPr>
      </w:pPr>
      <w:r>
        <w:br w:type="page"/>
      </w:r>
    </w:p>
    <w:p w14:paraId="3B3FF5C4" w14:textId="4CFAD13E" w:rsidR="007475A4" w:rsidRDefault="007475A4" w:rsidP="00FB7F40">
      <w:pPr>
        <w:pStyle w:val="Bodycopy"/>
      </w:pPr>
      <w:r>
        <w:lastRenderedPageBreak/>
        <w:t xml:space="preserve">Whilst the training pathways are like most other </w:t>
      </w:r>
      <w:r w:rsidR="00CB29F6">
        <w:t>Teach, Train, and Assess</w:t>
      </w:r>
      <w:r>
        <w:t xml:space="preserve"> roles in VET, assessors are commonly employed on a casual basis and are an attractive entry point to industry specialists or emerging experts who want to boundary span between industry and training. An assessor may move between industry and training and assessment roles as personal circumstances and preferences for more flexible working hours change. The role of assessor may also be attractive for those seeking to supplement their income while continuing to work in industry. Providers do engage assessors to provide for additional flexibility in managing the assessment load, particularly where enterprise agreements prescribe the hours that may be allocated to teaching and duties related to teaching (such as marking) as part of an individual’s total workload. This means that in some cases casual or part-time teachers also work as assessors at the same</w:t>
      </w:r>
      <w:r w:rsidR="00F7108F">
        <w:t>,</w:t>
      </w:r>
      <w:r>
        <w:t xml:space="preserve"> or across multiple</w:t>
      </w:r>
      <w:r w:rsidR="00F7108F">
        <w:t>,</w:t>
      </w:r>
      <w:r>
        <w:t xml:space="preserve"> providers to supplement income. </w:t>
      </w:r>
    </w:p>
    <w:p w14:paraId="63DC02D1" w14:textId="57B0C459" w:rsidR="20DBB0D1" w:rsidRDefault="007475A4" w:rsidP="00CA3515">
      <w:pPr>
        <w:pStyle w:val="Bodycopy"/>
        <w:spacing w:after="240"/>
      </w:pPr>
      <w:r>
        <w:t>In one dual</w:t>
      </w:r>
      <w:r w:rsidR="00457BF4">
        <w:t>-</w:t>
      </w:r>
      <w:r>
        <w:t xml:space="preserve">sector institution, the assessor role is described as a VET Marker and is paid the hourly rate of a VET Teacher plus a 25% casual loading. Comparatively, the NSW Enterprise Agreement for TAFE Teachers and Related Roles (2023) includes a dedicated role for assessors without teaching and training duties under the Education Support Classification. Commencing from 1 February 2023, the assessor role had a set annual salary of $82,611, compared to the base level for </w:t>
      </w:r>
      <w:r w:rsidR="00CC6D50">
        <w:t>VET teachers</w:t>
      </w:r>
      <w:r>
        <w:t xml:space="preserve"> of $88,842 (7% less).</w:t>
      </w:r>
      <w:r w:rsidR="00FE3553">
        <w:rPr>
          <w:rStyle w:val="EndnoteReference"/>
        </w:rPr>
        <w:endnoteReference w:id="51"/>
      </w:r>
    </w:p>
    <w:p w14:paraId="5A8C71C1" w14:textId="77E02B45" w:rsidR="007475A4" w:rsidRDefault="007475A4" w:rsidP="00CA3515">
      <w:pPr>
        <w:pStyle w:val="Heading5"/>
        <w:spacing w:before="120"/>
      </w:pPr>
      <w:r>
        <w:t xml:space="preserve">Workplace </w:t>
      </w:r>
      <w:r w:rsidR="003D5A6C">
        <w:t>t</w:t>
      </w:r>
      <w:r>
        <w:t xml:space="preserve">rainer </w:t>
      </w:r>
      <w:r w:rsidR="00B12D5D">
        <w:t>r</w:t>
      </w:r>
      <w:r>
        <w:t>oles</w:t>
      </w:r>
    </w:p>
    <w:p w14:paraId="58F4D220" w14:textId="36573842" w:rsidR="007475A4" w:rsidRDefault="007475A4" w:rsidP="00E16D4F">
      <w:pPr>
        <w:pStyle w:val="Bodycopy"/>
        <w:rPr>
          <w:i/>
          <w:iCs/>
        </w:rPr>
      </w:pPr>
      <w:r>
        <w:t>Another role in the more focused spectrum of teaching scope and responsibility is the workplace trainer. These roles are characterised by delivering training and assessment as part of an individual’s duties in their workplace or the workplace of a client. This role may also b</w:t>
      </w:r>
      <w:r w:rsidR="00F7108F">
        <w:t>e</w:t>
      </w:r>
      <w:r>
        <w:t xml:space="preserve"> described as an industry trainer, or an industry-based trainer and assessor. The core duties of a workplace trainer and assessor resemble those with a focused scope of teaching responsibility, though a workplace trainer and assessor may have greater responsibility to contextualise training to meet the specific needs of the enterprise or client. A workplace trainer and assessor will often deliver nationally recognised training alongside non-accredited industry training.</w:t>
      </w:r>
    </w:p>
    <w:p w14:paraId="432E0DBC" w14:textId="00E20180" w:rsidR="007475A4" w:rsidRPr="00FA5572" w:rsidRDefault="007475A4" w:rsidP="00E16D4F">
      <w:pPr>
        <w:pStyle w:val="Bodycopy"/>
      </w:pPr>
      <w:r w:rsidRPr="00FA5572">
        <w:t>Workplace trainer</w:t>
      </w:r>
      <w:r w:rsidR="00B12D5D">
        <w:t>s</w:t>
      </w:r>
      <w:r w:rsidRPr="00FA5572">
        <w:t xml:space="preserve"> and assessors are also well placed to offer mentorship or informal pastoral care to apprentices. People performing this role hold industry and workplace experience, while being removed from apprentices’ line management chain. </w:t>
      </w:r>
    </w:p>
    <w:p w14:paraId="4FB45C49" w14:textId="77777777" w:rsidR="006F1E01" w:rsidRDefault="006F1E01" w:rsidP="00E16D4F">
      <w:pPr>
        <w:pStyle w:val="Bodycopy"/>
      </w:pPr>
      <w:r w:rsidRPr="006F1E01">
        <w:t>Workplace trainers are commonly found in enterprise RTOs, subject specialist RTOs, and RTOs only delivering single units of competency or skill sets rather than full qualifications. Particularly in enterprise RTOs, workplace trainers and assessors may be developed from within the enterprise as well as from the broader industry. Workplace trainers and assessors may progress within their current enterprise to more senior roles in training teams such as a Training Manager or Coordinator. The role may also provide a pathway to VET teaching in other contexts or to work as a Training and Development Professional.</w:t>
      </w:r>
    </w:p>
    <w:p w14:paraId="01C8A8A5" w14:textId="24D0768F" w:rsidR="006F1E01" w:rsidRDefault="007475A4" w:rsidP="00E16D4F">
      <w:pPr>
        <w:pStyle w:val="Bodycopy"/>
      </w:pPr>
      <w:r w:rsidRPr="004B4DB4">
        <w:t xml:space="preserve">Workplace trainers can also be volunteer roles where they deliver subject-only training such as CPR in volunteer workplaces such as surf lifesaving clubs or emergency service organisations. </w:t>
      </w:r>
      <w:hyperlink w:anchor="Figure_3_7" w:history="1">
        <w:r w:rsidRPr="00564816">
          <w:rPr>
            <w:rStyle w:val="Hyperlink"/>
          </w:rPr>
          <w:t>Figure 3.7</w:t>
        </w:r>
      </w:hyperlink>
      <w:r w:rsidRPr="004B4DB4">
        <w:t xml:space="preserve"> summarises the core duties of various kinds of</w:t>
      </w:r>
      <w:r w:rsidR="000A1C4C">
        <w:t xml:space="preserve"> </w:t>
      </w:r>
      <w:r w:rsidRPr="004B4DB4">
        <w:t xml:space="preserve">workplace/industry/volunteer trainers. </w:t>
      </w:r>
    </w:p>
    <w:p w14:paraId="04877049" w14:textId="77777777" w:rsidR="006F1E01" w:rsidRDefault="006F1E01">
      <w:pPr>
        <w:rPr>
          <w:spacing w:val="2"/>
        </w:rPr>
      </w:pPr>
      <w:r>
        <w:br w:type="page"/>
      </w:r>
    </w:p>
    <w:p w14:paraId="30AB72D8" w14:textId="238CECBE" w:rsidR="007475A4" w:rsidRDefault="4D082D78" w:rsidP="00474E74">
      <w:pPr>
        <w:pStyle w:val="ChartandTablelabel"/>
      </w:pPr>
      <w:bookmarkStart w:id="160" w:name="Figure_3_7"/>
      <w:r>
        <w:lastRenderedPageBreak/>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4C455A">
        <w:t>.</w:t>
      </w:r>
      <w:r w:rsidR="006558DC">
        <w:fldChar w:fldCharType="begin"/>
      </w:r>
      <w:r w:rsidR="006558DC">
        <w:instrText xml:space="preserve"> SEQ Figure \* ARABIC \s 1 </w:instrText>
      </w:r>
      <w:r w:rsidR="006558DC">
        <w:fldChar w:fldCharType="separate"/>
      </w:r>
      <w:r w:rsidR="00E7704E">
        <w:rPr>
          <w:noProof/>
        </w:rPr>
        <w:t>7</w:t>
      </w:r>
      <w:r w:rsidR="006558DC">
        <w:fldChar w:fldCharType="end"/>
      </w:r>
      <w:r>
        <w:t xml:space="preserve"> </w:t>
      </w:r>
      <w:r w:rsidR="00CB29F6">
        <w:t>Teach, Train, and Assess</w:t>
      </w:r>
      <w:r w:rsidR="6BF98099">
        <w:t xml:space="preserve"> roles in the workplace/volunteer roles</w:t>
      </w:r>
    </w:p>
    <w:bookmarkEnd w:id="160"/>
    <w:p w14:paraId="548B7705" w14:textId="24C8F898" w:rsidR="00BF4146" w:rsidRDefault="003E5F24" w:rsidP="00D176DF">
      <w:pPr>
        <w:pStyle w:val="ChartandTablelabel"/>
      </w:pPr>
      <w:r>
        <w:rPr>
          <w:noProof/>
        </w:rPr>
        <w:drawing>
          <wp:inline distT="0" distB="0" distL="0" distR="0" wp14:anchorId="46C7B413" wp14:editId="78568C0D">
            <wp:extent cx="5652000" cy="4803495"/>
            <wp:effectExtent l="0" t="0" r="6350" b="0"/>
            <wp:docPr id="806095564" name="Picture 1" descr="Core duties: &#10;Duties closely resemble the duties of teach, train and assess roles, though with different cohort/context. Deliver training and assessment to employees, volunteers or contracts (including apprentices and trainees) in the workplace, often contextualising training to meet the specific needs of the enterprise or client.&#10;&#10;Commonly found in:&#10;Enterprise RTOs.&#10;RTOs also operating as Group Training Org’ns.&#10;Multi-field independent RTOs.&#10;Subject specialist independent RTOs with strong industry partnerships.&#10;Volunteer providing contexts.&#10;&#10;Typical employment arrangements:&#10;Sits within existing employment relationship (or not, if training delivered by volunteers).&#10;&#10;Job pathways in:&#10;Industry practitioner.&#10;Training &amp; Development Professional.&#10;&#10;Job pathways out:&#10;Training &amp; Development Professional.&#10;&#10;Career progression:&#10;Promotion to more senior role in an enterprise training team (e.g. Training Manager or Coordinator).&#10;&#10;Education &amp; training:&#10;Minimum requirements per RTO Standards without supervision.&#10;Certificate IV in Training and Assessment; AND&#10;Vocational competencies at least to level trained/assessed&#10;May commence providing training under supervision without Certificate IV TAE or higher if completed Work Skill Instructor Skill Set (or other permitted Skill S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095564" name="Picture 1" descr="Core duties: &#10;Duties closely resemble the duties of teach, train and assess roles, though with different cohort/context. Deliver training and assessment to employees, volunteers or contracts (including apprentices and trainees) in the workplace, often contextualising training to meet the specific needs of the enterprise or client.&#10;&#10;Commonly found in:&#10;Enterprise RTOs.&#10;RTOs also operating as Group Training Org’ns.&#10;Multi-field independent RTOs.&#10;Subject specialist independent RTOs with strong industry partnerships.&#10;Volunteer providing contexts.&#10;&#10;Typical employment arrangements:&#10;Sits within existing employment relationship (or not, if training delivered by volunteers).&#10;&#10;Job pathways in:&#10;Industry practitioner.&#10;Training &amp; Development Professional.&#10;&#10;Job pathways out:&#10;Training &amp; Development Professional.&#10;&#10;Career progression:&#10;Promotion to more senior role in an enterprise training team (e.g. Training Manager or Coordinator).&#10;&#10;Education &amp; training:&#10;Minimum requirements per RTO Standards without supervision.&#10;Certificate IV in Training and Assessment; AND&#10;Vocational competencies at least to level trained/assessed&#10;May commence providing training under supervision without Certificate IV TAE or higher if completed Work Skill Instructor Skill Set (or other permitted Skill Set).&#1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52000" cy="4803495"/>
                    </a:xfrm>
                    <a:prstGeom prst="rect">
                      <a:avLst/>
                    </a:prstGeom>
                    <a:solidFill>
                      <a:schemeClr val="bg1"/>
                    </a:solidFill>
                  </pic:spPr>
                </pic:pic>
              </a:graphicData>
            </a:graphic>
          </wp:inline>
        </w:drawing>
      </w:r>
    </w:p>
    <w:p w14:paraId="0601B762" w14:textId="552198A9" w:rsidR="007475A4" w:rsidRDefault="00D176DF" w:rsidP="002D4813">
      <w:pPr>
        <w:pStyle w:val="Heading4"/>
      </w:pPr>
      <w:r>
        <w:br/>
      </w:r>
      <w:r w:rsidR="007475A4">
        <w:t xml:space="preserve">Broader </w:t>
      </w:r>
      <w:r w:rsidR="00FF0A78">
        <w:t>s</w:t>
      </w:r>
      <w:r w:rsidR="007475A4">
        <w:t xml:space="preserve">cope </w:t>
      </w:r>
      <w:r w:rsidR="00CB29F6">
        <w:t>Teach, Train, and Assess</w:t>
      </w:r>
      <w:r w:rsidR="007475A4">
        <w:t xml:space="preserve"> </w:t>
      </w:r>
      <w:r w:rsidR="00FF0A78">
        <w:t>r</w:t>
      </w:r>
      <w:r w:rsidR="007475A4">
        <w:t>oles</w:t>
      </w:r>
    </w:p>
    <w:p w14:paraId="49F7A245" w14:textId="77777777" w:rsidR="00BF4146" w:rsidRDefault="007475A4" w:rsidP="00E16D4F">
      <w:pPr>
        <w:pStyle w:val="Bodycopy"/>
      </w:pPr>
      <w:r>
        <w:t xml:space="preserve">Many teachers, trainers and assessors will progress to a broader level of responsibility and teaching scope through gaining higher qualifications or multiple years of teaching experience. The core duties of these roles are distinguished from a more entry-level or focused role by the extent to which trainers and assessors deliver a broader range of units and qualifications; mentor and supervise staff and lead industry engagement. </w:t>
      </w:r>
    </w:p>
    <w:p w14:paraId="0AE4D191" w14:textId="161BEC63" w:rsidR="007475A4" w:rsidRPr="0031139B" w:rsidRDefault="007475A4" w:rsidP="00E16D4F">
      <w:pPr>
        <w:pStyle w:val="Bodycopy"/>
      </w:pPr>
      <w:r>
        <w:t>For example, workers at this level may lead place-based approaches for teaching or specific adaptions to service student cohorts</w:t>
      </w:r>
      <w:r w:rsidR="00FE3553">
        <w:t>.</w:t>
      </w:r>
      <w:r w:rsidR="00FE3553">
        <w:rPr>
          <w:rStyle w:val="EndnoteReference"/>
        </w:rPr>
        <w:endnoteReference w:id="52"/>
      </w:r>
      <w:r>
        <w:t xml:space="preserve">  Stakeholders also reported that </w:t>
      </w:r>
      <w:r w:rsidR="00CC6D50">
        <w:t>VET teachers</w:t>
      </w:r>
      <w:r>
        <w:t xml:space="preserve"> upskill through Diplomas and </w:t>
      </w:r>
      <w:bookmarkStart w:id="161" w:name="_Int_SJobivmk"/>
      <w:r>
        <w:t>Associate Degrees</w:t>
      </w:r>
      <w:bookmarkEnd w:id="161"/>
      <w:r>
        <w:t xml:space="preserve"> so they can play more of a leading role in interpreting training package changes.</w:t>
      </w:r>
    </w:p>
    <w:p w14:paraId="2A1CFCED" w14:textId="77777777" w:rsidR="00BF4146" w:rsidRDefault="007475A4" w:rsidP="00E16D4F">
      <w:pPr>
        <w:pStyle w:val="Bodycopy"/>
      </w:pPr>
      <w:r>
        <w:t xml:space="preserve">Teachers, trainers, and assessors at this level will often report to the leader of a teaching team such as a head trainer or faculty or departmental head in larger RTOs, or an operations manager in smaller providers.  At one private RTO based in Brisbane, a Trainer and Assessor – Level B requires a diploma or higher-level qualification in adult education or at least five years of experience as a trainer and assessor. At this RTO, further progression to Level C is linked to ten years or more experience. </w:t>
      </w:r>
    </w:p>
    <w:p w14:paraId="07486C8A" w14:textId="3C191A91" w:rsidR="007475A4" w:rsidRPr="0031139B" w:rsidRDefault="007475A4" w:rsidP="00E16D4F">
      <w:pPr>
        <w:pStyle w:val="Bodycopy"/>
        <w:rPr>
          <w:color w:val="1192E8" w:themeColor="accent3"/>
        </w:rPr>
      </w:pPr>
      <w:r>
        <w:lastRenderedPageBreak/>
        <w:t xml:space="preserve">A VET diploma qualification is a common requirement for these broader scope roles and job titles at this level are described broadly in enterprise agreements as Trainer and Assessor – Level B or higher, Teacher – Level 2 or higher or Senior Educator, Lecturer, Academic Teacher. </w:t>
      </w:r>
    </w:p>
    <w:p w14:paraId="00789AD7" w14:textId="326C72CB" w:rsidR="007475A4" w:rsidRPr="0031139B" w:rsidRDefault="007475A4" w:rsidP="00E16D4F">
      <w:pPr>
        <w:pStyle w:val="Bodycopy"/>
        <w:rPr>
          <w:color w:val="1192E8" w:themeColor="accent3"/>
        </w:rPr>
      </w:pPr>
      <w:r>
        <w:t>Other job titles at this level in EBAs, practitioner frameworks or progression levels specific to organisations collected for this study are: Accomplished Lecturer, Advanced Skills Lecturer Level 1, Team Leader, Senior Educator. Some of these roles crossover or move into more extended scope and responsibility</w:t>
      </w:r>
      <w:r w:rsidR="00420A73">
        <w:t>,</w:t>
      </w:r>
      <w:r>
        <w:t xml:space="preserve"> hence the spectrum approach to this initial occupational framework. For example, Senior Educator is common across different RTOs in both management type and size to articulate teachers who have broad or extended responsibilities. </w:t>
      </w:r>
    </w:p>
    <w:p w14:paraId="2DD8E021" w14:textId="0534BE92" w:rsidR="007475A4" w:rsidRPr="0031139B" w:rsidRDefault="007475A4" w:rsidP="00E16D4F">
      <w:pPr>
        <w:pStyle w:val="Bodycopy"/>
        <w:rPr>
          <w:color w:val="1192E8" w:themeColor="accent3"/>
        </w:rPr>
      </w:pPr>
      <w:r>
        <w:t xml:space="preserve">Relative to their more entry-level or focused teaching counterparts, a senior trainer and assessor may be more likely to be in ongoing employment on either a full or part-time basis and pursue career pathways into leadership. Teachers with this broader scope are profiled in </w:t>
      </w:r>
      <w:hyperlink w:anchor="Figure_3_8" w:history="1">
        <w:r w:rsidRPr="00564816">
          <w:rPr>
            <w:rStyle w:val="Hyperlink"/>
          </w:rPr>
          <w:t>Figure 3.8</w:t>
        </w:r>
      </w:hyperlink>
      <w:r>
        <w:t>.</w:t>
      </w:r>
    </w:p>
    <w:p w14:paraId="741B2A67" w14:textId="2557BA07" w:rsidR="007475A4" w:rsidRDefault="007475A4" w:rsidP="00E16D4F">
      <w:pPr>
        <w:pStyle w:val="Bodycopy"/>
      </w:pPr>
      <w:r>
        <w:t xml:space="preserve">This level may also be the entry point for some teachers, trainer and assessors who have completed a Diploma or higher-level qualification in adult education or who are shifting into VET as an experienced teacher or educator from another sector (e.g. secondary school education or higher education). However, as noted </w:t>
      </w:r>
      <w:r w:rsidR="00DF4AFF">
        <w:t>earlier</w:t>
      </w:r>
      <w:r>
        <w:t xml:space="preserve">, industry skills are still required and the unique </w:t>
      </w:r>
      <w:r w:rsidR="005479BC" w:rsidRPr="005479BC">
        <w:t xml:space="preserve">pedagogical </w:t>
      </w:r>
      <w:r>
        <w:t>demands of VET teaching mean many providers still prefer a Certificate IV TAE credential.</w:t>
      </w:r>
    </w:p>
    <w:p w14:paraId="5136A3A5" w14:textId="2B0FF4BA" w:rsidR="007475A4" w:rsidRDefault="007475A4" w:rsidP="007475A4">
      <w:pPr>
        <w:pStyle w:val="Caption"/>
        <w:keepNext/>
      </w:pPr>
      <w:bookmarkStart w:id="162" w:name="Figure_3_8"/>
      <w:r w:rsidRPr="070D62CA">
        <w:lastRenderedPageBreak/>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4C455A">
        <w:t>.</w:t>
      </w:r>
      <w:r w:rsidR="006558DC">
        <w:fldChar w:fldCharType="begin"/>
      </w:r>
      <w:r w:rsidR="006558DC">
        <w:instrText xml:space="preserve"> SEQ Figure \* ARABIC \s 1 </w:instrText>
      </w:r>
      <w:r w:rsidR="006558DC">
        <w:fldChar w:fldCharType="separate"/>
      </w:r>
      <w:r w:rsidR="00E7704E">
        <w:rPr>
          <w:noProof/>
        </w:rPr>
        <w:t>8</w:t>
      </w:r>
      <w:r w:rsidR="006558DC">
        <w:fldChar w:fldCharType="end"/>
      </w:r>
      <w:r w:rsidRPr="070D62CA">
        <w:t xml:space="preserve"> </w:t>
      </w:r>
      <w:r w:rsidR="00CB29F6">
        <w:t>Teach, Train, and Assess</w:t>
      </w:r>
      <w:r w:rsidRPr="070D62CA">
        <w:t xml:space="preserve"> roles with broader scope</w:t>
      </w:r>
    </w:p>
    <w:bookmarkEnd w:id="162"/>
    <w:p w14:paraId="3830DAAB" w14:textId="59AA9929" w:rsidR="007475A4" w:rsidRPr="008942A4" w:rsidRDefault="00EA1D7D" w:rsidP="007475A4">
      <w:pPr>
        <w:rPr>
          <w:lang w:val="en-US"/>
        </w:rPr>
      </w:pPr>
      <w:r>
        <w:rPr>
          <w:noProof/>
          <w:lang w:val="en-US"/>
        </w:rPr>
        <w:drawing>
          <wp:inline distT="0" distB="0" distL="0" distR="0" wp14:anchorId="5A26EA16" wp14:editId="50E18FCD">
            <wp:extent cx="5651998" cy="6110040"/>
            <wp:effectExtent l="0" t="0" r="6350" b="5080"/>
            <wp:docPr id="929004422" name="Picture 2" descr="Core duties: &#10;Deliver a broader range of units/qualifications.&#10;Designs and adapts learning and assessment materials in line with training package requirements for place-based or student needs.&#10;Assess individual learner needs and putting a support strategy in place.&#10;Contribute to the RTO’s learning and assessment strategy for the unit/qualification delivered.&#10;Supervise or mentor other RTO teaching staff.&#10;Contribute to organisational activities such as business development or industry engagement.&#10;&#10;Commonly found in:&#10;TAFEs.&#10;Dual sector institutions.&#10;Multi-field independent RTOs.&#10;Subject specialist independent RTOs.&#10;Enterprise RTOs.&#10;ACE providers.&#10;&#10;Typical employment arrangements:&#10;May be full-time, part-time, casual or sessional.&#10;More likely than initial level roles to be in ongoing full-time or part-time employment.&#10;&#10;Job pathways in:&#10;VET trainer and assessor – initial level.&#10;School teacher.&#10;University lecturer.&#10;Training &amp; Development Professional.&#10;&#10;Job pathways out:&#10;Further study to become a School teacher.&#10;Education Adviser or curriculum and learning design roles.&#10;Training &amp; Development Professional.&#10;&#10;Career progression:&#10;Promotion to team leader and/or faculty head roles.&#10;Move into other VET workforce segments (e.g. curriculum and learning design).&#10;&#10;Education &amp; training:&#10;Minimum requirements per RTO Standards but generally a higher than Certificate IV TAE qualification combined with multiple years of experience in either education or industry (typically as a VET teacher but may also be as a trainer or educator in other sectors); OR&#10;A diploma or higher-level qualification in adult education or specialisations e.g. in curriculum development, students with special needs etc.&#10;Management qualifications for team leads/mentoring staf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004422" name="Picture 2" descr="Core duties: &#10;Deliver a broader range of units/qualifications.&#10;Designs and adapts learning and assessment materials in line with training package requirements for place-based or student needs.&#10;Assess individual learner needs and putting a support strategy in place.&#10;Contribute to the RTO’s learning and assessment strategy for the unit/qualification delivered.&#10;Supervise or mentor other RTO teaching staff.&#10;Contribute to organisational activities such as business development or industry engagement.&#10;&#10;Commonly found in:&#10;TAFEs.&#10;Dual sector institutions.&#10;Multi-field independent RTOs.&#10;Subject specialist independent RTOs.&#10;Enterprise RTOs.&#10;ACE providers.&#10;&#10;Typical employment arrangements:&#10;May be full-time, part-time, casual or sessional.&#10;More likely than initial level roles to be in ongoing full-time or part-time employment.&#10;&#10;Job pathways in:&#10;VET trainer and assessor – initial level.&#10;School teacher.&#10;University lecturer.&#10;Training &amp; Development Professional.&#10;&#10;Job pathways out:&#10;Further study to become a School teacher.&#10;Education Adviser or curriculum and learning design roles.&#10;Training &amp; Development Professional.&#10;&#10;Career progression:&#10;Promotion to team leader and/or faculty head roles.&#10;Move into other VET workforce segments (e.g. curriculum and learning design).&#10;&#10;Education &amp; training:&#10;Minimum requirements per RTO Standards but generally a higher than Certificate IV TAE qualification combined with multiple years of experience in either education or industry (typically as a VET teacher but may also be as a trainer or educator in other sectors); OR&#10;A diploma or higher-level qualification in adult education or specialisations e.g. in curriculum development, students with special needs etc.&#10;Management qualifications for team leads/mentoring staff.&#1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51998" cy="6110040"/>
                    </a:xfrm>
                    <a:prstGeom prst="rect">
                      <a:avLst/>
                    </a:prstGeom>
                    <a:solidFill>
                      <a:schemeClr val="bg1"/>
                    </a:solidFill>
                  </pic:spPr>
                </pic:pic>
              </a:graphicData>
            </a:graphic>
          </wp:inline>
        </w:drawing>
      </w:r>
    </w:p>
    <w:p w14:paraId="47F68833" w14:textId="77777777" w:rsidR="00BF4146" w:rsidRDefault="00BF4146" w:rsidP="002D4813">
      <w:pPr>
        <w:pStyle w:val="Heading4"/>
      </w:pPr>
    </w:p>
    <w:p w14:paraId="454190E9" w14:textId="3D2E4CDA" w:rsidR="007475A4" w:rsidRDefault="007475A4" w:rsidP="002D4813">
      <w:pPr>
        <w:pStyle w:val="Heading4"/>
      </w:pPr>
      <w:r>
        <w:t xml:space="preserve">Extended </w:t>
      </w:r>
      <w:r w:rsidR="008533D2">
        <w:t>s</w:t>
      </w:r>
      <w:r>
        <w:t xml:space="preserve">cope </w:t>
      </w:r>
      <w:r w:rsidR="00CB29F6">
        <w:t>Teach, Train, and Assess</w:t>
      </w:r>
      <w:r>
        <w:t xml:space="preserve"> </w:t>
      </w:r>
      <w:r w:rsidR="008533D2">
        <w:t>r</w:t>
      </w:r>
      <w:r>
        <w:t xml:space="preserve">oles </w:t>
      </w:r>
    </w:p>
    <w:p w14:paraId="7F611CB9" w14:textId="77777777" w:rsidR="007475A4" w:rsidRPr="00FC338F" w:rsidRDefault="007475A4" w:rsidP="007475A4">
      <w:pPr>
        <w:keepNext/>
        <w:keepLines/>
        <w:rPr>
          <w:color w:val="1192E8" w:themeColor="accent3"/>
        </w:rPr>
      </w:pPr>
      <w:r>
        <w:t>Teachers, trainers and assessors with extended scope are responsible for a substantial program of training and assessment. A substantial program may be determined by a combination of volume of students, range of qualifications and units delivered, diversity of student cohort and level of additional learning support needs.</w:t>
      </w:r>
    </w:p>
    <w:p w14:paraId="4B97DC7E" w14:textId="35F5946E" w:rsidR="007475A4" w:rsidRDefault="007475A4" w:rsidP="00E16D4F">
      <w:pPr>
        <w:pStyle w:val="Bodycopy"/>
      </w:pPr>
      <w:r>
        <w:t>Job titles at this level may include Head Trainer, Head Teacher, Program Coordinator, Program Lead, Principal Lecturer, Advanced Industry Lecturer, Advanced Skills Lecturer Level 2, Senior Educator, Educational Team Lead, Faculty Head, Leading Vocational Teacher</w:t>
      </w:r>
      <w:r w:rsidR="00DF4AFF">
        <w:t>,</w:t>
      </w:r>
      <w:r>
        <w:t xml:space="preserve"> or other similar terms. There is of course crossover with the leadership segment in these extended roles, especially in smaller or medium sized RTOs. </w:t>
      </w:r>
    </w:p>
    <w:p w14:paraId="1BF2AE35" w14:textId="04A48767" w:rsidR="007475A4" w:rsidRDefault="007475A4" w:rsidP="00E16D4F">
      <w:pPr>
        <w:pStyle w:val="Bodycopy"/>
      </w:pPr>
      <w:r>
        <w:lastRenderedPageBreak/>
        <w:t>The duties associated with this level are distinguished from a practitioner with focused or broad scope and responsibilities</w:t>
      </w:r>
      <w:r w:rsidR="00DF4AFF">
        <w:t>,</w:t>
      </w:r>
      <w:r>
        <w:t xml:space="preserve"> by the extent to which trainers and assessors' quality assure learning and assessment materials, teaching instruction and broader education supports and strategies. They also proactively lead organisational activities within their industry area and teaching supervision is usually a much higher part of their workload than face-to-face teaching. See </w:t>
      </w:r>
      <w:hyperlink w:anchor="Figure_3_9" w:history="1">
        <w:r w:rsidRPr="00564816">
          <w:rPr>
            <w:rStyle w:val="Hyperlink"/>
          </w:rPr>
          <w:t>Figure 3.9</w:t>
        </w:r>
      </w:hyperlink>
      <w:r>
        <w:t xml:space="preserve"> for a detailed profile.</w:t>
      </w:r>
    </w:p>
    <w:p w14:paraId="4811F853" w14:textId="77777777" w:rsidR="007475A4" w:rsidRPr="008E14DE" w:rsidRDefault="007475A4" w:rsidP="00E16D4F">
      <w:pPr>
        <w:pStyle w:val="Bodycopy"/>
      </w:pPr>
      <w:r>
        <w:t>As the leader of their program or teaching team, a Head Trainer/Teacher, Faculty Head or Principal lecturer will typically report to a non-teaching senior leader within the provider, though with considerable autonomy over the educational aspects of their role. Individuals operating at this level will typically hold a diploma or higher-level qualification or combine the Certificate IV TAE with significant experience and expertise through ongoing professional development.</w:t>
      </w:r>
    </w:p>
    <w:p w14:paraId="79F6D643" w14:textId="1239E77D" w:rsidR="00BF4146" w:rsidRDefault="007475A4" w:rsidP="00E16D4F">
      <w:pPr>
        <w:pStyle w:val="Bodycopy"/>
      </w:pPr>
      <w:r>
        <w:t>Those operating at this extended scope may move in and out of specialist learning design or quality assurance and compliance roles as a career break from teaching, or specialisation. They may also progress into senior management roles in a provider. Acting roles are common for these managerial positions but tend to be short-term and can be disruptive when teachers return to their substantive positions.</w:t>
      </w:r>
      <w:r w:rsidR="00FE3553">
        <w:rPr>
          <w:rStyle w:val="EndnoteReference"/>
        </w:rPr>
        <w:endnoteReference w:id="53"/>
      </w:r>
      <w:r>
        <w:t xml:space="preserve"> </w:t>
      </w:r>
    </w:p>
    <w:p w14:paraId="05809CFD" w14:textId="32211C40" w:rsidR="00BF4146" w:rsidRDefault="007475A4" w:rsidP="00E16D4F">
      <w:pPr>
        <w:pStyle w:val="Bodycopy"/>
      </w:pPr>
      <w:r>
        <w:t>It is also worth noting that some senior teachers would rather remain in substantive teaching roles</w:t>
      </w:r>
      <w:r w:rsidR="00EC2734">
        <w:t>,</w:t>
      </w:r>
      <w:r>
        <w:t xml:space="preserve"> but career progression opportunities in such cases can be limited. Also, some teachers do not want to move into management or non-teaching roles due to perceptions of high administrative and compliance workloads</w:t>
      </w:r>
      <w:r w:rsidR="00EC2734">
        <w:t>,</w:t>
      </w:r>
      <w:r>
        <w:t xml:space="preserve"> and lack of support from other leaders.</w:t>
      </w:r>
      <w:r w:rsidR="00571AF1">
        <w:rPr>
          <w:rStyle w:val="EndnoteReference"/>
        </w:rPr>
        <w:endnoteReference w:id="54"/>
      </w:r>
      <w:r>
        <w:t xml:space="preserve"> </w:t>
      </w:r>
    </w:p>
    <w:p w14:paraId="74707685" w14:textId="6EBB02F2" w:rsidR="007475A4" w:rsidRDefault="00F877AF" w:rsidP="00E16D4F">
      <w:pPr>
        <w:pStyle w:val="Bodycopy"/>
      </w:pPr>
      <w:r w:rsidRPr="00F877AF">
        <w:t xml:space="preserve">In acknowledgement of this, the most recent review of the Training and Education Training Package considered Braithwaite’s (2018) recommendation to </w:t>
      </w:r>
      <w:r w:rsidR="007475A4">
        <w:t>create career paths to teaching excellence. Indeed, the different teaching practitioner frameworks and progressions through various EBAs are an indication that in many parts of VET this is already common practice.</w:t>
      </w:r>
      <w:r w:rsidR="00571AF1">
        <w:rPr>
          <w:rStyle w:val="EndnoteReference"/>
        </w:rPr>
        <w:endnoteReference w:id="55"/>
      </w:r>
    </w:p>
    <w:p w14:paraId="197FBB83" w14:textId="317B08B7" w:rsidR="007475A4" w:rsidRDefault="007475A4" w:rsidP="007475A4">
      <w:pPr>
        <w:pStyle w:val="Caption"/>
        <w:keepNext/>
      </w:pPr>
      <w:bookmarkStart w:id="163" w:name="Figure_3_9"/>
      <w:r w:rsidRPr="070D62CA">
        <w:lastRenderedPageBreak/>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4C455A">
        <w:t>.</w:t>
      </w:r>
      <w:r w:rsidR="006558DC">
        <w:fldChar w:fldCharType="begin"/>
      </w:r>
      <w:r w:rsidR="006558DC">
        <w:instrText xml:space="preserve"> SEQ Figure \* ARABIC \s 1 </w:instrText>
      </w:r>
      <w:r w:rsidR="006558DC">
        <w:fldChar w:fldCharType="separate"/>
      </w:r>
      <w:r w:rsidR="00E7704E">
        <w:rPr>
          <w:noProof/>
        </w:rPr>
        <w:t>9</w:t>
      </w:r>
      <w:r w:rsidR="006558DC">
        <w:fldChar w:fldCharType="end"/>
      </w:r>
      <w:r w:rsidRPr="070D62CA">
        <w:t xml:space="preserve"> </w:t>
      </w:r>
      <w:r w:rsidR="00CB29F6">
        <w:t>Teach, Train, and Assess</w:t>
      </w:r>
      <w:r w:rsidRPr="070D62CA">
        <w:t xml:space="preserve"> roles with extended scope</w:t>
      </w:r>
    </w:p>
    <w:bookmarkEnd w:id="163"/>
    <w:p w14:paraId="6F3976B0" w14:textId="46FBCF19" w:rsidR="00526123" w:rsidRPr="00DD11E4" w:rsidDel="00C314B9" w:rsidRDefault="00FC6D31" w:rsidP="007475A4">
      <w:pPr>
        <w:rPr>
          <w:lang w:val="en-US"/>
        </w:rPr>
      </w:pPr>
      <w:r>
        <w:rPr>
          <w:noProof/>
          <w:lang w:val="en-US"/>
        </w:rPr>
        <w:drawing>
          <wp:inline distT="0" distB="0" distL="0" distR="0" wp14:anchorId="51F01668" wp14:editId="2A77CC33">
            <wp:extent cx="5580000" cy="6113156"/>
            <wp:effectExtent l="0" t="0" r="1905" b="1905"/>
            <wp:docPr id="272451296" name="Picture 3" descr="Core duties: &#10;Quality assure learning and assessment materials of others.&#10;Responsible for the RTO’s learning and assessment strategy for the unit/qualification delivered or multiple training packages.&#10;Lead a teaching team, or have supervision and mentoring as a significant component of the workload.&#10;Lead organisational activities within their relevant area.&#10;Actively engage with industry and other stakeholders and devise RTO strategic response (e.g. business development).&#10;&#10;Commonly found in:&#10;TAFEs.&#10;Dual sector institutions.&#10;Multi-field independent RTOs.&#10;Enterprise RTOs (large).&#10;ACE providers.&#10;&#10;Typical employment arrangements:&#10;Typically employed on full-time or part-time basis.&#10;Contracts to multiple RTOS.&#10;&#10;Job pathways in:&#10;VET trainer and assessor. &#10;School teacher.&#10;University lecturer.&#10;Training &amp; Development Professional.&#10;&#10;Job pathways out:&#10;Senior teaching roles in schools, universities and other contexts.&#10;Management roles in education or other sectors.&#10;Education Adviser.&#10;Training &amp; Development Professional.&#10;&#10;Career progression:&#10;Promotion to non-teaching roles or education executive roles (e.g. General Manager – Training, Head of Teaching Instruction, Academic Director).&#10;Move into other VET workforce segments (e.g. curriculum and learning design).&#10;&#10;Education &amp; training:&#10;Minimum requirements per RTO Standards.  &#10;Will commonly: hold a diploma or above qualification in adult education ; OR&#10;Combine the Diploma in Training and Assessment with significant experience and expertise including ongoing professional development in both vocational speciality and education.&#10;Management qualifications or experi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51296" name="Picture 3" descr="Core duties: &#10;Quality assure learning and assessment materials of others.&#10;Responsible for the RTO’s learning and assessment strategy for the unit/qualification delivered or multiple training packages.&#10;Lead a teaching team, or have supervision and mentoring as a significant component of the workload.&#10;Lead organisational activities within their relevant area.&#10;Actively engage with industry and other stakeholders and devise RTO strategic response (e.g. business development).&#10;&#10;Commonly found in:&#10;TAFEs.&#10;Dual sector institutions.&#10;Multi-field independent RTOs.&#10;Enterprise RTOs (large).&#10;ACE providers.&#10;&#10;Typical employment arrangements:&#10;Typically employed on full-time or part-time basis.&#10;Contracts to multiple RTOS.&#10;&#10;Job pathways in:&#10;VET trainer and assessor. &#10;School teacher.&#10;University lecturer.&#10;Training &amp; Development Professional.&#10;&#10;Job pathways out:&#10;Senior teaching roles in schools, universities and other contexts.&#10;Management roles in education or other sectors.&#10;Education Adviser.&#10;Training &amp; Development Professional.&#10;&#10;Career progression:&#10;Promotion to non-teaching roles or education executive roles (e.g. General Manager – Training, Head of Teaching Instruction, Academic Director).&#10;Move into other VET workforce segments (e.g. curriculum and learning design).&#10;&#10;Education &amp; training:&#10;Minimum requirements per RTO Standards.  &#10;Will commonly: hold a diploma or above qualification in adult education ; OR&#10;Combine the Diploma in Training and Assessment with significant experience and expertise including ongoing professional development in both vocational speciality and education.&#10;Management qualifications or experience.&#1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80000" cy="6113156"/>
                    </a:xfrm>
                    <a:prstGeom prst="rect">
                      <a:avLst/>
                    </a:prstGeom>
                    <a:solidFill>
                      <a:schemeClr val="bg1"/>
                    </a:solidFill>
                  </pic:spPr>
                </pic:pic>
              </a:graphicData>
            </a:graphic>
          </wp:inline>
        </w:drawing>
      </w:r>
    </w:p>
    <w:p w14:paraId="618CBAC0" w14:textId="77777777" w:rsidR="000A1C4C" w:rsidRDefault="000A1C4C" w:rsidP="001A0A52">
      <w:pPr>
        <w:pStyle w:val="Heading4"/>
        <w:spacing w:before="360"/>
      </w:pPr>
    </w:p>
    <w:p w14:paraId="1CF56D1F" w14:textId="6C61086A" w:rsidR="007475A4" w:rsidDel="00C314B9" w:rsidRDefault="7F812DF6" w:rsidP="001A0A52">
      <w:pPr>
        <w:pStyle w:val="Heading4"/>
        <w:spacing w:before="360"/>
      </w:pPr>
      <w:r>
        <w:t xml:space="preserve">Specialised </w:t>
      </w:r>
      <w:r w:rsidR="008533D2">
        <w:t>t</w:t>
      </w:r>
      <w:r>
        <w:t xml:space="preserve">eaching </w:t>
      </w:r>
      <w:r w:rsidR="008533D2">
        <w:t>r</w:t>
      </w:r>
      <w:r>
        <w:t xml:space="preserve">oles: VET in </w:t>
      </w:r>
      <w:r w:rsidR="008533D2">
        <w:t>s</w:t>
      </w:r>
      <w:r>
        <w:t xml:space="preserve">econdary </w:t>
      </w:r>
      <w:r w:rsidR="008533D2">
        <w:t>s</w:t>
      </w:r>
      <w:r>
        <w:t xml:space="preserve">chools, </w:t>
      </w:r>
      <w:r w:rsidR="008533D2">
        <w:t>l</w:t>
      </w:r>
      <w:r w:rsidR="01A0A730">
        <w:t>iteracy</w:t>
      </w:r>
      <w:r w:rsidR="007142B3">
        <w:t>,</w:t>
      </w:r>
      <w:r w:rsidR="01A0A730">
        <w:t xml:space="preserve"> and </w:t>
      </w:r>
      <w:r w:rsidR="008533D2">
        <w:t>n</w:t>
      </w:r>
      <w:r w:rsidR="01A0A730">
        <w:t xml:space="preserve">umeracy </w:t>
      </w:r>
      <w:r w:rsidR="008533D2">
        <w:t>t</w:t>
      </w:r>
      <w:r w:rsidR="2D86F8DD">
        <w:t xml:space="preserve">eachers </w:t>
      </w:r>
      <w:r w:rsidR="01A0A730">
        <w:t>and</w:t>
      </w:r>
      <w:r w:rsidR="4F15C98C">
        <w:t xml:space="preserve"> TESOL</w:t>
      </w:r>
      <w:r w:rsidR="021561C2">
        <w:t xml:space="preserve"> </w:t>
      </w:r>
      <w:r w:rsidR="008533D2">
        <w:t>t</w:t>
      </w:r>
      <w:r w:rsidR="021561C2">
        <w:t>eachers</w:t>
      </w:r>
    </w:p>
    <w:p w14:paraId="7B31BB6F" w14:textId="1399B9C6" w:rsidR="003417F6" w:rsidRDefault="007475A4" w:rsidP="00BF4146">
      <w:pPr>
        <w:pStyle w:val="Bodycopy"/>
      </w:pPr>
      <w:r>
        <w:t>The VET system encompasses a broad range of provider types and delivery contexts as well as serving a range of purposes from developing vocational skills for a particular industry</w:t>
      </w:r>
      <w:r w:rsidR="007C5B0A">
        <w:t>,</w:t>
      </w:r>
      <w:r>
        <w:t xml:space="preserve"> to providing </w:t>
      </w:r>
      <w:r w:rsidR="44CC87E5">
        <w:t>literacy and numeracy</w:t>
      </w:r>
      <w:r>
        <w:t xml:space="preserve"> skills to enable active participation in further education and employment</w:t>
      </w:r>
      <w:r w:rsidR="000B60AE">
        <w:t>,</w:t>
      </w:r>
      <w:r>
        <w:t xml:space="preserve"> including VET qualifications. </w:t>
      </w:r>
      <w:r w:rsidR="005F5C82">
        <w:t>T</w:t>
      </w:r>
      <w:r>
        <w:t xml:space="preserve">he context in which </w:t>
      </w:r>
      <w:r w:rsidR="00CC6D50">
        <w:t>VET teachers</w:t>
      </w:r>
      <w:r>
        <w:t xml:space="preserve">, trainers and assessors operate </w:t>
      </w:r>
      <w:r w:rsidR="0058005A">
        <w:t xml:space="preserve">can </w:t>
      </w:r>
      <w:r>
        <w:t>have a significant impact on their job role.</w:t>
      </w:r>
      <w:r w:rsidR="00571AF1">
        <w:rPr>
          <w:rStyle w:val="EndnoteReference"/>
        </w:rPr>
        <w:endnoteReference w:id="56"/>
      </w:r>
      <w:r w:rsidR="00C617DF">
        <w:t xml:space="preserve"> </w:t>
      </w:r>
    </w:p>
    <w:p w14:paraId="0E68042C" w14:textId="4B679B73" w:rsidR="007475A4" w:rsidRDefault="007475A4" w:rsidP="00BF4146">
      <w:pPr>
        <w:pStyle w:val="Bodycopy"/>
      </w:pPr>
      <w:r>
        <w:t>It may also shape the extent to which individuals identify more strongly with their industry identity</w:t>
      </w:r>
      <w:r w:rsidR="004F4518">
        <w:t>,</w:t>
      </w:r>
      <w:r>
        <w:t xml:space="preserve"> or their teaching one. This self-identification may be an important factor in an </w:t>
      </w:r>
      <w:r>
        <w:lastRenderedPageBreak/>
        <w:t xml:space="preserve">individual’s willingness to invest in developing their </w:t>
      </w:r>
      <w:r w:rsidR="004D7B25" w:rsidRPr="004D7B25">
        <w:t xml:space="preserve">pedagogical </w:t>
      </w:r>
      <w:r>
        <w:t>skills in the case of VET capabilities on one hand, or industry skills, currency and connections on the other. These sentiments are especially relevant for specialist VET teaching roles which are the topic of the next section.</w:t>
      </w:r>
    </w:p>
    <w:p w14:paraId="6796A45F" w14:textId="77777777" w:rsidR="007475A4" w:rsidRPr="00BF4146" w:rsidRDefault="007475A4" w:rsidP="003417F6">
      <w:pPr>
        <w:pStyle w:val="Bodycopy"/>
        <w:spacing w:before="120"/>
        <w:rPr>
          <w:b/>
          <w:bCs/>
        </w:rPr>
      </w:pPr>
      <w:r w:rsidRPr="00BF4146">
        <w:rPr>
          <w:b/>
          <w:bCs/>
        </w:rPr>
        <w:t>VET roles in secondary schools</w:t>
      </w:r>
    </w:p>
    <w:p w14:paraId="44BC68CB" w14:textId="49A6B430" w:rsidR="003417F6" w:rsidRDefault="007475A4" w:rsidP="00BF4146">
      <w:pPr>
        <w:pStyle w:val="Bodycopy"/>
      </w:pPr>
      <w:r>
        <w:t>According to NCVER, there were nearly 243,000 VET school students in 2022 and there are various models of delivering VET in this context</w:t>
      </w:r>
      <w:r w:rsidR="001F0FD8">
        <w:t>,</w:t>
      </w:r>
      <w:r>
        <w:t xml:space="preserve"> as per </w:t>
      </w:r>
      <w:hyperlink w:anchor="Figure_3_10" w:history="1">
        <w:r w:rsidRPr="00564816">
          <w:rPr>
            <w:rStyle w:val="Hyperlink"/>
          </w:rPr>
          <w:t>Figure 3.10</w:t>
        </w:r>
      </w:hyperlink>
      <w:r>
        <w:t>. These models shape the core duties, typical employment characteristics, and qualifications of VET in secondary school (VET</w:t>
      </w:r>
      <w:r w:rsidR="009F796B">
        <w:t>D</w:t>
      </w:r>
      <w:r>
        <w:t>SS) roles</w:t>
      </w:r>
      <w:r w:rsidR="00DE25D3">
        <w:t xml:space="preserve">, see </w:t>
      </w:r>
      <w:hyperlink w:anchor="Figure_3_11" w:history="1">
        <w:r w:rsidR="00DE25D3" w:rsidRPr="00564816">
          <w:rPr>
            <w:rStyle w:val="Hyperlink"/>
          </w:rPr>
          <w:t>Figure 3.11</w:t>
        </w:r>
      </w:hyperlink>
      <w:r>
        <w:t xml:space="preserve">. </w:t>
      </w:r>
    </w:p>
    <w:p w14:paraId="349D6B8B" w14:textId="63837215" w:rsidR="00841084" w:rsidRDefault="007475A4" w:rsidP="00BF4146">
      <w:pPr>
        <w:pStyle w:val="Bodycopy"/>
      </w:pPr>
      <w:r>
        <w:t xml:space="preserve">For example, where an external RTO delivers or auspices the training and issues qualifications, the job profile of the trainer and assessor closely resembles that of trainers and assessors in other contexts but may require capability development for delivering training and assessment to a secondary school student cohort, such as working with children and managing behaviour. </w:t>
      </w:r>
    </w:p>
    <w:p w14:paraId="192CAE2D" w14:textId="63B95522" w:rsidR="007475A4" w:rsidRDefault="007475A4" w:rsidP="00BF4146">
      <w:pPr>
        <w:pStyle w:val="Bodycopy"/>
        <w:rPr>
          <w:i/>
          <w:iCs/>
        </w:rPr>
      </w:pPr>
      <w:r>
        <w:t xml:space="preserve">In contrast, model 1 </w:t>
      </w:r>
      <w:r w:rsidR="00344B9A">
        <w:t>(</w:t>
      </w:r>
      <w:hyperlink w:anchor="Figure_3_10" w:history="1">
        <w:r w:rsidR="00DC7D26" w:rsidRPr="00564816">
          <w:rPr>
            <w:rStyle w:val="Hyperlink"/>
          </w:rPr>
          <w:t>Figure 3.10</w:t>
        </w:r>
      </w:hyperlink>
      <w:r w:rsidR="00DC7D26">
        <w:t xml:space="preserve">) </w:t>
      </w:r>
      <w:r>
        <w:t xml:space="preserve">requires those delivering the training to navigate the requirements of both the </w:t>
      </w:r>
      <w:r w:rsidRPr="294321A8">
        <w:rPr>
          <w:i/>
          <w:iCs/>
        </w:rPr>
        <w:t>2011 Framework for Teacher Registration in Australia</w:t>
      </w:r>
      <w:r>
        <w:t xml:space="preserve"> and the </w:t>
      </w:r>
      <w:r w:rsidRPr="294321A8">
        <w:rPr>
          <w:i/>
          <w:iCs/>
        </w:rPr>
        <w:t xml:space="preserve">Standards for Registered Training Organisations 2015. </w:t>
      </w:r>
      <w:r w:rsidR="00AD4CDC">
        <w:rPr>
          <w:i/>
          <w:iCs/>
        </w:rPr>
        <w:br/>
      </w:r>
    </w:p>
    <w:p w14:paraId="6222A9C5" w14:textId="3C8CA055" w:rsidR="007475A4" w:rsidRDefault="007475A4" w:rsidP="007475A4">
      <w:pPr>
        <w:pStyle w:val="Caption"/>
        <w:keepNext/>
      </w:pPr>
      <w:bookmarkStart w:id="164" w:name="Figure_3_10"/>
      <w:r>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6558DC">
        <w:t>:</w:t>
      </w:r>
      <w:r w:rsidR="006558DC">
        <w:fldChar w:fldCharType="begin"/>
      </w:r>
      <w:r w:rsidR="006558DC">
        <w:instrText xml:space="preserve"> SEQ Figure \* ARABIC \s 1 </w:instrText>
      </w:r>
      <w:r w:rsidR="006558DC">
        <w:fldChar w:fldCharType="separate"/>
      </w:r>
      <w:r w:rsidR="00E7704E">
        <w:rPr>
          <w:noProof/>
        </w:rPr>
        <w:t>10</w:t>
      </w:r>
      <w:r w:rsidR="006558DC">
        <w:fldChar w:fldCharType="end"/>
      </w:r>
      <w:r>
        <w:t xml:space="preserve"> Five models of VET delivery to secondary students in Australia</w:t>
      </w:r>
    </w:p>
    <w:tbl>
      <w:tblPr>
        <w:tblStyle w:val="JSATable1"/>
        <w:tblW w:w="8902" w:type="dxa"/>
        <w:tblCellMar>
          <w:left w:w="142" w:type="dxa"/>
          <w:right w:w="142" w:type="dxa"/>
        </w:tblCellMar>
        <w:tblLook w:val="04A0" w:firstRow="1" w:lastRow="0" w:firstColumn="1" w:lastColumn="0" w:noHBand="0" w:noVBand="1"/>
        <w:tblDescription w:val="Model 1 – school/school sector as RTO delivers training and issues qualifications&#10;&#10;Model 2 – school is auspiced/partners with external RTO – school delivers training, qualifications issued by RTO&#10;&#10;Model 3 – school engages RTO to deliver training (within the school or externally). &#10;&#10;Model 4 – students attend external RTO, could be TAFE, another school or private RTO&#10;&#10;Model 5 – Students undertake school-based apprenticeship – may be delivered internally or externally, and employment external to the school&#10;"/>
      </w:tblPr>
      <w:tblGrid>
        <w:gridCol w:w="1771"/>
        <w:gridCol w:w="1874"/>
        <w:gridCol w:w="1767"/>
        <w:gridCol w:w="1711"/>
        <w:gridCol w:w="1779"/>
      </w:tblGrid>
      <w:tr w:rsidR="00EA348C" w14:paraId="3AFB3F7C" w14:textId="77777777" w:rsidTr="00055A3F">
        <w:trPr>
          <w:cnfStyle w:val="100000000000" w:firstRow="1" w:lastRow="0" w:firstColumn="0" w:lastColumn="0" w:oddVBand="0" w:evenVBand="0" w:oddHBand="0" w:evenHBand="0" w:firstRowFirstColumn="0" w:firstRowLastColumn="0" w:lastRowFirstColumn="0" w:lastRowLastColumn="0"/>
          <w:trHeight w:val="737"/>
        </w:trPr>
        <w:tc>
          <w:tcPr>
            <w:cnfStyle w:val="001000000100" w:firstRow="0" w:lastRow="0" w:firstColumn="1" w:lastColumn="0" w:oddVBand="0" w:evenVBand="0" w:oddHBand="0" w:evenHBand="0" w:firstRowFirstColumn="1" w:firstRowLastColumn="0" w:lastRowFirstColumn="0" w:lastRowLastColumn="0"/>
            <w:tcW w:w="1808" w:type="dxa"/>
            <w:tcBorders>
              <w:bottom w:val="nil"/>
              <w:right w:val="single" w:sz="12" w:space="0" w:color="F2F2F2" w:themeColor="background1" w:themeShade="F2"/>
            </w:tcBorders>
            <w:shd w:val="clear" w:color="auto" w:fill="6E1DB2"/>
            <w:vAlign w:val="center"/>
          </w:tcPr>
          <w:bookmarkEnd w:id="164"/>
          <w:p w14:paraId="1654A008" w14:textId="699B012F" w:rsidR="0019618A" w:rsidRPr="00EA348C" w:rsidRDefault="00257C6A" w:rsidP="003417F6">
            <w:pPr>
              <w:ind w:left="0"/>
              <w:rPr>
                <w:b/>
                <w:bCs/>
                <w:color w:val="FFFFFF" w:themeColor="background1"/>
                <w:lang w:val="en-US"/>
              </w:rPr>
            </w:pPr>
            <w:r w:rsidRPr="00EA348C">
              <w:rPr>
                <w:b/>
                <w:bCs/>
                <w:color w:val="FFFFFF" w:themeColor="background1"/>
                <w:lang w:val="en-US"/>
              </w:rPr>
              <w:t>Model 1</w:t>
            </w:r>
          </w:p>
        </w:tc>
        <w:tc>
          <w:tcPr>
            <w:tcW w:w="1808" w:type="dxa"/>
            <w:tcBorders>
              <w:left w:val="single" w:sz="12" w:space="0" w:color="F2F2F2" w:themeColor="background1" w:themeShade="F2"/>
              <w:bottom w:val="nil"/>
              <w:right w:val="single" w:sz="12" w:space="0" w:color="F2F2F2" w:themeColor="background1" w:themeShade="F2"/>
            </w:tcBorders>
            <w:shd w:val="clear" w:color="auto" w:fill="4B0985"/>
            <w:vAlign w:val="center"/>
          </w:tcPr>
          <w:p w14:paraId="478BFE37" w14:textId="1E668667" w:rsidR="0019618A" w:rsidRPr="00EA348C" w:rsidRDefault="00257C6A" w:rsidP="00943B17">
            <w:pPr>
              <w:cnfStyle w:val="100000000000" w:firstRow="1" w:lastRow="0" w:firstColumn="0" w:lastColumn="0" w:oddVBand="0" w:evenVBand="0" w:oddHBand="0" w:evenHBand="0" w:firstRowFirstColumn="0" w:firstRowLastColumn="0" w:lastRowFirstColumn="0" w:lastRowLastColumn="0"/>
              <w:rPr>
                <w:b/>
                <w:bCs/>
                <w:color w:val="FFFFFF" w:themeColor="background1"/>
                <w:lang w:val="en-US"/>
              </w:rPr>
            </w:pPr>
            <w:r w:rsidRPr="00EA348C">
              <w:rPr>
                <w:b/>
                <w:bCs/>
                <w:color w:val="FFFFFF" w:themeColor="background1"/>
                <w:lang w:val="en-US"/>
              </w:rPr>
              <w:t>Model 2</w:t>
            </w:r>
          </w:p>
        </w:tc>
        <w:tc>
          <w:tcPr>
            <w:tcW w:w="1808" w:type="dxa"/>
            <w:tcBorders>
              <w:left w:val="single" w:sz="12" w:space="0" w:color="F2F2F2" w:themeColor="background1" w:themeShade="F2"/>
              <w:bottom w:val="nil"/>
              <w:right w:val="single" w:sz="12" w:space="0" w:color="F2F2F2" w:themeColor="background1" w:themeShade="F2"/>
            </w:tcBorders>
            <w:shd w:val="clear" w:color="auto" w:fill="39066B"/>
            <w:vAlign w:val="center"/>
          </w:tcPr>
          <w:p w14:paraId="60A45D5E" w14:textId="767CAB2E" w:rsidR="0019618A" w:rsidRPr="00EA348C" w:rsidRDefault="00257C6A" w:rsidP="00943B17">
            <w:pPr>
              <w:cnfStyle w:val="100000000000" w:firstRow="1" w:lastRow="0" w:firstColumn="0" w:lastColumn="0" w:oddVBand="0" w:evenVBand="0" w:oddHBand="0" w:evenHBand="0" w:firstRowFirstColumn="0" w:firstRowLastColumn="0" w:lastRowFirstColumn="0" w:lastRowLastColumn="0"/>
              <w:rPr>
                <w:b/>
                <w:bCs/>
                <w:color w:val="FFFFFF" w:themeColor="background1"/>
                <w:lang w:val="en-US"/>
              </w:rPr>
            </w:pPr>
            <w:r w:rsidRPr="00EA348C">
              <w:rPr>
                <w:b/>
                <w:bCs/>
                <w:color w:val="FFFFFF" w:themeColor="background1"/>
                <w:lang w:val="en-US"/>
              </w:rPr>
              <w:t>Model 3</w:t>
            </w:r>
          </w:p>
        </w:tc>
        <w:tc>
          <w:tcPr>
            <w:tcW w:w="1808" w:type="dxa"/>
            <w:tcBorders>
              <w:left w:val="single" w:sz="12" w:space="0" w:color="F2F2F2" w:themeColor="background1" w:themeShade="F2"/>
              <w:bottom w:val="nil"/>
              <w:right w:val="single" w:sz="12" w:space="0" w:color="F2F2F2" w:themeColor="background1" w:themeShade="F2"/>
            </w:tcBorders>
            <w:vAlign w:val="center"/>
          </w:tcPr>
          <w:p w14:paraId="1C9ED3BD" w14:textId="4F8EA184" w:rsidR="0019618A" w:rsidRPr="00EA348C" w:rsidRDefault="00943B17" w:rsidP="00943B17">
            <w:pPr>
              <w:cnfStyle w:val="100000000000" w:firstRow="1" w:lastRow="0" w:firstColumn="0" w:lastColumn="0" w:oddVBand="0" w:evenVBand="0" w:oddHBand="0" w:evenHBand="0" w:firstRowFirstColumn="0" w:firstRowLastColumn="0" w:lastRowFirstColumn="0" w:lastRowLastColumn="0"/>
              <w:rPr>
                <w:b/>
                <w:bCs/>
                <w:color w:val="FFFFFF" w:themeColor="background1"/>
                <w:lang w:val="en-US"/>
              </w:rPr>
            </w:pPr>
            <w:r w:rsidRPr="00EA348C">
              <w:rPr>
                <w:b/>
                <w:bCs/>
                <w:color w:val="FFFFFF" w:themeColor="background1"/>
                <w:lang w:val="en-US"/>
              </w:rPr>
              <w:t>Model 4</w:t>
            </w:r>
          </w:p>
        </w:tc>
        <w:tc>
          <w:tcPr>
            <w:tcW w:w="1808" w:type="dxa"/>
            <w:tcBorders>
              <w:left w:val="single" w:sz="12" w:space="0" w:color="F2F2F2" w:themeColor="background1" w:themeShade="F2"/>
              <w:bottom w:val="nil"/>
            </w:tcBorders>
            <w:shd w:val="clear" w:color="auto" w:fill="101929"/>
            <w:vAlign w:val="center"/>
          </w:tcPr>
          <w:p w14:paraId="142DC56A" w14:textId="40161772" w:rsidR="0019618A" w:rsidRPr="00EA348C" w:rsidRDefault="00943B17" w:rsidP="00943B17">
            <w:pPr>
              <w:cnfStyle w:val="100000000000" w:firstRow="1" w:lastRow="0" w:firstColumn="0" w:lastColumn="0" w:oddVBand="0" w:evenVBand="0" w:oddHBand="0" w:evenHBand="0" w:firstRowFirstColumn="0" w:firstRowLastColumn="0" w:lastRowFirstColumn="0" w:lastRowLastColumn="0"/>
              <w:rPr>
                <w:b/>
                <w:bCs/>
                <w:color w:val="FFFFFF" w:themeColor="background1"/>
                <w:lang w:val="en-US"/>
              </w:rPr>
            </w:pPr>
            <w:r w:rsidRPr="00EA348C">
              <w:rPr>
                <w:b/>
                <w:bCs/>
                <w:color w:val="FFFFFF" w:themeColor="background1"/>
                <w:lang w:val="en-US"/>
              </w:rPr>
              <w:t>Model 5</w:t>
            </w:r>
          </w:p>
        </w:tc>
      </w:tr>
      <w:tr w:rsidR="00EA348C" w14:paraId="34BA7341" w14:textId="77777777" w:rsidTr="00055A3F">
        <w:trPr>
          <w:cnfStyle w:val="000000100000" w:firstRow="0" w:lastRow="0" w:firstColumn="0" w:lastColumn="0" w:oddVBand="0" w:evenVBand="0" w:oddHBand="1" w:evenHBand="0" w:firstRowFirstColumn="0" w:firstRowLastColumn="0" w:lastRowFirstColumn="0" w:lastRowLastColumn="0"/>
          <w:trHeight w:val="3005"/>
        </w:trPr>
        <w:tc>
          <w:tcPr>
            <w:cnfStyle w:val="001000000000" w:firstRow="0" w:lastRow="0" w:firstColumn="1" w:lastColumn="0" w:oddVBand="0" w:evenVBand="0" w:oddHBand="0" w:evenHBand="0" w:firstRowFirstColumn="0" w:firstRowLastColumn="0" w:lastRowFirstColumn="0" w:lastRowLastColumn="0"/>
            <w:tcW w:w="1808" w:type="dxa"/>
            <w:tcBorders>
              <w:bottom w:val="single" w:sz="4" w:space="0" w:color="4B0885"/>
              <w:right w:val="single" w:sz="12" w:space="0" w:color="F2F2F2" w:themeColor="background1" w:themeShade="F2"/>
            </w:tcBorders>
            <w:shd w:val="clear" w:color="auto" w:fill="6E1DB2"/>
          </w:tcPr>
          <w:p w14:paraId="53BF58EE" w14:textId="554457FA" w:rsidR="0019618A" w:rsidRPr="00EA348C" w:rsidRDefault="00257C6A" w:rsidP="00055A3F">
            <w:pPr>
              <w:spacing w:line="260" w:lineRule="exact"/>
              <w:ind w:left="0"/>
              <w:rPr>
                <w:color w:val="FFFFFF" w:themeColor="background1"/>
                <w:szCs w:val="20"/>
                <w:lang w:val="en-US"/>
              </w:rPr>
            </w:pPr>
            <w:r w:rsidRPr="00EA348C">
              <w:rPr>
                <w:color w:val="FFFFFF" w:themeColor="background1"/>
                <w:szCs w:val="20"/>
                <w:lang w:val="en-US"/>
              </w:rPr>
              <w:t>School/school sector as RTO delivers training and issues qualifications.</w:t>
            </w:r>
          </w:p>
        </w:tc>
        <w:tc>
          <w:tcPr>
            <w:tcW w:w="1808" w:type="dxa"/>
            <w:tcBorders>
              <w:left w:val="single" w:sz="12" w:space="0" w:color="F2F2F2" w:themeColor="background1" w:themeShade="F2"/>
              <w:bottom w:val="single" w:sz="4" w:space="0" w:color="4B0885"/>
              <w:right w:val="single" w:sz="12" w:space="0" w:color="F2F2F2" w:themeColor="background1" w:themeShade="F2"/>
            </w:tcBorders>
            <w:shd w:val="clear" w:color="auto" w:fill="4B0985"/>
          </w:tcPr>
          <w:p w14:paraId="6EC376FA" w14:textId="241EA2C9" w:rsidR="0019618A" w:rsidRPr="00EA348C" w:rsidRDefault="00257C6A" w:rsidP="00055A3F">
            <w:pPr>
              <w:spacing w:line="260" w:lineRule="exact"/>
              <w:cnfStyle w:val="000000100000" w:firstRow="0" w:lastRow="0" w:firstColumn="0" w:lastColumn="0" w:oddVBand="0" w:evenVBand="0" w:oddHBand="1" w:evenHBand="0" w:firstRowFirstColumn="0" w:firstRowLastColumn="0" w:lastRowFirstColumn="0" w:lastRowLastColumn="0"/>
              <w:rPr>
                <w:color w:val="FFFFFF" w:themeColor="background1"/>
                <w:szCs w:val="20"/>
                <w:lang w:val="en-US"/>
              </w:rPr>
            </w:pPr>
            <w:r w:rsidRPr="00EA348C">
              <w:rPr>
                <w:color w:val="FFFFFF" w:themeColor="background1"/>
                <w:szCs w:val="20"/>
                <w:lang w:val="en-US"/>
              </w:rPr>
              <w:t>School is auspiced/partners with external RTO – school delivers training, qualifications issued by RTO</w:t>
            </w:r>
            <w:r w:rsidR="00943B17" w:rsidRPr="00EA348C">
              <w:rPr>
                <w:color w:val="FFFFFF" w:themeColor="background1"/>
                <w:szCs w:val="20"/>
                <w:lang w:val="en-US"/>
              </w:rPr>
              <w:t>.</w:t>
            </w:r>
          </w:p>
        </w:tc>
        <w:tc>
          <w:tcPr>
            <w:tcW w:w="1808" w:type="dxa"/>
            <w:tcBorders>
              <w:left w:val="single" w:sz="12" w:space="0" w:color="F2F2F2" w:themeColor="background1" w:themeShade="F2"/>
              <w:bottom w:val="single" w:sz="4" w:space="0" w:color="4B0885"/>
              <w:right w:val="single" w:sz="12" w:space="0" w:color="F2F2F2" w:themeColor="background1" w:themeShade="F2"/>
            </w:tcBorders>
            <w:shd w:val="clear" w:color="auto" w:fill="39066B"/>
          </w:tcPr>
          <w:p w14:paraId="5BB850D3" w14:textId="4B5F5A79" w:rsidR="0019618A" w:rsidRPr="00EA348C" w:rsidRDefault="00257C6A" w:rsidP="00055A3F">
            <w:pPr>
              <w:spacing w:line="260" w:lineRule="exact"/>
              <w:cnfStyle w:val="000000100000" w:firstRow="0" w:lastRow="0" w:firstColumn="0" w:lastColumn="0" w:oddVBand="0" w:evenVBand="0" w:oddHBand="1" w:evenHBand="0" w:firstRowFirstColumn="0" w:firstRowLastColumn="0" w:lastRowFirstColumn="0" w:lastRowLastColumn="0"/>
              <w:rPr>
                <w:color w:val="FFFFFF" w:themeColor="background1"/>
                <w:szCs w:val="20"/>
                <w:lang w:val="en-US"/>
              </w:rPr>
            </w:pPr>
            <w:r w:rsidRPr="00EA348C">
              <w:rPr>
                <w:color w:val="FFFFFF" w:themeColor="background1"/>
                <w:szCs w:val="20"/>
                <w:lang w:val="en-US"/>
              </w:rPr>
              <w:t>School engages RTO to deliver training (within the school or externally). RTO delivers training and issues qualifications</w:t>
            </w:r>
            <w:r w:rsidR="00943B17" w:rsidRPr="00EA348C">
              <w:rPr>
                <w:color w:val="FFFFFF" w:themeColor="background1"/>
                <w:szCs w:val="20"/>
                <w:lang w:val="en-US"/>
              </w:rPr>
              <w:t>.</w:t>
            </w:r>
          </w:p>
        </w:tc>
        <w:tc>
          <w:tcPr>
            <w:tcW w:w="1808" w:type="dxa"/>
            <w:tcBorders>
              <w:left w:val="single" w:sz="12" w:space="0" w:color="F2F2F2" w:themeColor="background1" w:themeShade="F2"/>
              <w:bottom w:val="nil"/>
              <w:right w:val="single" w:sz="12" w:space="0" w:color="F2F2F2" w:themeColor="background1" w:themeShade="F2"/>
            </w:tcBorders>
            <w:shd w:val="clear" w:color="auto" w:fill="2F005F"/>
          </w:tcPr>
          <w:p w14:paraId="4901A02B" w14:textId="54293191" w:rsidR="0019618A" w:rsidRPr="00EA348C" w:rsidRDefault="00943B17" w:rsidP="00055A3F">
            <w:pPr>
              <w:spacing w:line="260" w:lineRule="exact"/>
              <w:cnfStyle w:val="000000100000" w:firstRow="0" w:lastRow="0" w:firstColumn="0" w:lastColumn="0" w:oddVBand="0" w:evenVBand="0" w:oddHBand="1" w:evenHBand="0" w:firstRowFirstColumn="0" w:firstRowLastColumn="0" w:lastRowFirstColumn="0" w:lastRowLastColumn="0"/>
              <w:rPr>
                <w:color w:val="FFFFFF" w:themeColor="background1"/>
                <w:szCs w:val="20"/>
                <w:lang w:val="en-US"/>
              </w:rPr>
            </w:pPr>
            <w:r w:rsidRPr="00EA348C">
              <w:rPr>
                <w:color w:val="FFFFFF" w:themeColor="background1"/>
                <w:szCs w:val="20"/>
                <w:lang w:val="en-US"/>
              </w:rPr>
              <w:t>Students attend external RTO – this could be a TAFE, another school, or a private RTO.</w:t>
            </w:r>
          </w:p>
        </w:tc>
        <w:tc>
          <w:tcPr>
            <w:tcW w:w="1808" w:type="dxa"/>
            <w:tcBorders>
              <w:left w:val="single" w:sz="12" w:space="0" w:color="F2F2F2" w:themeColor="background1" w:themeShade="F2"/>
              <w:bottom w:val="nil"/>
            </w:tcBorders>
            <w:shd w:val="clear" w:color="auto" w:fill="101929"/>
          </w:tcPr>
          <w:p w14:paraId="5E6A7294" w14:textId="7A3C5E62" w:rsidR="0019618A" w:rsidRPr="00EA348C" w:rsidRDefault="00943B17" w:rsidP="00055A3F">
            <w:pPr>
              <w:spacing w:line="260" w:lineRule="exact"/>
              <w:cnfStyle w:val="000000100000" w:firstRow="0" w:lastRow="0" w:firstColumn="0" w:lastColumn="0" w:oddVBand="0" w:evenVBand="0" w:oddHBand="1" w:evenHBand="0" w:firstRowFirstColumn="0" w:firstRowLastColumn="0" w:lastRowFirstColumn="0" w:lastRowLastColumn="0"/>
              <w:rPr>
                <w:color w:val="FFFFFF" w:themeColor="background1"/>
                <w:szCs w:val="20"/>
                <w:lang w:val="en-US"/>
              </w:rPr>
            </w:pPr>
            <w:r w:rsidRPr="00EA348C">
              <w:rPr>
                <w:color w:val="FFFFFF" w:themeColor="background1"/>
                <w:szCs w:val="20"/>
                <w:lang w:val="en-US"/>
              </w:rPr>
              <w:t>Students undertake school-based apprenticeship – attend RTO (either school or external RTO) and employment external to the school.</w:t>
            </w:r>
          </w:p>
        </w:tc>
      </w:tr>
    </w:tbl>
    <w:p w14:paraId="0184D9B4" w14:textId="1D586F63" w:rsidR="007475A4" w:rsidRDefault="007475A4" w:rsidP="008B2387">
      <w:pPr>
        <w:pStyle w:val="Source"/>
      </w:pPr>
      <w:r w:rsidRPr="5E1BBEDB">
        <w:t>Source: AITSL 2021, Building a high quality and sustainable dual qualified VET workforce</w:t>
      </w:r>
    </w:p>
    <w:p w14:paraId="32CDC1A3" w14:textId="77777777" w:rsidR="00841084" w:rsidRPr="00841084" w:rsidRDefault="00841084" w:rsidP="00841084"/>
    <w:p w14:paraId="4E835ECC" w14:textId="4C84F62F" w:rsidR="00841084" w:rsidRDefault="0090690E" w:rsidP="00E16D4F">
      <w:pPr>
        <w:pStyle w:val="Bodycopy"/>
      </w:pPr>
      <w:r>
        <w:t xml:space="preserve">As illustrated in </w:t>
      </w:r>
      <w:hyperlink w:anchor="Figure_3_11" w:history="1">
        <w:r w:rsidRPr="00564816">
          <w:rPr>
            <w:rStyle w:val="Hyperlink"/>
          </w:rPr>
          <w:t>Figure 3.11</w:t>
        </w:r>
      </w:hyperlink>
      <w:r>
        <w:t>, w</w:t>
      </w:r>
      <w:r w:rsidR="007475A4">
        <w:t xml:space="preserve">here employed by a school rather than an external RTO, a secondary school VET Teacher may also carry an additional school-related workload (e.g. yard duty, supervision of extra-curricular activities and pastoral care responsibilities). </w:t>
      </w:r>
    </w:p>
    <w:p w14:paraId="60A07FFE" w14:textId="576FCD7C" w:rsidR="007475A4" w:rsidRDefault="007475A4" w:rsidP="00E16D4F">
      <w:pPr>
        <w:pStyle w:val="Bodycopy"/>
      </w:pPr>
      <w:r>
        <w:t xml:space="preserve">In such cases, a </w:t>
      </w:r>
      <w:r w:rsidR="00961A50">
        <w:t>s</w:t>
      </w:r>
      <w:r>
        <w:t xml:space="preserve">econdary </w:t>
      </w:r>
      <w:r w:rsidR="00961A50">
        <w:t>s</w:t>
      </w:r>
      <w:r>
        <w:t xml:space="preserve">chool VET </w:t>
      </w:r>
      <w:r w:rsidR="00961A50">
        <w:t>t</w:t>
      </w:r>
      <w:r>
        <w:t>eacher will commonly be recruited from within the school’s existing non-VET teaching staff. Stakeholders in the schools</w:t>
      </w:r>
      <w:r w:rsidR="009F3335">
        <w:t>’</w:t>
      </w:r>
      <w:r>
        <w:t xml:space="preserve"> sector suggested that dedicated VET</w:t>
      </w:r>
      <w:r w:rsidR="009F796B">
        <w:t>D</w:t>
      </w:r>
      <w:r>
        <w:t>SS teachers are rare</w:t>
      </w:r>
      <w:r w:rsidR="009F3335">
        <w:t>,</w:t>
      </w:r>
      <w:r>
        <w:t xml:space="preserve"> except in large schools with trades training centres and most are teachers undertaking VET</w:t>
      </w:r>
      <w:r w:rsidR="009F796B">
        <w:t>D</w:t>
      </w:r>
      <w:r>
        <w:t>SS in addition to the regular curriculum</w:t>
      </w:r>
      <w:r w:rsidR="00571AF1">
        <w:t>.</w:t>
      </w:r>
      <w:r w:rsidR="00571AF1">
        <w:rPr>
          <w:rStyle w:val="EndnoteReference"/>
        </w:rPr>
        <w:endnoteReference w:id="57"/>
      </w:r>
    </w:p>
    <w:p w14:paraId="085B168F" w14:textId="77777777" w:rsidR="007475A4" w:rsidRDefault="007475A4" w:rsidP="007475A4">
      <w:pPr>
        <w:rPr>
          <w:b/>
          <w:sz w:val="20"/>
          <w:lang w:val="en-US"/>
        </w:rPr>
      </w:pPr>
      <w:r>
        <w:br w:type="page"/>
      </w:r>
    </w:p>
    <w:p w14:paraId="297D1E61" w14:textId="1FE8ABA9" w:rsidR="007475A4" w:rsidRDefault="007475A4" w:rsidP="007475A4">
      <w:pPr>
        <w:pStyle w:val="Caption"/>
      </w:pPr>
      <w:bookmarkStart w:id="165" w:name="Figure_3_11"/>
      <w:r>
        <w:lastRenderedPageBreak/>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11</w:t>
      </w:r>
      <w:r w:rsidR="006558DC">
        <w:fldChar w:fldCharType="end"/>
      </w:r>
      <w:r>
        <w:t xml:space="preserve"> VET in Secondary Schools role</w:t>
      </w:r>
    </w:p>
    <w:bookmarkEnd w:id="165"/>
    <w:p w14:paraId="0FBBB47E" w14:textId="2F0800F8" w:rsidR="00506228" w:rsidRPr="00506228" w:rsidRDefault="004C6548" w:rsidP="00506228">
      <w:pPr>
        <w:rPr>
          <w:rStyle w:val="Heading6Char"/>
          <w:rFonts w:ascii="Arial" w:eastAsiaTheme="minorHAnsi" w:hAnsi="Arial" w:cstheme="minorBidi"/>
          <w:b w:val="0"/>
          <w:lang w:val="en-US"/>
        </w:rPr>
      </w:pPr>
      <w:r>
        <w:rPr>
          <w:noProof/>
          <w:lang w:val="en-US"/>
        </w:rPr>
        <w:drawing>
          <wp:inline distT="0" distB="0" distL="0" distR="0" wp14:anchorId="6AD87BA2" wp14:editId="0631402E">
            <wp:extent cx="5651999" cy="6593529"/>
            <wp:effectExtent l="0" t="0" r="6350" b="0"/>
            <wp:docPr id="1674043448" name="Picture 4" descr="Core duties: &#10;If employed by a school as teacher in addition to VET in Schools duties, additional school-related duties likely include:&#10;Teach non-VET subjects as part of the school curriculum.&#10;Supervise school students in the yard or during extra-curricular activities.&#10;Manage student behaviour, help with problems and offer advice.&#10;If provided by outside organisation duties likely to resemble the duties of the comparable VET teach, train and assess level, though with different cohort/context:&#10;Plan, deliver and assess VET delivered to secondary school students, often as part of approved dual curriculum &#10;(i.e. training package and Board of Studies curriculum).&#10;&#10;Commonly found in:&#10;School-based RTOs.&#10;May also be found in external RTOs that deliver VET to secondary school students.&#10;&#10;Typical employment arrangements:&#10;Generally contracted through an RTO in some jurisdictions e.g. QLD and direct employment in schools in others – e.g. NSW.&#10;Those employed directly  more likely to be engaged on a full-time or part-time basis.&#10;&#10;Job pathways in:&#10;School teacher.&#10;Industry practitioner.&#10;Training &amp; Development Professional.&#10;&#10;Job pathways out:&#10;Education Adviser.&#10;Training &amp; Development Professional.&#10;Education Managers (e.g. Assistant/Deputy Principal).&#10;&#10;Career progression:&#10;Promotion to VET in Schools Coordinator.&#10;Transition from casual/fixed term contract to permanent position.&#10;&#10;Education &amp; training:&#10;Secondary school teacher qualifications allow you to train in any VET context under supervision. If you have the Assessor Skill Set or the VET Delivered to School Students Teacher Enhancement Skill Set, you can also do so without supervision. This inclusion aims to enhance the quality of VET delivery through diverse expertise.&#10;If teaching VET and normal schooling - A Bachelor Level secondary school qualification that meets teacher registration requirement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043448" name="Picture 4" descr="Core duties: &#10;If employed by a school as teacher in addition to VET in Schools duties, additional school-related duties likely include:&#10;Teach non-VET subjects as part of the school curriculum.&#10;Supervise school students in the yard or during extra-curricular activities.&#10;Manage student behaviour, help with problems and offer advice.&#10;If provided by outside organisation duties likely to resemble the duties of the comparable VET teach, train and assess level, though with different cohort/context:&#10;Plan, deliver and assess VET delivered to secondary school students, often as part of approved dual curriculum &#10;(i.e. training package and Board of Studies curriculum).&#10;&#10;Commonly found in:&#10;School-based RTOs.&#10;May also be found in external RTOs that deliver VET to secondary school students.&#10;&#10;Typical employment arrangements:&#10;Generally contracted through an RTO in some jurisdictions e.g. QLD and direct employment in schools in others – e.g. NSW.&#10;Those employed directly  more likely to be engaged on a full-time or part-time basis.&#10;&#10;Job pathways in:&#10;School teacher.&#10;Industry practitioner.&#10;Training &amp; Development Professional.&#10;&#10;Job pathways out:&#10;Education Adviser.&#10;Training &amp; Development Professional.&#10;Education Managers (e.g. Assistant/Deputy Principal).&#10;&#10;Career progression:&#10;Promotion to VET in Schools Coordinator.&#10;Transition from casual/fixed term contract to permanent position.&#10;&#10;Education &amp; training:&#10;Secondary school teacher qualifications allow you to train in any VET context under supervision. If you have the Assessor Skill Set or the VET Delivered to School Students Teacher Enhancement Skill Set, you can also do so without supervision. This inclusion aims to enhance the quality of VET delivery through diverse expertise.&#10;If teaching VET and normal schooling - A Bachelor Level secondary school qualification that meets teacher registration requirements. &#1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51999" cy="6593529"/>
                    </a:xfrm>
                    <a:prstGeom prst="rect">
                      <a:avLst/>
                    </a:prstGeom>
                    <a:solidFill>
                      <a:schemeClr val="bg1"/>
                    </a:solidFill>
                  </pic:spPr>
                </pic:pic>
              </a:graphicData>
            </a:graphic>
          </wp:inline>
        </w:drawing>
      </w:r>
    </w:p>
    <w:p w14:paraId="158862B0" w14:textId="4EB4BF1F" w:rsidR="00AD4CDC" w:rsidRPr="0061676E" w:rsidRDefault="00AD4CDC" w:rsidP="0061676E">
      <w:pPr>
        <w:pStyle w:val="Bodycopy"/>
      </w:pPr>
      <w:r>
        <w:rPr>
          <w:rStyle w:val="Heading6Char"/>
          <w:rFonts w:ascii="Arial" w:eastAsiaTheme="minorHAnsi" w:hAnsi="Arial" w:cstheme="minorBidi"/>
          <w:bCs/>
        </w:rPr>
        <w:br/>
      </w:r>
      <w:r w:rsidR="4403172C" w:rsidRPr="0061676E">
        <w:rPr>
          <w:rStyle w:val="Heading6Char"/>
          <w:rFonts w:ascii="Arial" w:eastAsiaTheme="minorHAnsi" w:hAnsi="Arial" w:cstheme="minorBidi"/>
          <w:bCs/>
        </w:rPr>
        <w:t>‘</w:t>
      </w:r>
      <w:r w:rsidR="5E629665" w:rsidRPr="0061676E">
        <w:rPr>
          <w:rStyle w:val="Heading6Char"/>
          <w:rFonts w:ascii="Arial" w:eastAsiaTheme="minorHAnsi" w:hAnsi="Arial" w:cstheme="minorBidi"/>
          <w:bCs/>
        </w:rPr>
        <w:t>Foundation Skills Teachers</w:t>
      </w:r>
      <w:r w:rsidR="0BD4E4B6" w:rsidRPr="0061676E">
        <w:rPr>
          <w:rStyle w:val="Heading6Char"/>
          <w:rFonts w:ascii="Arial" w:eastAsiaTheme="minorHAnsi" w:hAnsi="Arial" w:cstheme="minorBidi"/>
          <w:bCs/>
        </w:rPr>
        <w:t>’</w:t>
      </w:r>
      <w:r w:rsidR="5E629665" w:rsidRPr="0061676E">
        <w:rPr>
          <w:rStyle w:val="Heading6Char"/>
          <w:rFonts w:ascii="Arial" w:eastAsiaTheme="minorHAnsi" w:hAnsi="Arial" w:cstheme="minorBidi"/>
          <w:b w:val="0"/>
        </w:rPr>
        <w:t xml:space="preserve"> </w:t>
      </w:r>
      <w:r w:rsidR="4F15C98C" w:rsidRPr="0061676E">
        <w:rPr>
          <w:rStyle w:val="Heading6Char"/>
          <w:rFonts w:ascii="Arial" w:eastAsiaTheme="minorHAnsi" w:hAnsi="Arial" w:cstheme="minorBidi"/>
          <w:b w:val="0"/>
        </w:rPr>
        <w:t>support students to build adult literacy, numeracy, digital literacy and employability skills</w:t>
      </w:r>
      <w:r w:rsidR="05DBDD8C" w:rsidRPr="0061676E">
        <w:rPr>
          <w:rStyle w:val="Heading6Char"/>
          <w:rFonts w:ascii="Arial" w:eastAsiaTheme="minorHAnsi" w:hAnsi="Arial" w:cstheme="minorBidi"/>
          <w:b w:val="0"/>
        </w:rPr>
        <w:t xml:space="preserve"> (LLNDE</w:t>
      </w:r>
      <w:r w:rsidR="4F300CD9" w:rsidRPr="0061676E">
        <w:rPr>
          <w:rStyle w:val="Heading6Char"/>
          <w:rFonts w:ascii="Arial" w:eastAsiaTheme="minorHAnsi" w:hAnsi="Arial" w:cstheme="minorBidi"/>
          <w:b w:val="0"/>
        </w:rPr>
        <w:t>)</w:t>
      </w:r>
      <w:r w:rsidR="00CC1371" w:rsidRPr="0061676E">
        <w:rPr>
          <w:rStyle w:val="Heading6Char"/>
          <w:rFonts w:ascii="Arial" w:eastAsiaTheme="minorHAnsi" w:hAnsi="Arial" w:cstheme="minorBidi"/>
          <w:b w:val="0"/>
        </w:rPr>
        <w:t xml:space="preserve">, see </w:t>
      </w:r>
      <w:hyperlink w:anchor="Figure_3_12" w:history="1">
        <w:r w:rsidR="00CC1371" w:rsidRPr="00564816">
          <w:rPr>
            <w:rStyle w:val="Hyperlink"/>
          </w:rPr>
          <w:t>Figure 3.12</w:t>
        </w:r>
      </w:hyperlink>
      <w:r w:rsidR="4F15C98C" w:rsidRPr="0061676E">
        <w:rPr>
          <w:rStyle w:val="Heading6Char"/>
          <w:rFonts w:ascii="Arial" w:eastAsiaTheme="minorHAnsi" w:hAnsi="Arial" w:cstheme="minorBidi"/>
          <w:b w:val="0"/>
        </w:rPr>
        <w:t xml:space="preserve">. These include core skills like collaboration, problem solving, teamwork and engagement with technology. </w:t>
      </w:r>
      <w:r w:rsidR="56AD2F97" w:rsidRPr="0061676E">
        <w:t xml:space="preserve">These specialist teachers require deep expertise in education and often enter VET from other teaching professions and or community roles where literacy and numeracy skills </w:t>
      </w:r>
      <w:r w:rsidR="54C6E3B0" w:rsidRPr="0061676E">
        <w:t xml:space="preserve">and training is </w:t>
      </w:r>
      <w:r w:rsidR="0287B427" w:rsidRPr="0061676E">
        <w:t>a central service.</w:t>
      </w:r>
      <w:r w:rsidR="56AD2F97" w:rsidRPr="0061676E">
        <w:t xml:space="preserve"> </w:t>
      </w:r>
    </w:p>
    <w:p w14:paraId="6B0A5286" w14:textId="0298468E" w:rsidR="151991D4" w:rsidRPr="0061676E" w:rsidRDefault="56AD2F97" w:rsidP="0061676E">
      <w:pPr>
        <w:pStyle w:val="Bodycopy"/>
      </w:pPr>
      <w:r w:rsidRPr="0061676E">
        <w:t xml:space="preserve">Unlike other </w:t>
      </w:r>
      <w:r w:rsidR="00CC6D50">
        <w:t>VET teachers</w:t>
      </w:r>
      <w:r w:rsidRPr="0061676E">
        <w:t xml:space="preserve">, currency in a particular industry is not as valued as </w:t>
      </w:r>
      <w:r w:rsidR="070828DF" w:rsidRPr="0061676E">
        <w:t xml:space="preserve">a </w:t>
      </w:r>
      <w:r w:rsidRPr="0061676E">
        <w:t>teaching qualification</w:t>
      </w:r>
      <w:r w:rsidR="42357DB6" w:rsidRPr="0061676E">
        <w:t xml:space="preserve"> and </w:t>
      </w:r>
      <w:r w:rsidRPr="0061676E">
        <w:t>experience</w:t>
      </w:r>
      <w:r w:rsidR="42357DB6" w:rsidRPr="0061676E">
        <w:t xml:space="preserve"> or substantial professional development in literacy and numeracy for example. This part of the VET workforce is also diverse from both a job role </w:t>
      </w:r>
      <w:r w:rsidR="42357DB6" w:rsidRPr="0061676E">
        <w:lastRenderedPageBreak/>
        <w:t xml:space="preserve">and training delivery </w:t>
      </w:r>
      <w:r w:rsidR="42357DB6" w:rsidRPr="0061676E">
        <w:rPr>
          <w:rStyle w:val="BodycopyChar"/>
        </w:rPr>
        <w:t xml:space="preserve">perspective. </w:t>
      </w:r>
      <w:r w:rsidR="05ED0950" w:rsidRPr="0061676E">
        <w:rPr>
          <w:rStyle w:val="BodycopyChar"/>
        </w:rPr>
        <w:t>For example, some stakeholders saw job roles across</w:t>
      </w:r>
      <w:r w:rsidR="74EEDB24" w:rsidRPr="0061676E">
        <w:rPr>
          <w:rStyle w:val="BodycopyChar"/>
        </w:rPr>
        <w:t xml:space="preserve"> </w:t>
      </w:r>
      <w:r w:rsidR="05ED0950" w:rsidRPr="0061676E">
        <w:rPr>
          <w:rStyle w:val="BodycopyChar"/>
        </w:rPr>
        <w:t>three categories</w:t>
      </w:r>
      <w:r w:rsidR="20F214B0" w:rsidRPr="0061676E">
        <w:rPr>
          <w:rStyle w:val="BodycopyChar"/>
        </w:rPr>
        <w:t>:</w:t>
      </w:r>
      <w:r w:rsidR="05ED0950" w:rsidRPr="0061676E">
        <w:rPr>
          <w:rStyle w:val="BodycopyChar"/>
        </w:rPr>
        <w:t xml:space="preserve"> Foundation Skills </w:t>
      </w:r>
      <w:r w:rsidR="3CBE89D4" w:rsidRPr="0061676E">
        <w:rPr>
          <w:rStyle w:val="BodycopyChar"/>
        </w:rPr>
        <w:t>more broadly</w:t>
      </w:r>
      <w:r w:rsidR="05ED0950" w:rsidRPr="0061676E">
        <w:rPr>
          <w:rStyle w:val="BodycopyChar"/>
        </w:rPr>
        <w:t xml:space="preserve"> (LLNDE)</w:t>
      </w:r>
      <w:r w:rsidR="44FA6A26" w:rsidRPr="0061676E">
        <w:rPr>
          <w:rStyle w:val="BodycopyChar"/>
        </w:rPr>
        <w:t xml:space="preserve">; </w:t>
      </w:r>
      <w:r w:rsidR="05ED0950" w:rsidRPr="0061676E">
        <w:rPr>
          <w:rStyle w:val="BodycopyChar"/>
        </w:rPr>
        <w:t xml:space="preserve">Literacy and Numeracy </w:t>
      </w:r>
      <w:r w:rsidR="19E17044" w:rsidRPr="0061676E">
        <w:rPr>
          <w:rStyle w:val="BodycopyChar"/>
        </w:rPr>
        <w:t xml:space="preserve">where some digital skills may be </w:t>
      </w:r>
      <w:r w:rsidR="3E4A90E7" w:rsidRPr="0061676E">
        <w:rPr>
          <w:rStyle w:val="BodycopyChar"/>
        </w:rPr>
        <w:t>taught</w:t>
      </w:r>
      <w:r w:rsidR="05ED0950" w:rsidRPr="0061676E">
        <w:rPr>
          <w:rStyle w:val="BodycopyChar"/>
        </w:rPr>
        <w:t xml:space="preserve"> (either LN or LND)</w:t>
      </w:r>
      <w:r w:rsidR="349910A8" w:rsidRPr="0061676E">
        <w:rPr>
          <w:rStyle w:val="BodycopyChar"/>
        </w:rPr>
        <w:t xml:space="preserve"> and</w:t>
      </w:r>
      <w:r w:rsidR="349910A8" w:rsidRPr="0061676E">
        <w:t xml:space="preserve"> </w:t>
      </w:r>
      <w:r w:rsidR="05ED0950" w:rsidRPr="0061676E">
        <w:t>Language Literacy and Numeracy (LLN)</w:t>
      </w:r>
      <w:r w:rsidR="445AE938" w:rsidRPr="0061676E">
        <w:t xml:space="preserve">. </w:t>
      </w:r>
    </w:p>
    <w:p w14:paraId="1C0D065E" w14:textId="7713A2F7" w:rsidR="00506228" w:rsidRPr="0061676E" w:rsidRDefault="445AE938" w:rsidP="0061676E">
      <w:pPr>
        <w:pStyle w:val="Bodycopy"/>
      </w:pPr>
      <w:r w:rsidRPr="0061676E">
        <w:t xml:space="preserve">These differences in job roles also relate to different training </w:t>
      </w:r>
      <w:r w:rsidR="2E28BD01" w:rsidRPr="0061676E">
        <w:t>qualifications and programs</w:t>
      </w:r>
      <w:r w:rsidR="351C430B" w:rsidRPr="0061676E">
        <w:t xml:space="preserve">. These teachers can deliver </w:t>
      </w:r>
      <w:r w:rsidR="7D199C48" w:rsidRPr="0061676E">
        <w:t>standalone</w:t>
      </w:r>
      <w:r w:rsidR="08731F81" w:rsidRPr="0061676E">
        <w:t xml:space="preserve"> qualifications</w:t>
      </w:r>
      <w:r w:rsidR="6BD45800" w:rsidRPr="0061676E">
        <w:t xml:space="preserve"> like the</w:t>
      </w:r>
      <w:r w:rsidR="08731F81" w:rsidRPr="0061676E">
        <w:t xml:space="preserve"> FSK10219 </w:t>
      </w:r>
      <w:r w:rsidR="0000395E">
        <w:t>–</w:t>
      </w:r>
      <w:r w:rsidR="08731F81" w:rsidRPr="0061676E">
        <w:t xml:space="preserve"> Certificate I in Skills for Vocational Pathways</w:t>
      </w:r>
      <w:r w:rsidR="06418E29" w:rsidRPr="0061676E">
        <w:t>;</w:t>
      </w:r>
      <w:r w:rsidR="6C9A4688" w:rsidRPr="0061676E">
        <w:t xml:space="preserve"> </w:t>
      </w:r>
      <w:r w:rsidR="08731F81" w:rsidRPr="0061676E">
        <w:t xml:space="preserve">accredited courses designed as alternatives to a Senior Secondary School certificate </w:t>
      </w:r>
      <w:r w:rsidR="08E369BB" w:rsidRPr="0061676E">
        <w:t>such as the</w:t>
      </w:r>
      <w:r w:rsidR="08731F81" w:rsidRPr="0061676E">
        <w:t xml:space="preserve"> 11225NAT Certificate IV in Tertiary Preparation</w:t>
      </w:r>
      <w:r w:rsidR="793E6923" w:rsidRPr="0061676E">
        <w:t xml:space="preserve">; or </w:t>
      </w:r>
      <w:r w:rsidR="4231F958" w:rsidRPr="0061676E">
        <w:t>area</w:t>
      </w:r>
      <w:r w:rsidR="08731F81" w:rsidRPr="0061676E">
        <w:t xml:space="preserve"> teach </w:t>
      </w:r>
      <w:r w:rsidR="2CAD0970" w:rsidRPr="0061676E">
        <w:t xml:space="preserve">more closely in </w:t>
      </w:r>
      <w:r w:rsidR="08731F81" w:rsidRPr="0061676E">
        <w:t xml:space="preserve">partnership with vocational areas (such as providing additional accredited or non-accredited training alongside pre-apprenticeship training in electro-technology or construction). </w:t>
      </w:r>
    </w:p>
    <w:p w14:paraId="71CACDEB" w14:textId="16F6FB22" w:rsidR="68A98591" w:rsidRPr="0061676E" w:rsidRDefault="08731F81" w:rsidP="0061676E">
      <w:pPr>
        <w:pStyle w:val="Bodycopy"/>
      </w:pPr>
      <w:r w:rsidRPr="0061676E">
        <w:t xml:space="preserve">There are also forms of state accredited courses that are more focused on literacy and numeracy skills </w:t>
      </w:r>
      <w:r w:rsidR="79169CD8" w:rsidRPr="0061676E">
        <w:t xml:space="preserve">such as the Certificate in General Education for Adults (CGEA) </w:t>
      </w:r>
      <w:r w:rsidR="45FE90B6" w:rsidRPr="0061676E">
        <w:t xml:space="preserve">which </w:t>
      </w:r>
      <w:r w:rsidR="7A906659" w:rsidRPr="0061676E">
        <w:t>is used in NSW, Victoria, Tasmania and the NT</w:t>
      </w:r>
      <w:r w:rsidR="0093479D" w:rsidRPr="0061676E">
        <w:t xml:space="preserve">. </w:t>
      </w:r>
      <w:r w:rsidR="58516F84" w:rsidRPr="0061676E">
        <w:t>This and other courses differ from the</w:t>
      </w:r>
      <w:r w:rsidR="55681C3B" w:rsidRPr="0061676E">
        <w:t xml:space="preserve"> Foundation Skills training package</w:t>
      </w:r>
      <w:r w:rsidR="09CF2F13" w:rsidRPr="0061676E">
        <w:t xml:space="preserve"> which is </w:t>
      </w:r>
      <w:r w:rsidR="41DB7EA5" w:rsidRPr="0061676E">
        <w:t>intended to develop</w:t>
      </w:r>
      <w:r w:rsidR="09CF2F13" w:rsidRPr="0061676E">
        <w:t xml:space="preserve"> literacy and numeracy skills for completing a VET </w:t>
      </w:r>
      <w:r w:rsidR="3A8163D3" w:rsidRPr="0061676E">
        <w:t>qualification</w:t>
      </w:r>
      <w:r w:rsidR="09CF2F13" w:rsidRPr="0061676E">
        <w:t xml:space="preserve">. </w:t>
      </w:r>
    </w:p>
    <w:p w14:paraId="54854D24" w14:textId="3FD57968" w:rsidR="00AD4CDC" w:rsidRPr="0061676E" w:rsidRDefault="5D49F107" w:rsidP="0061676E">
      <w:pPr>
        <w:pStyle w:val="Bodycopy"/>
      </w:pPr>
      <w:r w:rsidRPr="0061676E">
        <w:t xml:space="preserve">These specialist teachers may also instruct specific cohorts of learners through targeted providers </w:t>
      </w:r>
      <w:r w:rsidR="0000395E">
        <w:t>–</w:t>
      </w:r>
      <w:r w:rsidRPr="0061676E">
        <w:t xml:space="preserve"> like new migrants (e.g. through settlement service AMES), First Nations people (e.g. through remote training hubs), people with disability (e.g. Deaf Connect)</w:t>
      </w:r>
      <w:r w:rsidR="2581801E" w:rsidRPr="0061676E">
        <w:t xml:space="preserve">, or when delivering VET in prisons. </w:t>
      </w:r>
      <w:r w:rsidRPr="0061676E">
        <w:t xml:space="preserve"> </w:t>
      </w:r>
    </w:p>
    <w:p w14:paraId="17046E69" w14:textId="5255B6C3" w:rsidR="007475A4" w:rsidRPr="0061676E" w:rsidRDefault="5D49F107" w:rsidP="0061676E">
      <w:pPr>
        <w:pStyle w:val="Bodycopy"/>
      </w:pPr>
      <w:r w:rsidRPr="0061676E">
        <w:t>Across providers, NCVER research found 44.1% of learners enrolled in foundation skills course spoke a language other than English at home, 7.7% were First Nations, and 15.8% were people with disabilities.</w:t>
      </w:r>
      <w:r w:rsidR="00571AF1">
        <w:rPr>
          <w:rStyle w:val="EndnoteReference"/>
        </w:rPr>
        <w:endnoteReference w:id="58"/>
      </w:r>
      <w:r w:rsidRPr="0061676E">
        <w:t xml:space="preserve"> In addition to developing practical LLN and employability skills, foundation skills providers report improved self-confidence and development of ’soft skills', important for employability and social inclusion.</w:t>
      </w:r>
      <w:r w:rsidR="000C6D37">
        <w:rPr>
          <w:rStyle w:val="EndnoteReference"/>
        </w:rPr>
        <w:endnoteReference w:id="59"/>
      </w:r>
    </w:p>
    <w:p w14:paraId="4937E96D" w14:textId="7BF5099B" w:rsidR="007475A4" w:rsidRPr="0061676E" w:rsidRDefault="62644DBE" w:rsidP="0061676E">
      <w:pPr>
        <w:pStyle w:val="Bodycopy"/>
      </w:pPr>
      <w:r w:rsidRPr="0061676E">
        <w:t>Where LLNDE-specific classes are unavailable, learners for whom English is their first language may be placed in an ESOL class. Providers have noted that this can be alienating and not meet learner needs</w:t>
      </w:r>
      <w:r w:rsidR="006315E3" w:rsidRPr="0061676E">
        <w:t>.</w:t>
      </w:r>
    </w:p>
    <w:p w14:paraId="56740A85" w14:textId="5B8BBC6F" w:rsidR="007475A4" w:rsidRDefault="4F15C98C" w:rsidP="0B2AA839">
      <w:pPr>
        <w:pStyle w:val="Caption"/>
        <w:keepNext/>
        <w:keepLines/>
        <w:spacing w:before="160" w:after="240" w:line="276" w:lineRule="auto"/>
      </w:pPr>
      <w:bookmarkStart w:id="166" w:name="Figure_3_12"/>
      <w:r>
        <w:lastRenderedPageBreak/>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12</w:t>
      </w:r>
      <w:r w:rsidR="006558DC">
        <w:fldChar w:fldCharType="end"/>
      </w:r>
      <w:r>
        <w:t xml:space="preserve"> </w:t>
      </w:r>
      <w:r w:rsidR="22753163">
        <w:t xml:space="preserve">Adult </w:t>
      </w:r>
      <w:r w:rsidR="008768A7">
        <w:t>l</w:t>
      </w:r>
      <w:r w:rsidR="22753163">
        <w:t xml:space="preserve">iteracy and </w:t>
      </w:r>
      <w:r w:rsidR="008768A7">
        <w:t>n</w:t>
      </w:r>
      <w:r w:rsidR="22753163">
        <w:t xml:space="preserve">umeracy </w:t>
      </w:r>
      <w:r w:rsidR="008768A7">
        <w:t>t</w:t>
      </w:r>
      <w:r w:rsidR="22753163">
        <w:t xml:space="preserve">eachers </w:t>
      </w:r>
    </w:p>
    <w:bookmarkEnd w:id="166"/>
    <w:p w14:paraId="1B5A9AF4" w14:textId="164C0DEA" w:rsidR="00CC6425" w:rsidRPr="00FB2B28" w:rsidRDefault="00506228" w:rsidP="007475A4">
      <w:pPr>
        <w:rPr>
          <w:lang w:val="en-US"/>
        </w:rPr>
      </w:pPr>
      <w:r>
        <w:rPr>
          <w:noProof/>
          <w:lang w:val="en-US"/>
        </w:rPr>
        <w:drawing>
          <wp:inline distT="0" distB="0" distL="0" distR="0" wp14:anchorId="2C7C9676" wp14:editId="48692EB2">
            <wp:extent cx="5651999" cy="6579434"/>
            <wp:effectExtent l="0" t="0" r="6350" b="0"/>
            <wp:docPr id="1670859929" name="Picture 5" descr="Core duties: &#10;Facilitate pre-training, formative and summative assessments, e.g. using the Australian Core Skills Framework especially in relation to subsidised training/fee-free TAFE initiatives.&#10;Design, deliver, customise, evaluate and adapt language, literacy and numeracy education, training and courses (may be accredited or non-accredited).&#10;Undertake accurate and culturally appropriate assessment and needs analysis for targeted cohorts and communities to ensure customised education and training delivery for these contexts.&#10;Provide flexible delivery, adapting resources to meet the individual learn needs and goals in vocational and community settings.&#10;Support and mentor teachers, trainers and staff to embed literacy and numeracy learning into their activities&#10;Undertake student administration, including marking registers and recording results, and maintaining relationships with internal and external stakeholders.&#10;&#10;Commonly found in:&#10;Mainly found in TAFEs and ACE providers.&#10;Also found in RTOs and/or VET providers in workplaces and in corrections.&#10;Dual sector institutions or RTOs linked to universities for pathways into VET and then higher education qualifications.   &#10;&#10;Typical employment arrangements:&#10;May be employed on full-time, part-time, casual or sessional basis.&#10;Often engaged on a casual basis.&#10;&#10;Job pathways in:&#10;TESOL teacher.&#10;VET trainer and assessor.&#10;Literacy support officer.&#10;School teachers.&#10;Teacher's Aide.&#10;Community and Health Workers.&#10;&#10;Job pathways out:&#10;TESOL teacher.&#10;VET trainer and assessor.&#10;School teacher.&#10;Education Adviser.&#10;Education Management roles.&#10;&#10;Career progression:&#10;Promotion to leadership role.&#10;Transition from casual to permanent position.&#10;Head Teacher or Program Director.&#10;&#10;Education &amp; training:&#10;Minimum requirements per Standards for RTOs.&#10;Will typically hold a Certificate IV in Training and Assessment (including relevant LLN units or substantial Adult Literacy and Numeracy professional development).&#10;Generally, holds a diploma or higher-level qualification in adult literacy and numeracy and or teaching/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859929" name="Picture 5" descr="Core duties: &#10;Facilitate pre-training, formative and summative assessments, e.g. using the Australian Core Skills Framework especially in relation to subsidised training/fee-free TAFE initiatives.&#10;Design, deliver, customise, evaluate and adapt language, literacy and numeracy education, training and courses (may be accredited or non-accredited).&#10;Undertake accurate and culturally appropriate assessment and needs analysis for targeted cohorts and communities to ensure customised education and training delivery for these contexts.&#10;Provide flexible delivery, adapting resources to meet the individual learn needs and goals in vocational and community settings.&#10;Support and mentor teachers, trainers and staff to embed literacy and numeracy learning into their activities&#10;Undertake student administration, including marking registers and recording results, and maintaining relationships with internal and external stakeholders.&#10;&#10;Commonly found in:&#10;Mainly found in TAFEs and ACE providers.&#10;Also found in RTOs and/or VET providers in workplaces and in corrections.&#10;Dual sector institutions or RTOs linked to universities for pathways into VET and then higher education qualifications.   &#10;&#10;Typical employment arrangements:&#10;May be employed on full-time, part-time, casual or sessional basis.&#10;Often engaged on a casual basis.&#10;&#10;Job pathways in:&#10;TESOL teacher.&#10;VET trainer and assessor.&#10;Literacy support officer.&#10;School teachers.&#10;Teacher's Aide.&#10;Community and Health Workers.&#10;&#10;Job pathways out:&#10;TESOL teacher.&#10;VET trainer and assessor.&#10;School teacher.&#10;Education Adviser.&#10;Education Management roles.&#10;&#10;Career progression:&#10;Promotion to leadership role.&#10;Transition from casual to permanent position.&#10;Head Teacher or Program Director.&#10;&#10;Education &amp; training:&#10;Minimum requirements per Standards for RTOs.&#10;Will typically hold a Certificate IV in Training and Assessment (including relevant LLN units or substantial Adult Literacy and Numeracy professional development).&#10;Generally, holds a diploma or higher-level qualification in adult literacy and numeracy and or teaching/educatio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51999" cy="6579434"/>
                    </a:xfrm>
                    <a:prstGeom prst="rect">
                      <a:avLst/>
                    </a:prstGeom>
                    <a:solidFill>
                      <a:schemeClr val="bg1"/>
                    </a:solidFill>
                  </pic:spPr>
                </pic:pic>
              </a:graphicData>
            </a:graphic>
          </wp:inline>
        </w:drawing>
      </w:r>
    </w:p>
    <w:p w14:paraId="6FF8B0C0" w14:textId="77777777" w:rsidR="004C0B4A" w:rsidRDefault="004C0B4A" w:rsidP="00CE3184">
      <w:pPr>
        <w:pStyle w:val="Bodycopy"/>
      </w:pPr>
    </w:p>
    <w:p w14:paraId="1C6B4E4E" w14:textId="3AEEA33A" w:rsidR="00CE3184" w:rsidRDefault="007475A4" w:rsidP="00CE3184">
      <w:pPr>
        <w:pStyle w:val="Bodycopy"/>
      </w:pPr>
      <w:r w:rsidRPr="00CE3184">
        <w:t xml:space="preserve">The demand for </w:t>
      </w:r>
      <w:r w:rsidR="1788A918" w:rsidRPr="00CE3184">
        <w:t xml:space="preserve">‘foundation skills’ teachers </w:t>
      </w:r>
      <w:r w:rsidR="345C1F5D" w:rsidRPr="00CE3184">
        <w:t>is likely to</w:t>
      </w:r>
      <w:r w:rsidRPr="00CE3184">
        <w:t xml:space="preserve"> increase with </w:t>
      </w:r>
      <w:r w:rsidR="193468BF" w:rsidRPr="00CE3184">
        <w:t xml:space="preserve">current </w:t>
      </w:r>
      <w:r w:rsidRPr="00CE3184">
        <w:t xml:space="preserve">government </w:t>
      </w:r>
      <w:r w:rsidR="58D534B5" w:rsidRPr="00CE3184">
        <w:t>reforms</w:t>
      </w:r>
      <w:r w:rsidRPr="00CE3184">
        <w:t>. As noted in Chapter 1, the NSA in particular commits to better serve the one in five Australians who have low literacy and numeracy skills including by providing no</w:t>
      </w:r>
      <w:r w:rsidR="0000395E">
        <w:t xml:space="preserve"> –</w:t>
      </w:r>
      <w:r w:rsidRPr="00CE3184">
        <w:t xml:space="preserve"> or low fee access to foundation skills training for learners with an assessed need. </w:t>
      </w:r>
    </w:p>
    <w:p w14:paraId="6E8AEF6C" w14:textId="5D1DCE04" w:rsidR="007475A4" w:rsidRPr="00CE3184" w:rsidRDefault="007475A4" w:rsidP="00CE3184">
      <w:pPr>
        <w:pStyle w:val="Bodycopy"/>
      </w:pPr>
      <w:r w:rsidRPr="00CE3184">
        <w:t>Additionally, as part of the 2023-24 Budget, the Government is introducing a re</w:t>
      </w:r>
      <w:r w:rsidR="3F2B7824" w:rsidRPr="00CE3184">
        <w:t>-</w:t>
      </w:r>
      <w:r w:rsidRPr="00CE3184">
        <w:t>designed Skills for Education and Employment (SEE) program from 1 July 2024, to improve access to foundation skills training for all Australians with LLND</w:t>
      </w:r>
      <w:r w:rsidR="1ABC081B" w:rsidRPr="00CE3184">
        <w:t>E</w:t>
      </w:r>
      <w:r w:rsidRPr="00CE3184">
        <w:t xml:space="preserve"> need</w:t>
      </w:r>
      <w:r w:rsidR="45E4F6B2" w:rsidRPr="00CE3184">
        <w:t>s</w:t>
      </w:r>
      <w:r w:rsidRPr="00CE3184">
        <w:t xml:space="preserve">. Alongside this growing importance, there is a declining availability of graduate adult literacy and numeracy </w:t>
      </w:r>
      <w:r w:rsidRPr="00CE3184">
        <w:lastRenderedPageBreak/>
        <w:t>teaching courses, posing a challenge to replenishing the stock of leaders and specialists in the field.</w:t>
      </w:r>
      <w:r w:rsidR="000C6D37">
        <w:rPr>
          <w:rStyle w:val="EndnoteReference"/>
        </w:rPr>
        <w:endnoteReference w:id="60"/>
      </w:r>
      <w:r w:rsidRPr="00CE3184">
        <w:t xml:space="preserve">  In a survey of 382 providers, 32% cited lack of qualified teachers as a barrier to delivering LLND</w:t>
      </w:r>
      <w:r w:rsidR="00B4AEA4" w:rsidRPr="00CE3184">
        <w:t>E</w:t>
      </w:r>
      <w:r w:rsidRPr="00CE3184">
        <w:t xml:space="preserve"> programs.</w:t>
      </w:r>
      <w:r w:rsidR="000C6D37">
        <w:rPr>
          <w:rStyle w:val="EndnoteReference"/>
        </w:rPr>
        <w:endnoteReference w:id="61"/>
      </w:r>
    </w:p>
    <w:p w14:paraId="0352D321" w14:textId="62501082" w:rsidR="00D467D6" w:rsidRDefault="007475A4" w:rsidP="00CE3184">
      <w:pPr>
        <w:pStyle w:val="Bodycopy"/>
      </w:pPr>
      <w:r w:rsidRPr="00CE3184">
        <w:rPr>
          <w:b/>
          <w:bCs/>
        </w:rPr>
        <w:t>TESOL teachers</w:t>
      </w:r>
      <w:r w:rsidRPr="00CE3184">
        <w:t xml:space="preserve"> (those teaching English to speakers of other languages) also play an important role in developing foundation skills</w:t>
      </w:r>
      <w:r w:rsidR="00E22539" w:rsidRPr="00CE3184">
        <w:t xml:space="preserve">, see </w:t>
      </w:r>
      <w:hyperlink w:anchor="Figure_3_13" w:history="1">
        <w:r w:rsidR="00E22539" w:rsidRPr="00564816">
          <w:rPr>
            <w:rStyle w:val="Hyperlink"/>
          </w:rPr>
          <w:t>Figure 3.13</w:t>
        </w:r>
      </w:hyperlink>
      <w:r w:rsidRPr="00CE3184">
        <w:t>. TESOL teachers may also be described as English as a second language (ESL) teacher/English as an additional language (EAL) teacher or other similar terms. Related groups of teachers include those teaching other languages, such as Aboriginal languages and Auslan capabilities.</w:t>
      </w:r>
      <w:r w:rsidR="000C6D37">
        <w:rPr>
          <w:rStyle w:val="EndnoteReference"/>
        </w:rPr>
        <w:endnoteReference w:id="62"/>
      </w:r>
    </w:p>
    <w:p w14:paraId="4F3F3353" w14:textId="77777777" w:rsidR="00CE3184" w:rsidRPr="00CE3184" w:rsidRDefault="00CE3184" w:rsidP="00CE3184">
      <w:pPr>
        <w:pStyle w:val="Bodycopy"/>
      </w:pPr>
    </w:p>
    <w:p w14:paraId="17E11C8E" w14:textId="66F84C4E" w:rsidR="007475A4" w:rsidRPr="00CE3184" w:rsidRDefault="007475A4" w:rsidP="00CE3184">
      <w:pPr>
        <w:pStyle w:val="Caption"/>
      </w:pPr>
      <w:bookmarkStart w:id="167" w:name="Figure_3_13"/>
      <w:r w:rsidRPr="00CE3184">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13</w:t>
      </w:r>
      <w:r w:rsidR="006558DC">
        <w:fldChar w:fldCharType="end"/>
      </w:r>
      <w:r w:rsidR="002766D5">
        <w:t xml:space="preserve"> </w:t>
      </w:r>
      <w:r w:rsidRPr="00CE3184">
        <w:t>TESOL teachers</w:t>
      </w:r>
    </w:p>
    <w:bookmarkEnd w:id="167"/>
    <w:p w14:paraId="16628FB0" w14:textId="5E2F0404" w:rsidR="00CE3184" w:rsidRDefault="00A675E0" w:rsidP="00CE3184">
      <w:r w:rsidRPr="00CE3184">
        <w:rPr>
          <w:noProof/>
        </w:rPr>
        <w:drawing>
          <wp:inline distT="0" distB="0" distL="0" distR="0" wp14:anchorId="0370BF60" wp14:editId="67FBF815">
            <wp:extent cx="5651999" cy="5578706"/>
            <wp:effectExtent l="0" t="0" r="6350" b="3175"/>
            <wp:docPr id="168516104" name="Picture 6" descr="Core duties: &#10;Assess the needs of individual students in the context of English language acquisition.&#10;Deliver English language training to speakers of other languages (may be nationally recognised training, other accredited training such as IELTS, or non-accredited training). &#10;Design and produce teaching and assessment materials and adapt existing materials. &#10;Prepare course outlines and goals.&#10;Analyse, provide feedback and report on student outcomes.&#10;&#10;Commonly found in:&#10;TAFEs.&#10;Dual sector institutions.&#10;Multi-field independent RTOs.&#10;School-based RTOs.&#10;ACE providers.&#10;&#10;Typical employment arrangements:&#10;May be employed on full-time, part-time, casual or sessional basis.&#10;Often engaged on a casual basis.&#10;&#10;Job pathways in:&#10;Adult literacy and numeracy teacher.&#10;VET trainer and assessor.&#10;School teacher.&#10;Literacy support officer.&#10;&#10;Job pathways out:&#10;Adult literacy and numeracy teacher.&#10;VET trainer and assessor.&#10;School teacher.&#10;University lecturer.&#10;Education Adviser.&#10;&#10;Career progression:&#10;Promotion to leadership role.&#10;Transition from casual to permanent position.&#10;&#10;Education &amp; training:&#10;Minimum requirements per RTO Standards (if delivering nationally recognised training).&#10;Will typically hold a Certificate IV in Training and Assessment.&#10;May also hold specialist TESOL qualification or qualification with TESOL as a method, particularly if delivering to overseas students or in a NEAS endorsed English Language Teaching (ELT)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16104" name="Picture 6" descr="Core duties: &#10;Assess the needs of individual students in the context of English language acquisition.&#10;Deliver English language training to speakers of other languages (may be nationally recognised training, other accredited training such as IELTS, or non-accredited training). &#10;Design and produce teaching and assessment materials and adapt existing materials. &#10;Prepare course outlines and goals.&#10;Analyse, provide feedback and report on student outcomes.&#10;&#10;Commonly found in:&#10;TAFEs.&#10;Dual sector institutions.&#10;Multi-field independent RTOs.&#10;School-based RTOs.&#10;ACE providers.&#10;&#10;Typical employment arrangements:&#10;May be employed on full-time, part-time, casual or sessional basis.&#10;Often engaged on a casual basis.&#10;&#10;Job pathways in:&#10;Adult literacy and numeracy teacher.&#10;VET trainer and assessor.&#10;School teacher.&#10;Literacy support officer.&#10;&#10;Job pathways out:&#10;Adult literacy and numeracy teacher.&#10;VET trainer and assessor.&#10;School teacher.&#10;University lecturer.&#10;Education Adviser.&#10;&#10;Career progression:&#10;Promotion to leadership role.&#10;Transition from casual to permanent position.&#10;&#10;Education &amp; training:&#10;Minimum requirements per RTO Standards (if delivering nationally recognised training).&#10;Will typically hold a Certificate IV in Training and Assessment.&#10;May also hold specialist TESOL qualification or qualification with TESOL as a method, particularly if delivering to overseas students or in a NEAS endorsed English Language Teaching (ELT) Centr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51999" cy="5578706"/>
                    </a:xfrm>
                    <a:prstGeom prst="rect">
                      <a:avLst/>
                    </a:prstGeom>
                    <a:solidFill>
                      <a:schemeClr val="bg1"/>
                    </a:solidFill>
                  </pic:spPr>
                </pic:pic>
              </a:graphicData>
            </a:graphic>
          </wp:inline>
        </w:drawing>
      </w:r>
    </w:p>
    <w:p w14:paraId="66E601F1" w14:textId="77777777" w:rsidR="0024109B" w:rsidRDefault="0024109B">
      <w:pPr>
        <w:rPr>
          <w:rFonts w:eastAsiaTheme="majorEastAsia" w:cstheme="majorBidi"/>
          <w:b/>
          <w:color w:val="441170" w:themeColor="text2"/>
          <w:spacing w:val="-2"/>
          <w:sz w:val="26"/>
          <w:szCs w:val="24"/>
        </w:rPr>
      </w:pPr>
      <w:r>
        <w:br w:type="page"/>
      </w:r>
    </w:p>
    <w:p w14:paraId="2FB7DFA0" w14:textId="0F8B1D0C" w:rsidR="007475A4" w:rsidRPr="00CE3184" w:rsidRDefault="007475A4" w:rsidP="00CE3184">
      <w:pPr>
        <w:pStyle w:val="Heading3"/>
      </w:pPr>
      <w:r w:rsidRPr="00CE3184">
        <w:lastRenderedPageBreak/>
        <w:t>Quality Assurance and Compliance</w:t>
      </w:r>
    </w:p>
    <w:p w14:paraId="37021C04" w14:textId="77777777" w:rsidR="0024109B" w:rsidRDefault="007475A4" w:rsidP="00CE3184">
      <w:pPr>
        <w:pStyle w:val="Bodycopy"/>
      </w:pPr>
      <w:r>
        <w:t xml:space="preserve">The quality assurance and compliance segment of the VET workforce ensure the operations of the provider comply with RTO Standards and training package requirements and other regulatory or funding requirements, such as State or Commonwealth government contractual conditions, apprenticeship requirements, Work Cover authorities, and maintaining relevant approvals from occupational licensing bodies and professional and industry accrediting bodies. </w:t>
      </w:r>
    </w:p>
    <w:p w14:paraId="3C0AB6E5" w14:textId="458B9692" w:rsidR="007475A4" w:rsidRDefault="007475A4" w:rsidP="00CE3184">
      <w:pPr>
        <w:pStyle w:val="Bodycopy"/>
        <w:rPr>
          <w:rFonts w:eastAsia="Arial" w:cs="Arial"/>
        </w:rPr>
      </w:pPr>
      <w:r w:rsidRPr="6BE4B0E8">
        <w:rPr>
          <w:rFonts w:eastAsia="Arial" w:cs="Arial"/>
        </w:rPr>
        <w:t>This function is required across all provider types. However, smaller providers may absorb this function within teaching or manager roles or procure services externally. This is especially the case at times of training package changes when RTO</w:t>
      </w:r>
      <w:r w:rsidR="008768A7">
        <w:rPr>
          <w:rFonts w:eastAsia="Arial" w:cs="Arial"/>
        </w:rPr>
        <w:t>s</w:t>
      </w:r>
      <w:r w:rsidRPr="6BE4B0E8">
        <w:rPr>
          <w:rFonts w:eastAsia="Arial" w:cs="Arial"/>
        </w:rPr>
        <w:t xml:space="preserve"> often employ ‘surge’ workforces in both quality assurance, </w:t>
      </w:r>
      <w:r w:rsidR="003D4551" w:rsidRPr="6BE4B0E8">
        <w:rPr>
          <w:rFonts w:eastAsia="Arial" w:cs="Arial"/>
        </w:rPr>
        <w:t>compliance,</w:t>
      </w:r>
      <w:r w:rsidRPr="6BE4B0E8">
        <w:rPr>
          <w:rFonts w:eastAsia="Arial" w:cs="Arial"/>
        </w:rPr>
        <w:t xml:space="preserve"> and curriculum specialist roles. </w:t>
      </w:r>
    </w:p>
    <w:p w14:paraId="02174AC2" w14:textId="77777777" w:rsidR="007475A4" w:rsidRDefault="007475A4" w:rsidP="00CE3184">
      <w:pPr>
        <w:pStyle w:val="Bodycopy"/>
        <w:rPr>
          <w:rFonts w:eastAsia="Arial" w:cs="Arial"/>
        </w:rPr>
      </w:pPr>
      <w:r w:rsidRPr="5E1BBEDB">
        <w:rPr>
          <w:rFonts w:eastAsia="Arial" w:cs="Arial"/>
        </w:rPr>
        <w:t>Relevant job titles for this segment of the VET workforce include Compliance and Quality Officer, RTO Compliance Officer, Quality Officer, Education Quality Consultant, Compliance and Audit Coordinator and other similar terms.</w:t>
      </w:r>
    </w:p>
    <w:p w14:paraId="529BA69A" w14:textId="2F24BF24" w:rsidR="007475A4" w:rsidRDefault="00834F9F" w:rsidP="007475A4">
      <w:pPr>
        <w:pStyle w:val="Caption"/>
        <w:keepNext/>
      </w:pPr>
      <w:bookmarkStart w:id="168" w:name="Figure_3_14"/>
      <w:r>
        <w:t>F</w:t>
      </w:r>
      <w:r w:rsidR="007475A4">
        <w:t xml:space="preserve">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14</w:t>
      </w:r>
      <w:r w:rsidR="006558DC">
        <w:fldChar w:fldCharType="end"/>
      </w:r>
      <w:r w:rsidR="007475A4">
        <w:t xml:space="preserve"> Quality </w:t>
      </w:r>
      <w:r w:rsidR="008768A7">
        <w:t>a</w:t>
      </w:r>
      <w:r w:rsidR="007475A4">
        <w:t xml:space="preserve">ssurance and </w:t>
      </w:r>
      <w:r w:rsidR="008768A7">
        <w:t>c</w:t>
      </w:r>
      <w:r w:rsidR="007475A4">
        <w:t>ompliance roles</w:t>
      </w:r>
    </w:p>
    <w:bookmarkEnd w:id="168"/>
    <w:p w14:paraId="4397C7D3" w14:textId="2FAE8D9B" w:rsidR="00A675E0" w:rsidRPr="00A675E0" w:rsidRDefault="00A675E0" w:rsidP="00A675E0">
      <w:pPr>
        <w:rPr>
          <w:lang w:val="en-US"/>
        </w:rPr>
      </w:pPr>
      <w:r>
        <w:rPr>
          <w:noProof/>
          <w:lang w:val="en-US"/>
        </w:rPr>
        <w:drawing>
          <wp:inline distT="0" distB="0" distL="0" distR="0" wp14:anchorId="68EC8F04" wp14:editId="4A16CE7A">
            <wp:extent cx="5652000" cy="5471586"/>
            <wp:effectExtent l="0" t="0" r="6350" b="0"/>
            <wp:docPr id="313366436" name="Picture 7" descr="Figure 3.14 Quality assurance and compliance r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366436" name="Picture 7" descr="Figure 3.14 Quality assurance and compliance roles"/>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52000" cy="5471586"/>
                    </a:xfrm>
                    <a:prstGeom prst="rect">
                      <a:avLst/>
                    </a:prstGeom>
                    <a:solidFill>
                      <a:schemeClr val="bg1"/>
                    </a:solidFill>
                  </pic:spPr>
                </pic:pic>
              </a:graphicData>
            </a:graphic>
          </wp:inline>
        </w:drawing>
      </w:r>
    </w:p>
    <w:p w14:paraId="6F23346C" w14:textId="4E1B7809" w:rsidR="007475A4" w:rsidRDefault="007475A4" w:rsidP="00E16D4F">
      <w:pPr>
        <w:pStyle w:val="Bodycopy"/>
      </w:pPr>
      <w:r>
        <w:lastRenderedPageBreak/>
        <w:t xml:space="preserve">In addition to the core duties outlined in </w:t>
      </w:r>
      <w:hyperlink w:anchor="Figure_3_14" w:history="1">
        <w:r w:rsidRPr="00564816">
          <w:rPr>
            <w:rStyle w:val="Hyperlink"/>
          </w:rPr>
          <w:t>Figure 3.14</w:t>
        </w:r>
      </w:hyperlink>
      <w:r>
        <w:t>, those in quality assurance and compliance roles may be responsible for providing</w:t>
      </w:r>
      <w:r w:rsidRPr="294321A8">
        <w:rPr>
          <w:rFonts w:cs="Arial"/>
        </w:rPr>
        <w:t xml:space="preserve"> advice and support to other staff on how to meet regulatory and contract requirements.</w:t>
      </w:r>
      <w:r w:rsidRPr="294321A8">
        <w:rPr>
          <w:rFonts w:eastAsia="Arial" w:cs="Arial"/>
        </w:rPr>
        <w:t xml:space="preserve"> Previous research has indicated that the workload associated with compliance and a fear of being found non-compliant can have a significant impact on teacher motivation and retention</w:t>
      </w:r>
      <w:r>
        <w:rPr>
          <w:rFonts w:eastAsia="Arial" w:cs="Arial"/>
        </w:rPr>
        <w:t>.</w:t>
      </w:r>
      <w:r w:rsidR="000C6D37">
        <w:rPr>
          <w:rStyle w:val="EndnoteReference"/>
          <w:rFonts w:eastAsia="Arial" w:cs="Arial"/>
        </w:rPr>
        <w:endnoteReference w:id="63"/>
      </w:r>
      <w:r w:rsidR="00E04157">
        <w:rPr>
          <w:rFonts w:eastAsia="Arial" w:cs="Arial"/>
        </w:rPr>
        <w:t xml:space="preserve"> </w:t>
      </w:r>
      <w:r w:rsidRPr="294321A8">
        <w:rPr>
          <w:rFonts w:eastAsia="Arial" w:cs="Arial"/>
        </w:rPr>
        <w:t xml:space="preserve">This segment of the VET workforce therefore has an important role in supporting efforts to retain </w:t>
      </w:r>
      <w:r w:rsidR="00CC6D50">
        <w:rPr>
          <w:rFonts w:eastAsia="Arial" w:cs="Arial"/>
        </w:rPr>
        <w:t>VET teachers</w:t>
      </w:r>
      <w:r w:rsidRPr="294321A8">
        <w:rPr>
          <w:rFonts w:eastAsia="Arial" w:cs="Arial"/>
        </w:rPr>
        <w:t>, trainers</w:t>
      </w:r>
      <w:r w:rsidR="0093479D">
        <w:rPr>
          <w:rFonts w:eastAsia="Arial" w:cs="Arial"/>
        </w:rPr>
        <w:t>,</w:t>
      </w:r>
      <w:r w:rsidRPr="294321A8">
        <w:rPr>
          <w:rFonts w:eastAsia="Arial" w:cs="Arial"/>
        </w:rPr>
        <w:t xml:space="preserve"> and assessors.</w:t>
      </w:r>
      <w:r w:rsidRPr="294321A8">
        <w:rPr>
          <w:rFonts w:cs="Arial"/>
        </w:rPr>
        <w:t xml:space="preserve"> </w:t>
      </w:r>
      <w:r>
        <w:t xml:space="preserve"> </w:t>
      </w:r>
    </w:p>
    <w:p w14:paraId="349EF804" w14:textId="0A2CD7A6" w:rsidR="007475A4" w:rsidRPr="006F4E6E" w:rsidRDefault="007475A4" w:rsidP="00FA5CFC">
      <w:pPr>
        <w:pStyle w:val="Bodycopy"/>
        <w:rPr>
          <w:lang w:eastAsia="en-AU"/>
        </w:rPr>
      </w:pPr>
      <w:r>
        <w:t>Subject to the responsibility of the role, some employers may require specialist auditing or compliance qualifications (e.g.</w:t>
      </w:r>
      <w:r w:rsidR="6AEC08B6">
        <w:t xml:space="preserve"> </w:t>
      </w:r>
      <w:r>
        <w:t xml:space="preserve">11075NAT </w:t>
      </w:r>
      <w:r w:rsidR="0000395E">
        <w:t>–</w:t>
      </w:r>
      <w:r>
        <w:t xml:space="preserve"> Certificate IV in Vocational Education and Training Compliance, BSB50920 Diploma of Quality Auditing, 10980NAT Graduate Certificate in Compliance and Risk Management). </w:t>
      </w:r>
    </w:p>
    <w:p w14:paraId="4385C4AF" w14:textId="77777777" w:rsidR="00FA5CFC" w:rsidRDefault="007475A4" w:rsidP="00601F84">
      <w:pPr>
        <w:pStyle w:val="Bodycopy"/>
        <w:spacing w:after="240"/>
      </w:pPr>
      <w:r w:rsidRPr="00FA5CFC">
        <w:t>Alongside other VET experience, pathways into quality assurance and compliance include experience in regulation and quality from other sectors (such as aged care or childcare) and demonstrating knowledge of the RTO Standards.</w:t>
      </w:r>
      <w:r>
        <w:t xml:space="preserve"> </w:t>
      </w:r>
    </w:p>
    <w:p w14:paraId="20F3DC78" w14:textId="51A50A37" w:rsidR="007475A4" w:rsidRPr="0024109B" w:rsidRDefault="007475A4" w:rsidP="00FA5CFC">
      <w:pPr>
        <w:pStyle w:val="Heading3"/>
        <w:rPr>
          <w:rFonts w:eastAsia="Arial"/>
          <w:bCs/>
          <w:szCs w:val="26"/>
        </w:rPr>
      </w:pPr>
      <w:r>
        <w:t>Curriculum and Learning Design</w:t>
      </w:r>
    </w:p>
    <w:p w14:paraId="7E1D85AB" w14:textId="77777777" w:rsidR="00AD6BD1" w:rsidRDefault="007475A4" w:rsidP="00C4494D">
      <w:pPr>
        <w:pStyle w:val="Bodycopy"/>
      </w:pPr>
      <w:r>
        <w:t xml:space="preserve">As outlined </w:t>
      </w:r>
      <w:r w:rsidR="000056FC">
        <w:t>earlier</w:t>
      </w:r>
      <w:r>
        <w:t xml:space="preserve"> </w:t>
      </w:r>
      <w:r w:rsidR="003A361D">
        <w:t>regarding</w:t>
      </w:r>
      <w:r>
        <w:t xml:space="preserve"> job profiles, teachers, trainers and assessors across the spectrum from working under supervision to extended scope</w:t>
      </w:r>
      <w:r w:rsidR="00CB1133">
        <w:t>,</w:t>
      </w:r>
      <w:r>
        <w:t xml:space="preserve"> play a key role in developing learning materials and delivering training packages in line with different student needs and unique place-based contexts. The Curriculum and Learning Design segment of the VET workforce extends this work, and roles in this segment have a narrower focus on developing the best training needs, designs, solutions, and products to meet the needs of industry, clients and students. </w:t>
      </w:r>
    </w:p>
    <w:p w14:paraId="465DA449" w14:textId="25851904" w:rsidR="007475A4" w:rsidRDefault="007475A4" w:rsidP="00C4494D">
      <w:pPr>
        <w:pStyle w:val="Bodycopy"/>
      </w:pPr>
      <w:r>
        <w:t>Those employed in this segment may also have a role in evaluating the effectiveness of training programs and providing advice to more junior teachers, trainers and assessors on new and emerging training and assessment approaches and technology. There are generally three types of roles in this segment.</w:t>
      </w:r>
    </w:p>
    <w:p w14:paraId="1174634F" w14:textId="3856650A" w:rsidR="007475A4" w:rsidRDefault="007475A4" w:rsidP="002D4813">
      <w:pPr>
        <w:pStyle w:val="Heading4"/>
      </w:pPr>
      <w:r>
        <w:t xml:space="preserve">Curriculum </w:t>
      </w:r>
      <w:r w:rsidR="008768A7">
        <w:t>s</w:t>
      </w:r>
      <w:r>
        <w:t xml:space="preserve">pecialists, </w:t>
      </w:r>
      <w:r w:rsidR="008768A7">
        <w:t>i</w:t>
      </w:r>
      <w:r>
        <w:t xml:space="preserve">nstructional and or </w:t>
      </w:r>
      <w:r w:rsidR="008768A7">
        <w:t>l</w:t>
      </w:r>
      <w:r>
        <w:t xml:space="preserve">earning </w:t>
      </w:r>
      <w:r w:rsidR="008768A7">
        <w:t>d</w:t>
      </w:r>
      <w:r>
        <w:t xml:space="preserve">esigners </w:t>
      </w:r>
    </w:p>
    <w:p w14:paraId="3BF874AA" w14:textId="67B2DBDF" w:rsidR="00AD6BD1" w:rsidRPr="00C4494D" w:rsidRDefault="007475A4" w:rsidP="00C4494D">
      <w:pPr>
        <w:pStyle w:val="Bodycopy"/>
      </w:pPr>
      <w:r w:rsidRPr="00C4494D">
        <w:t>VET curriculum development must balance consistency (through nationally recognised, competency-based training products) and flexibility (through provider autonomy over how training is delivered).</w:t>
      </w:r>
      <w:r w:rsidR="000C6D37">
        <w:rPr>
          <w:rStyle w:val="EndnoteReference"/>
        </w:rPr>
        <w:endnoteReference w:id="64"/>
      </w:r>
      <w:r w:rsidRPr="00C4494D">
        <w:rPr>
          <w:vertAlign w:val="superscript"/>
        </w:rPr>
        <w:t xml:space="preserve"> </w:t>
      </w:r>
      <w:r w:rsidRPr="00C4494D">
        <w:t xml:space="preserve">Curriculum specialists are a critical component in how providers navigate this balance, especially at times of training package changes as noted above. </w:t>
      </w:r>
    </w:p>
    <w:p w14:paraId="3912788F" w14:textId="126FFD8E" w:rsidR="007475A4" w:rsidRPr="00C4494D" w:rsidRDefault="007475A4" w:rsidP="00C4494D">
      <w:pPr>
        <w:pStyle w:val="Bodycopy"/>
      </w:pPr>
      <w:r w:rsidRPr="00C4494D">
        <w:t xml:space="preserve">In smaller providers, this function again may be absorbed within teaching or manager roles This again indicates the crossover between this segment and </w:t>
      </w:r>
      <w:r w:rsidR="00CB29F6">
        <w:t>Teach, Train, and Assess</w:t>
      </w:r>
      <w:r w:rsidRPr="00C4494D">
        <w:t xml:space="preserve"> roles</w:t>
      </w:r>
      <w:r w:rsidR="00705FFF" w:rsidRPr="00C4494D">
        <w:t xml:space="preserve">, see </w:t>
      </w:r>
      <w:hyperlink w:anchor="Figure_3_15" w:history="1">
        <w:r w:rsidR="00705FFF" w:rsidRPr="00564816">
          <w:rPr>
            <w:rStyle w:val="Hyperlink"/>
          </w:rPr>
          <w:t>Figure 3.</w:t>
        </w:r>
        <w:r w:rsidR="0010058B" w:rsidRPr="00564816">
          <w:rPr>
            <w:rStyle w:val="Hyperlink"/>
          </w:rPr>
          <w:t>15</w:t>
        </w:r>
      </w:hyperlink>
      <w:r w:rsidRPr="00C4494D">
        <w:t xml:space="preserve">. Curriculum specialists may also be called curriculum developers, instructional or learning designers, education advisors, learning and development specialists, and curriculum coordinators. </w:t>
      </w:r>
    </w:p>
    <w:p w14:paraId="14A7DBE5" w14:textId="46F9CC5E" w:rsidR="007475A4" w:rsidRDefault="007475A4" w:rsidP="007475A4">
      <w:pPr>
        <w:pStyle w:val="Caption"/>
        <w:keepNext/>
        <w:spacing w:after="120" w:line="276" w:lineRule="auto"/>
      </w:pPr>
      <w:bookmarkStart w:id="169" w:name="Figure_3_15"/>
      <w:r>
        <w:lastRenderedPageBreak/>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15</w:t>
      </w:r>
      <w:r w:rsidR="006558DC">
        <w:fldChar w:fldCharType="end"/>
      </w:r>
      <w:r>
        <w:t xml:space="preserve"> Curriculum specialist and instructional/learning designer roles</w:t>
      </w:r>
    </w:p>
    <w:bookmarkEnd w:id="169"/>
    <w:p w14:paraId="06ABA0C9" w14:textId="1B4AF426" w:rsidR="007475A4" w:rsidRPr="00AD6BD1" w:rsidRDefault="00AD6BD1" w:rsidP="00AD6BD1">
      <w:pPr>
        <w:rPr>
          <w:lang w:val="en-US"/>
        </w:rPr>
      </w:pPr>
      <w:r>
        <w:rPr>
          <w:noProof/>
          <w:lang w:val="en-US"/>
        </w:rPr>
        <w:drawing>
          <wp:inline distT="0" distB="0" distL="0" distR="0" wp14:anchorId="301FE850" wp14:editId="4EAC7BD1">
            <wp:extent cx="5651999" cy="6201695"/>
            <wp:effectExtent l="0" t="0" r="6350" b="8890"/>
            <wp:docPr id="1536313713" name="Picture 8" descr="Figure 3.15 Curriculum specialist and instructional/learning designer ro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13713" name="Picture 8" descr="Figure 3.15 Curriculum specialist and instructional/learning designer roles&#1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51999" cy="6201695"/>
                    </a:xfrm>
                    <a:prstGeom prst="rect">
                      <a:avLst/>
                    </a:prstGeom>
                    <a:solidFill>
                      <a:schemeClr val="bg1"/>
                    </a:solidFill>
                  </pic:spPr>
                </pic:pic>
              </a:graphicData>
            </a:graphic>
          </wp:inline>
        </w:drawing>
      </w:r>
    </w:p>
    <w:p w14:paraId="7C2818ED" w14:textId="77777777" w:rsidR="004C0B4A" w:rsidRDefault="004C0B4A" w:rsidP="002D4813">
      <w:pPr>
        <w:pStyle w:val="Heading4"/>
        <w:rPr>
          <w:rStyle w:val="Heading4Char"/>
          <w:b/>
          <w:bCs/>
        </w:rPr>
      </w:pPr>
    </w:p>
    <w:p w14:paraId="0143E22A" w14:textId="32A196EF" w:rsidR="007475A4" w:rsidRPr="00745C03" w:rsidRDefault="007475A4" w:rsidP="002D4813">
      <w:pPr>
        <w:pStyle w:val="Heading4"/>
        <w:rPr>
          <w:rStyle w:val="Heading4Char"/>
        </w:rPr>
      </w:pPr>
      <w:r w:rsidRPr="00745C03">
        <w:rPr>
          <w:rStyle w:val="Heading4Char"/>
          <w:b/>
          <w:bCs/>
        </w:rPr>
        <w:t xml:space="preserve">Learning </w:t>
      </w:r>
      <w:r w:rsidR="00FF2E3B">
        <w:rPr>
          <w:rStyle w:val="Heading4Char"/>
          <w:b/>
          <w:bCs/>
        </w:rPr>
        <w:t>d</w:t>
      </w:r>
      <w:r w:rsidRPr="00745C03">
        <w:rPr>
          <w:rStyle w:val="Heading4Char"/>
          <w:b/>
          <w:bCs/>
        </w:rPr>
        <w:t>esigners (digital specific)</w:t>
      </w:r>
    </w:p>
    <w:p w14:paraId="24482001" w14:textId="342BC5BE" w:rsidR="007475A4" w:rsidRDefault="00832D94" w:rsidP="00280B0B">
      <w:pPr>
        <w:pStyle w:val="Bodycopy"/>
      </w:pPr>
      <w:r w:rsidRPr="00832D94">
        <w:t>The proportion of VET subjects delivered entirely online increased 24% between 2019 and 2020 largely due to the onset of the COVID pandemic. However, many providers are retaining online delivery modes post-COVID</w:t>
      </w:r>
      <w:r w:rsidR="007475A4" w:rsidRPr="10B5B190">
        <w:t xml:space="preserve">. </w:t>
      </w:r>
      <w:r w:rsidR="00E83A0B">
        <w:t>In fact, t</w:t>
      </w:r>
      <w:r w:rsidR="007475A4" w:rsidRPr="10B5B190">
        <w:t xml:space="preserve">he greater change, and a potential emerging trend, is the growth in blended delivery and </w:t>
      </w:r>
      <w:r w:rsidR="00E83A0B">
        <w:t xml:space="preserve">an </w:t>
      </w:r>
      <w:r w:rsidR="007475A4" w:rsidRPr="10B5B190">
        <w:t>associated decline in VET subjects delivered without any online component. In 2021, 62% of providers and 93% of TAFEs surveyed indicated they are likely to use more blended learning in the future.</w:t>
      </w:r>
      <w:r w:rsidR="008F5230" w:rsidRPr="008F5230">
        <w:rPr>
          <w:rStyle w:val="EndnoteReference"/>
        </w:rPr>
        <w:t xml:space="preserve"> </w:t>
      </w:r>
      <w:r w:rsidR="008F5230" w:rsidRPr="008F5230">
        <w:rPr>
          <w:rStyle w:val="EndnoteReference"/>
        </w:rPr>
        <w:endnoteReference w:id="65"/>
      </w:r>
      <w:r w:rsidR="008F5230" w:rsidRPr="10B5B190">
        <w:t xml:space="preserve"> </w:t>
      </w:r>
      <w:r w:rsidR="008F5230">
        <w:br/>
      </w:r>
      <w:r w:rsidR="007475A4" w:rsidRPr="10B5B190">
        <w:t xml:space="preserve">With more VET courses delivered at least partially online, greater digital skills are required for </w:t>
      </w:r>
      <w:r w:rsidR="00CC6D50">
        <w:t>VET teachers</w:t>
      </w:r>
      <w:r w:rsidR="007475A4" w:rsidRPr="10B5B190">
        <w:t>, who are older on average than the workforce as a whole and may have come from an industry background which demanded little digital engagement.</w:t>
      </w:r>
    </w:p>
    <w:p w14:paraId="7E00896C" w14:textId="6E08B8A7" w:rsidR="007475A4" w:rsidRDefault="007475A4" w:rsidP="00280B0B">
      <w:pPr>
        <w:pStyle w:val="Bodycopy"/>
      </w:pPr>
      <w:r w:rsidRPr="294321A8">
        <w:lastRenderedPageBreak/>
        <w:t>Thus, eLearning specialists and support officers (see learning support segment) have begun to play an increasing role in supporting the VET teaching workforce to deliver online teaching. These digital learning design roles are focused on developing training and assessment resources for e-learning platforms and are also described as Digital Designer, Learning Technology Designer, eLearning Designer, and Digital Experience Developer. Like curriculum specialists, these eLearning roles can also be</w:t>
      </w:r>
      <w:r w:rsidR="00247765">
        <w:t xml:space="preserve"> outsourced</w:t>
      </w:r>
      <w:r w:rsidRPr="294321A8">
        <w:t xml:space="preserve">. </w:t>
      </w:r>
    </w:p>
    <w:p w14:paraId="1CD8B4DE" w14:textId="77777777" w:rsidR="00FB6692" w:rsidRDefault="00FB6692" w:rsidP="007475A4">
      <w:pPr>
        <w:rPr>
          <w:rFonts w:eastAsia="Arial" w:cs="Arial"/>
        </w:rPr>
      </w:pPr>
    </w:p>
    <w:p w14:paraId="75A4EF60" w14:textId="2623C214" w:rsidR="007475A4" w:rsidRDefault="4D082D78" w:rsidP="070D62CA">
      <w:pPr>
        <w:pStyle w:val="Caption"/>
        <w:keepNext/>
      </w:pPr>
      <w:bookmarkStart w:id="170" w:name="Figure_3_16"/>
      <w:r>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16</w:t>
      </w:r>
      <w:r w:rsidR="006558DC">
        <w:fldChar w:fldCharType="end"/>
      </w:r>
      <w:r>
        <w:t xml:space="preserve"> </w:t>
      </w:r>
      <w:r w:rsidR="2BB17C2E">
        <w:t>Learning designers, including e-learning designer specialisations</w:t>
      </w:r>
    </w:p>
    <w:bookmarkEnd w:id="170"/>
    <w:p w14:paraId="53803720" w14:textId="0603EFB8" w:rsidR="007475A4" w:rsidRPr="00280B0B" w:rsidRDefault="00132C19" w:rsidP="007475A4">
      <w:pPr>
        <w:rPr>
          <w:lang w:val="en-US"/>
        </w:rPr>
      </w:pPr>
      <w:r>
        <w:rPr>
          <w:noProof/>
          <w:lang w:val="en-US"/>
        </w:rPr>
        <w:drawing>
          <wp:inline distT="0" distB="0" distL="0" distR="0" wp14:anchorId="75C8DD82" wp14:editId="702821FB">
            <wp:extent cx="5652000" cy="5618171"/>
            <wp:effectExtent l="0" t="0" r="6350" b="1905"/>
            <wp:docPr id="1329006035" name="Picture 9" descr="Figure 3.16 Learning designers, including e-learning designer speciali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006035" name="Picture 9" descr="Figure 3.16 Learning designers, including e-learning designer specialisation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52000" cy="5618171"/>
                    </a:xfrm>
                    <a:prstGeom prst="rect">
                      <a:avLst/>
                    </a:prstGeom>
                    <a:solidFill>
                      <a:schemeClr val="bg1"/>
                    </a:solidFill>
                  </pic:spPr>
                </pic:pic>
              </a:graphicData>
            </a:graphic>
          </wp:inline>
        </w:drawing>
      </w:r>
    </w:p>
    <w:p w14:paraId="78CFAD33" w14:textId="30D7ABF0" w:rsidR="007475A4" w:rsidRDefault="347EB015" w:rsidP="00E16D4F">
      <w:pPr>
        <w:pStyle w:val="Bodycopy"/>
        <w:rPr>
          <w:rFonts w:eastAsia="Arial" w:cs="Arial"/>
        </w:rPr>
      </w:pPr>
      <w:r>
        <w:t xml:space="preserve">For learning designers, relevant experience in instructional design and the use of Learning Management Systems (LMS) and other digital technologies is common. Indeed, some learning designers in VET </w:t>
      </w:r>
      <w:r w:rsidR="01B99075">
        <w:t xml:space="preserve">move </w:t>
      </w:r>
      <w:r>
        <w:t xml:space="preserve">from roles with LMS vendors. </w:t>
      </w:r>
      <w:r w:rsidRPr="3EA8C90E">
        <w:rPr>
          <w:rFonts w:eastAsia="Arial" w:cs="Arial"/>
        </w:rPr>
        <w:t xml:space="preserve">Pathways from within the VET sector may also include experienced VET teacher, trainer or assessors and curriculum specialists. </w:t>
      </w:r>
    </w:p>
    <w:p w14:paraId="523470EB" w14:textId="77777777" w:rsidR="007475A4" w:rsidRDefault="007475A4" w:rsidP="007475A4">
      <w:pPr>
        <w:rPr>
          <w:rStyle w:val="Heading3Char"/>
        </w:rPr>
      </w:pPr>
      <w:r>
        <w:rPr>
          <w:rStyle w:val="Heading3Char"/>
        </w:rPr>
        <w:br w:type="page"/>
      </w:r>
    </w:p>
    <w:p w14:paraId="40DCB6B8" w14:textId="77777777" w:rsidR="007475A4" w:rsidRPr="005B7C5E" w:rsidRDefault="007475A4" w:rsidP="005B7C5E">
      <w:pPr>
        <w:pStyle w:val="Heading3"/>
      </w:pPr>
      <w:r w:rsidRPr="005B7C5E">
        <w:rPr>
          <w:rStyle w:val="Heading3Char"/>
          <w:b/>
        </w:rPr>
        <w:lastRenderedPageBreak/>
        <w:t>Leadership</w:t>
      </w:r>
    </w:p>
    <w:p w14:paraId="6E5A9864" w14:textId="19BF2ED1" w:rsidR="007475A4" w:rsidRPr="00E26B5F" w:rsidRDefault="007475A4" w:rsidP="00280B0B">
      <w:pPr>
        <w:pStyle w:val="Bodycopy"/>
        <w:spacing w:after="240"/>
        <w:rPr>
          <w:lang w:eastAsia="en-AU"/>
        </w:rPr>
      </w:pPr>
      <w:r w:rsidRPr="5E1BBEDB">
        <w:rPr>
          <w:lang w:eastAsia="en-AU"/>
        </w:rPr>
        <w:t xml:space="preserve">VET leadership roles range across areas such as training services, stakeholder relationships and corporate services, and encompasses management positions in each of the VET workforce segments (see </w:t>
      </w:r>
      <w:hyperlink w:anchor="Figure_3_17" w:history="1">
        <w:r w:rsidRPr="00564816">
          <w:rPr>
            <w:rStyle w:val="Hyperlink"/>
            <w:lang w:eastAsia="en-AU"/>
          </w:rPr>
          <w:t>Figure 3.</w:t>
        </w:r>
        <w:r w:rsidR="005B7C5E" w:rsidRPr="00564816">
          <w:rPr>
            <w:rStyle w:val="Hyperlink"/>
            <w:lang w:eastAsia="en-AU"/>
          </w:rPr>
          <w:t>17</w:t>
        </w:r>
      </w:hyperlink>
      <w:r w:rsidRPr="5E1BBEDB">
        <w:rPr>
          <w:lang w:eastAsia="en-AU"/>
        </w:rPr>
        <w:t>). Relevant job titles include:</w:t>
      </w:r>
    </w:p>
    <w:p w14:paraId="24953595" w14:textId="40312874" w:rsidR="007475A4" w:rsidRPr="00FB6692" w:rsidRDefault="007475A4" w:rsidP="00D04786">
      <w:pPr>
        <w:pStyle w:val="ListBullet"/>
      </w:pPr>
      <w:r w:rsidRPr="00FA5CFC">
        <w:rPr>
          <w:b/>
          <w:bCs/>
        </w:rPr>
        <w:t>Cross-cutting roles:</w:t>
      </w:r>
      <w:r w:rsidRPr="00FB6692">
        <w:t xml:space="preserve"> Chief Executive Officer</w:t>
      </w:r>
      <w:r w:rsidR="0034592B">
        <w:t xml:space="preserve"> and </w:t>
      </w:r>
      <w:r w:rsidRPr="00FB6692">
        <w:t>Managing Director, RTO Operations Manager</w:t>
      </w:r>
      <w:r w:rsidR="0034592B">
        <w:t xml:space="preserve"> and </w:t>
      </w:r>
      <w:r w:rsidRPr="00FB6692">
        <w:t xml:space="preserve">Director of Strategy Performance &amp; Governance </w:t>
      </w:r>
    </w:p>
    <w:p w14:paraId="0B355559" w14:textId="397A3E0E" w:rsidR="007475A4" w:rsidRPr="00FB6692" w:rsidRDefault="00CB29F6" w:rsidP="00D04786">
      <w:pPr>
        <w:pStyle w:val="ListBullet"/>
      </w:pPr>
      <w:r>
        <w:rPr>
          <w:b/>
          <w:bCs/>
        </w:rPr>
        <w:t>Teach, Train, and Assess</w:t>
      </w:r>
      <w:r w:rsidR="007475A4" w:rsidRPr="00FA5CFC">
        <w:rPr>
          <w:b/>
          <w:bCs/>
        </w:rPr>
        <w:t xml:space="preserve"> focused leadership roles:</w:t>
      </w:r>
      <w:r w:rsidR="007475A4" w:rsidRPr="00FB6692">
        <w:t xml:space="preserve"> Head Teacher, Head Trainer, Director – Training Services; General Manager – Training; Program Coordinator, VET in Schools Coordinator, Course Coordinator, Training Coordinator, Educational Team Leader, Principal Lecturer. </w:t>
      </w:r>
    </w:p>
    <w:p w14:paraId="1817DDFF" w14:textId="77777777" w:rsidR="007475A4" w:rsidRPr="00FB6692" w:rsidRDefault="007475A4" w:rsidP="00D04786">
      <w:pPr>
        <w:pStyle w:val="ListBullet"/>
      </w:pPr>
      <w:r w:rsidRPr="007003B1">
        <w:rPr>
          <w:b/>
          <w:bCs/>
        </w:rPr>
        <w:t>Quality assurance and compliance focused leadership roles:</w:t>
      </w:r>
      <w:r w:rsidRPr="00FB6692">
        <w:t xml:space="preserve"> RTO Compliance Coordinator; Compliance Manager; Quality Assurance Manager; Team Leader – Quality Assurance. </w:t>
      </w:r>
    </w:p>
    <w:p w14:paraId="66AC4EFC" w14:textId="77777777" w:rsidR="007475A4" w:rsidRPr="00FB6692" w:rsidRDefault="007475A4" w:rsidP="00D04786">
      <w:pPr>
        <w:pStyle w:val="ListBullet"/>
      </w:pPr>
      <w:r w:rsidRPr="007003B1">
        <w:rPr>
          <w:b/>
          <w:bCs/>
        </w:rPr>
        <w:t>Curriculum and learning design focused leadership roles:</w:t>
      </w:r>
      <w:r w:rsidRPr="00FB6692">
        <w:t xml:space="preserve"> Manager – VET Curriculum, Director – Curriculum Unit eLearning Manager; Chief of Academic Excellence and Innovation. </w:t>
      </w:r>
    </w:p>
    <w:p w14:paraId="7B5F0118" w14:textId="77777777" w:rsidR="007475A4" w:rsidRPr="00FB6692" w:rsidRDefault="007475A4" w:rsidP="00D04786">
      <w:pPr>
        <w:pStyle w:val="ListBullet"/>
      </w:pPr>
      <w:r w:rsidRPr="007003B1">
        <w:rPr>
          <w:b/>
          <w:bCs/>
        </w:rPr>
        <w:t>Student experience and wellbeing roles:</w:t>
      </w:r>
      <w:r w:rsidRPr="00FB6692">
        <w:t xml:space="preserve"> Chief Wellbeing Officer; Chief Student Officer.</w:t>
      </w:r>
    </w:p>
    <w:p w14:paraId="06B9F6F9" w14:textId="77777777" w:rsidR="007475A4" w:rsidRPr="00FB6692" w:rsidRDefault="007475A4" w:rsidP="00280B0B">
      <w:pPr>
        <w:pStyle w:val="ListBullet"/>
        <w:spacing w:after="240"/>
      </w:pPr>
      <w:r w:rsidRPr="007003B1">
        <w:rPr>
          <w:b/>
          <w:bCs/>
        </w:rPr>
        <w:t>Business development and industry engagement roles:</w:t>
      </w:r>
      <w:r w:rsidRPr="00FB6692">
        <w:t xml:space="preserve"> Community and Industry Engagement Manager, Business Development Manager.</w:t>
      </w:r>
    </w:p>
    <w:p w14:paraId="27446EAC" w14:textId="28418A93" w:rsidR="007475A4" w:rsidRDefault="007475A4" w:rsidP="00E16D4F">
      <w:pPr>
        <w:pStyle w:val="Bodycopy"/>
        <w:rPr>
          <w:lang w:eastAsia="en-AU"/>
        </w:rPr>
      </w:pPr>
      <w:r w:rsidRPr="5E1BBEDB">
        <w:rPr>
          <w:lang w:eastAsia="en-AU"/>
        </w:rPr>
        <w:t>Because of this diversity, the capabilities required by VET leaders will differ. VET leadership roles in areas such as corporate services, may require similar skills and capabilities to similar positions outside of the VET sector. As such, pathways for these roles may be from outside the VET sector. Where VET-specific skills, knowledge and experience are required, leadership and managerial roles represent an opportunity for career progression from one or more of the other workforce segments.</w:t>
      </w:r>
    </w:p>
    <w:p w14:paraId="07568984" w14:textId="7CE03F56" w:rsidR="007475A4" w:rsidRDefault="007475A4" w:rsidP="00E16D4F">
      <w:pPr>
        <w:pStyle w:val="Bodycopy"/>
        <w:rPr>
          <w:lang w:eastAsia="en-AU"/>
        </w:rPr>
      </w:pPr>
      <w:r w:rsidRPr="6765E7B6">
        <w:rPr>
          <w:lang w:eastAsia="en-AU"/>
        </w:rPr>
        <w:t>In general, VET leaders deal with the tensions between competition and regulation and deploy commercial practices in ways sensitive to educational objectives. They both manage industry clients and manage the expectations of governments.</w:t>
      </w:r>
      <w:r w:rsidR="007D5E10">
        <w:rPr>
          <w:rStyle w:val="EndnoteReference"/>
          <w:lang w:eastAsia="en-AU"/>
        </w:rPr>
        <w:endnoteReference w:id="66"/>
      </w:r>
      <w:r w:rsidRPr="211558E1">
        <w:rPr>
          <w:rStyle w:val="EndnoteReference"/>
          <w:rFonts w:eastAsia="Times New Roman" w:cs="Arial"/>
          <w:lang w:eastAsia="en-AU"/>
        </w:rPr>
        <w:t xml:space="preserve"> </w:t>
      </w:r>
      <w:r w:rsidRPr="5E1BBEDB" w:rsidDel="00E32670">
        <w:rPr>
          <w:rStyle w:val="EndnoteReference"/>
          <w:rFonts w:eastAsia="Times New Roman" w:cs="Arial"/>
          <w:lang w:eastAsia="en-AU"/>
        </w:rPr>
        <w:t xml:space="preserve"> </w:t>
      </w:r>
      <w:r w:rsidRPr="5E1BBEDB">
        <w:rPr>
          <w:lang w:eastAsia="en-AU"/>
        </w:rPr>
        <w:t>Leaders also set the cultural tone in their institutions by modelling their values and encouraging employees to do the same.</w:t>
      </w:r>
      <w:r w:rsidR="007D5E10">
        <w:rPr>
          <w:rStyle w:val="EndnoteReference"/>
          <w:lang w:eastAsia="en-AU"/>
        </w:rPr>
        <w:endnoteReference w:id="67"/>
      </w:r>
      <w:r w:rsidR="007D5E10">
        <w:rPr>
          <w:lang w:eastAsia="en-AU"/>
        </w:rPr>
        <w:t xml:space="preserve"> </w:t>
      </w:r>
      <w:r w:rsidRPr="5E1BBEDB">
        <w:rPr>
          <w:lang w:eastAsia="en-AU"/>
        </w:rPr>
        <w:t>This is important to the working ethos and quality of working environments for the broader VET workforce, and thus outcomes for students and their employers.</w:t>
      </w:r>
    </w:p>
    <w:p w14:paraId="1DE635F1" w14:textId="689D8035" w:rsidR="007475A4" w:rsidRDefault="007475A4" w:rsidP="00E16D4F">
      <w:pPr>
        <w:pStyle w:val="Bodycopy"/>
        <w:rPr>
          <w:lang w:eastAsia="en-AU"/>
        </w:rPr>
      </w:pPr>
      <w:r w:rsidRPr="76B24311">
        <w:rPr>
          <w:lang w:eastAsia="en-AU"/>
        </w:rPr>
        <w:t xml:space="preserve">The </w:t>
      </w:r>
      <w:r w:rsidRPr="4F2CCFCE">
        <w:rPr>
          <w:lang w:eastAsia="en-AU"/>
        </w:rPr>
        <w:t>VET leaders</w:t>
      </w:r>
      <w:r w:rsidRPr="76B24311">
        <w:rPr>
          <w:lang w:eastAsia="en-AU"/>
        </w:rPr>
        <w:t>hip segment has a higher level of education compared to the VET workforce,</w:t>
      </w:r>
      <w:r w:rsidRPr="4F2CCFCE">
        <w:rPr>
          <w:lang w:eastAsia="en-AU"/>
        </w:rPr>
        <w:t xml:space="preserve"> with 63.6% of </w:t>
      </w:r>
      <w:r w:rsidRPr="10B5B190">
        <w:rPr>
          <w:lang w:eastAsia="en-AU"/>
        </w:rPr>
        <w:t>this part of workforce holding qualifications at undergraduate</w:t>
      </w:r>
      <w:r w:rsidR="008354B6">
        <w:rPr>
          <w:lang w:eastAsia="en-AU"/>
        </w:rPr>
        <w:t xml:space="preserve"> level</w:t>
      </w:r>
      <w:r w:rsidR="005A3613">
        <w:rPr>
          <w:lang w:eastAsia="en-AU"/>
        </w:rPr>
        <w:t xml:space="preserve"> </w:t>
      </w:r>
      <w:r w:rsidRPr="4F2CCFCE">
        <w:rPr>
          <w:lang w:eastAsia="en-AU"/>
        </w:rPr>
        <w:t>compared with 49.4% across the total VET workforce).</w:t>
      </w:r>
      <w:r w:rsidR="007D5E10">
        <w:rPr>
          <w:rStyle w:val="EndnoteReference"/>
          <w:lang w:eastAsia="en-AU"/>
        </w:rPr>
        <w:endnoteReference w:id="68"/>
      </w:r>
      <w:r>
        <w:rPr>
          <w:lang w:eastAsia="en-AU"/>
        </w:rPr>
        <w:t xml:space="preserve"> </w:t>
      </w:r>
      <w:r w:rsidRPr="5E1BBEDB">
        <w:rPr>
          <w:lang w:eastAsia="en-AU"/>
        </w:rPr>
        <w:t>In addition to a qualification commensurate with the complexity and responsibility of their role, leaders and managers are also required to possess a significant level of relevant experience and expertise</w:t>
      </w:r>
      <w:r w:rsidRPr="4F2CCFCE">
        <w:rPr>
          <w:lang w:eastAsia="en-AU"/>
        </w:rPr>
        <w:t xml:space="preserve">. </w:t>
      </w:r>
    </w:p>
    <w:p w14:paraId="23B01FBE" w14:textId="5F1AB401" w:rsidR="007475A4" w:rsidRDefault="007475A4" w:rsidP="007475A4">
      <w:pPr>
        <w:pStyle w:val="Caption"/>
        <w:keepNext/>
      </w:pPr>
      <w:bookmarkStart w:id="171" w:name="Figure_3_17"/>
      <w:r>
        <w:lastRenderedPageBreak/>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17</w:t>
      </w:r>
      <w:r w:rsidR="006558DC">
        <w:fldChar w:fldCharType="end"/>
      </w:r>
      <w:r>
        <w:t xml:space="preserve"> VET Leadership</w:t>
      </w:r>
    </w:p>
    <w:bookmarkEnd w:id="171"/>
    <w:p w14:paraId="36BE708D" w14:textId="4FBABD48" w:rsidR="007475A4" w:rsidRPr="00FB6692" w:rsidRDefault="00FB6692" w:rsidP="00FB6692">
      <w:pPr>
        <w:rPr>
          <w:lang w:val="en-US"/>
        </w:rPr>
      </w:pPr>
      <w:r>
        <w:rPr>
          <w:noProof/>
          <w:lang w:val="en-US"/>
        </w:rPr>
        <w:drawing>
          <wp:inline distT="0" distB="0" distL="0" distR="0" wp14:anchorId="35B9A16C" wp14:editId="55EC954A">
            <wp:extent cx="5652000" cy="6046653"/>
            <wp:effectExtent l="0" t="0" r="6350" b="0"/>
            <wp:docPr id="1769122980" name="Picture 10" descr="Figure 3.17 VET Leadershi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122980" name="Picture 10" descr="Figure 3.17 VET Leadership&#1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652000" cy="6046653"/>
                    </a:xfrm>
                    <a:prstGeom prst="rect">
                      <a:avLst/>
                    </a:prstGeom>
                    <a:solidFill>
                      <a:schemeClr val="bg1"/>
                    </a:solidFill>
                  </pic:spPr>
                </pic:pic>
              </a:graphicData>
            </a:graphic>
          </wp:inline>
        </w:drawing>
      </w:r>
    </w:p>
    <w:p w14:paraId="0FEBD854" w14:textId="5AA799D5" w:rsidR="007003B1" w:rsidRDefault="007475A4" w:rsidP="007003B1">
      <w:pPr>
        <w:pStyle w:val="Bodycopy"/>
        <w:rPr>
          <w:lang w:eastAsia="en-AU"/>
        </w:rPr>
      </w:pPr>
      <w:r w:rsidRPr="5510AF26">
        <w:rPr>
          <w:lang w:eastAsia="en-AU"/>
        </w:rPr>
        <w:t xml:space="preserve">The leadership and management function is common across all RTO types, though roles and responsibilities will vary according to the size and complexity of an RTO’s operations. See </w:t>
      </w:r>
      <w:hyperlink w:anchor="Figure_3_18" w:history="1">
        <w:r w:rsidRPr="00484E42">
          <w:rPr>
            <w:rStyle w:val="Hyperlink"/>
            <w:lang w:eastAsia="en-AU"/>
          </w:rPr>
          <w:t>Figure 3.18</w:t>
        </w:r>
      </w:hyperlink>
      <w:r w:rsidR="00484E42">
        <w:rPr>
          <w:lang w:eastAsia="en-AU"/>
        </w:rPr>
        <w:t xml:space="preserve">, </w:t>
      </w:r>
      <w:hyperlink w:anchor="Figure_3_19" w:history="1">
        <w:r w:rsidR="00484E42" w:rsidRPr="00484E42">
          <w:rPr>
            <w:rStyle w:val="Hyperlink"/>
            <w:lang w:eastAsia="en-AU"/>
          </w:rPr>
          <w:t>Figure 3.19</w:t>
        </w:r>
      </w:hyperlink>
      <w:r w:rsidR="00484E42">
        <w:rPr>
          <w:lang w:eastAsia="en-AU"/>
        </w:rPr>
        <w:t xml:space="preserve"> and </w:t>
      </w:r>
      <w:hyperlink w:anchor="Figure_3_20" w:history="1">
        <w:r w:rsidR="00484E42" w:rsidRPr="008459BB">
          <w:rPr>
            <w:rStyle w:val="Hyperlink"/>
            <w:lang w:eastAsia="en-AU"/>
          </w:rPr>
          <w:t xml:space="preserve">Figure </w:t>
        </w:r>
        <w:r w:rsidRPr="008459BB">
          <w:rPr>
            <w:rStyle w:val="Hyperlink"/>
            <w:lang w:eastAsia="en-AU"/>
          </w:rPr>
          <w:t>3.20</w:t>
        </w:r>
      </w:hyperlink>
      <w:r w:rsidRPr="5510AF26">
        <w:rPr>
          <w:lang w:eastAsia="en-AU"/>
        </w:rPr>
        <w:t xml:space="preserve"> for a selection of organisation charts showing the range of leadership levels and reporting structures at different RTOs. </w:t>
      </w:r>
    </w:p>
    <w:p w14:paraId="42F0915D" w14:textId="015671EA" w:rsidR="007475A4" w:rsidRPr="00CF29A1" w:rsidRDefault="007475A4" w:rsidP="007003B1">
      <w:pPr>
        <w:pStyle w:val="Bodycopy"/>
        <w:rPr>
          <w:lang w:eastAsia="en-AU"/>
        </w:rPr>
      </w:pPr>
      <w:r w:rsidRPr="5510AF26">
        <w:rPr>
          <w:lang w:eastAsia="en-AU"/>
        </w:rPr>
        <w:t>For example, in large RTOs with a diverse scope of delivery and multiple campuses an individual leader may coordinate the educational, administrative</w:t>
      </w:r>
      <w:r w:rsidR="003D4551" w:rsidRPr="5510AF26">
        <w:rPr>
          <w:lang w:eastAsia="en-AU"/>
        </w:rPr>
        <w:t>,</w:t>
      </w:r>
      <w:r w:rsidRPr="5510AF26">
        <w:rPr>
          <w:lang w:eastAsia="en-AU"/>
        </w:rPr>
        <w:t xml:space="preserve"> or financial affairs of a particular department or location within the RTO. </w:t>
      </w:r>
      <w:hyperlink w:anchor="Figure_3_18" w:history="1">
        <w:r w:rsidRPr="00564816">
          <w:rPr>
            <w:rStyle w:val="Hyperlink"/>
            <w:lang w:eastAsia="en-AU"/>
          </w:rPr>
          <w:t xml:space="preserve">Figure </w:t>
        </w:r>
        <w:r w:rsidR="004552E3" w:rsidRPr="00564816">
          <w:rPr>
            <w:rStyle w:val="Hyperlink"/>
            <w:lang w:eastAsia="en-AU"/>
          </w:rPr>
          <w:t>3.18</w:t>
        </w:r>
      </w:hyperlink>
      <w:r w:rsidRPr="5510AF26">
        <w:rPr>
          <w:lang w:eastAsia="en-AU"/>
        </w:rPr>
        <w:t xml:space="preserve"> depicts part of the organisation chart of a larger public provider focusing on its curriculum and learning design function. Here, academic quality is monitored and maintained by a network of leadership staff with a relatively high degree of organisation complexity compared to medium and small RTOs. </w:t>
      </w:r>
    </w:p>
    <w:p w14:paraId="220562D8" w14:textId="3A23235B" w:rsidR="007475A4" w:rsidRDefault="007475A4" w:rsidP="007003B1">
      <w:pPr>
        <w:pStyle w:val="Bodycopy"/>
        <w:rPr>
          <w:lang w:eastAsia="en-AU"/>
        </w:rPr>
      </w:pPr>
      <w:r w:rsidRPr="5E1BBEDB">
        <w:rPr>
          <w:lang w:eastAsia="en-AU"/>
        </w:rPr>
        <w:lastRenderedPageBreak/>
        <w:t>In smaller and potentially more specialised RTOs a leader may have more wide-ranging responsibilities across domains such as teaching, curriculum and learning design, compliance</w:t>
      </w:r>
      <w:r w:rsidR="003D4551">
        <w:rPr>
          <w:lang w:eastAsia="en-AU"/>
        </w:rPr>
        <w:t>,</w:t>
      </w:r>
      <w:r w:rsidRPr="5E1BBEDB">
        <w:rPr>
          <w:lang w:eastAsia="en-AU"/>
        </w:rPr>
        <w:t xml:space="preserve"> and administration. </w:t>
      </w:r>
      <w:hyperlink w:anchor="Figure_3_19" w:history="1">
        <w:r w:rsidRPr="00564816">
          <w:rPr>
            <w:rStyle w:val="Hyperlink"/>
            <w:lang w:eastAsia="en-AU"/>
          </w:rPr>
          <w:t>Figure 3.19</w:t>
        </w:r>
      </w:hyperlink>
      <w:r w:rsidRPr="5E1BBEDB">
        <w:rPr>
          <w:lang w:eastAsia="en-AU"/>
        </w:rPr>
        <w:t xml:space="preserve"> depicts the organisation chart of a medium sized RTO specialising in the delivery of agricultural training and highlights the breadth of oversight responsibilities of the operations manager. </w:t>
      </w:r>
    </w:p>
    <w:p w14:paraId="43ADCBF0" w14:textId="528D0FF6" w:rsidR="007475A4" w:rsidRDefault="007475A4" w:rsidP="007003B1">
      <w:pPr>
        <w:pStyle w:val="Bodycopy"/>
        <w:rPr>
          <w:lang w:eastAsia="en-AU"/>
        </w:rPr>
      </w:pPr>
      <w:r w:rsidRPr="5E1BBEDB">
        <w:rPr>
          <w:lang w:eastAsia="en-AU"/>
        </w:rPr>
        <w:t>In an even smaller RTO, particularly those operating in niche markets, it is likely that the CEO takes on a central directive role and works with a small managerial hierarchy with few support staff. The CEO and management team are also more likely to be directly involved in teaching, training</w:t>
      </w:r>
      <w:r w:rsidR="00A85141">
        <w:rPr>
          <w:lang w:eastAsia="en-AU"/>
        </w:rPr>
        <w:t>,</w:t>
      </w:r>
      <w:r w:rsidRPr="5E1BBEDB">
        <w:rPr>
          <w:lang w:eastAsia="en-AU"/>
        </w:rPr>
        <w:t xml:space="preserve"> and assessment amongst other roles (see </w:t>
      </w:r>
      <w:hyperlink w:anchor="Figure_3_20" w:history="1">
        <w:r w:rsidRPr="00564816">
          <w:rPr>
            <w:rStyle w:val="Hyperlink"/>
            <w:lang w:eastAsia="en-AU"/>
          </w:rPr>
          <w:t>Figure 3.20</w:t>
        </w:r>
      </w:hyperlink>
      <w:r w:rsidRPr="5E1BBEDB">
        <w:rPr>
          <w:lang w:eastAsia="en-AU"/>
        </w:rPr>
        <w:t xml:space="preserve">).  </w:t>
      </w:r>
    </w:p>
    <w:p w14:paraId="7D759D5C" w14:textId="0DDDE972" w:rsidR="007475A4" w:rsidRDefault="007475A4" w:rsidP="007475A4">
      <w:pPr>
        <w:rPr>
          <w:b/>
          <w:sz w:val="20"/>
          <w:lang w:val="en-US"/>
        </w:rPr>
      </w:pPr>
    </w:p>
    <w:p w14:paraId="2422D732" w14:textId="15552EE7" w:rsidR="007475A4" w:rsidRDefault="007475A4" w:rsidP="007475A4">
      <w:pPr>
        <w:pStyle w:val="Caption"/>
      </w:pPr>
      <w:bookmarkStart w:id="172" w:name="Figure_3_18"/>
      <w:r w:rsidRPr="070D62CA">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18</w:t>
      </w:r>
      <w:r w:rsidR="006558DC">
        <w:fldChar w:fldCharType="end"/>
      </w:r>
      <w:r w:rsidRPr="070D62CA">
        <w:t xml:space="preserve"> Large training provider example organisational chart</w:t>
      </w:r>
    </w:p>
    <w:bookmarkEnd w:id="172"/>
    <w:p w14:paraId="0374CA71" w14:textId="2A072AEC" w:rsidR="009D77B2" w:rsidRPr="009D77B2" w:rsidRDefault="00566250" w:rsidP="009D77B2">
      <w:pPr>
        <w:rPr>
          <w:lang w:val="en-US"/>
        </w:rPr>
      </w:pPr>
      <w:r>
        <w:rPr>
          <w:noProof/>
          <w:lang w:val="en-US"/>
        </w:rPr>
        <w:drawing>
          <wp:anchor distT="0" distB="0" distL="114300" distR="114300" simplePos="0" relativeHeight="251658252" behindDoc="0" locked="0" layoutInCell="1" allowOverlap="1" wp14:anchorId="3CC4A229" wp14:editId="1053F939">
            <wp:simplePos x="0" y="0"/>
            <wp:positionH relativeFrom="margin">
              <wp:posOffset>0</wp:posOffset>
            </wp:positionH>
            <wp:positionV relativeFrom="paragraph">
              <wp:posOffset>76730</wp:posOffset>
            </wp:positionV>
            <wp:extent cx="5760000" cy="5428436"/>
            <wp:effectExtent l="0" t="0" r="0" b="1270"/>
            <wp:wrapNone/>
            <wp:docPr id="6888091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80919" name="Picture 1">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000" cy="5428436"/>
                    </a:xfrm>
                    <a:prstGeom prst="rect">
                      <a:avLst/>
                    </a:prstGeom>
                    <a:solidFill>
                      <a:schemeClr val="bg1"/>
                    </a:solidFill>
                  </pic:spPr>
                </pic:pic>
              </a:graphicData>
            </a:graphic>
            <wp14:sizeRelH relativeFrom="page">
              <wp14:pctWidth>0</wp14:pctWidth>
            </wp14:sizeRelH>
            <wp14:sizeRelV relativeFrom="page">
              <wp14:pctHeight>0</wp14:pctHeight>
            </wp14:sizeRelV>
          </wp:anchor>
        </w:drawing>
      </w:r>
    </w:p>
    <w:p w14:paraId="7953FEC6" w14:textId="41327833" w:rsidR="00EF4830" w:rsidRPr="00EF4830" w:rsidRDefault="00EF4830" w:rsidP="00386955">
      <w:pPr>
        <w:numPr>
          <w:ilvl w:val="0"/>
          <w:numId w:val="12"/>
        </w:numPr>
        <w:spacing w:after="40"/>
        <w:ind w:hanging="227"/>
        <w:rPr>
          <w:sz w:val="10"/>
          <w:szCs w:val="10"/>
        </w:rPr>
      </w:pPr>
      <w:r w:rsidRPr="00EF4830">
        <w:rPr>
          <w:sz w:val="10"/>
          <w:szCs w:val="10"/>
        </w:rPr>
        <w:t>Governing Council</w:t>
      </w:r>
    </w:p>
    <w:p w14:paraId="2661EBB1" w14:textId="738AAC76" w:rsidR="00EF4830" w:rsidRPr="00EF4830" w:rsidRDefault="00EF4830" w:rsidP="00386955">
      <w:pPr>
        <w:numPr>
          <w:ilvl w:val="0"/>
          <w:numId w:val="12"/>
        </w:numPr>
        <w:spacing w:after="40"/>
        <w:ind w:hanging="227"/>
        <w:rPr>
          <w:sz w:val="10"/>
          <w:szCs w:val="10"/>
        </w:rPr>
      </w:pPr>
      <w:r w:rsidRPr="00EF4830">
        <w:rPr>
          <w:sz w:val="10"/>
          <w:szCs w:val="10"/>
        </w:rPr>
        <w:t>Managing Director</w:t>
      </w:r>
    </w:p>
    <w:p w14:paraId="159B9F39" w14:textId="034E2CA6" w:rsidR="00EF4830" w:rsidRPr="00EF4830" w:rsidRDefault="00EF4830" w:rsidP="00386955">
      <w:pPr>
        <w:numPr>
          <w:ilvl w:val="1"/>
          <w:numId w:val="12"/>
        </w:numPr>
        <w:spacing w:after="40"/>
        <w:ind w:hanging="227"/>
        <w:rPr>
          <w:sz w:val="10"/>
          <w:szCs w:val="10"/>
        </w:rPr>
      </w:pPr>
      <w:r w:rsidRPr="7AD33374">
        <w:rPr>
          <w:sz w:val="10"/>
          <w:szCs w:val="10"/>
        </w:rPr>
        <w:t>General Manager – Organisational Services</w:t>
      </w:r>
    </w:p>
    <w:p w14:paraId="0E3810D9" w14:textId="127C704D" w:rsidR="00EF4830" w:rsidRPr="00EF4830" w:rsidRDefault="00EF4830" w:rsidP="00386955">
      <w:pPr>
        <w:numPr>
          <w:ilvl w:val="2"/>
          <w:numId w:val="12"/>
        </w:numPr>
        <w:spacing w:after="40"/>
        <w:ind w:hanging="227"/>
        <w:rPr>
          <w:sz w:val="10"/>
          <w:szCs w:val="10"/>
        </w:rPr>
      </w:pPr>
      <w:r w:rsidRPr="7AD33374">
        <w:rPr>
          <w:sz w:val="10"/>
          <w:szCs w:val="10"/>
        </w:rPr>
        <w:t>Director – Planning &amp; Reporting</w:t>
      </w:r>
    </w:p>
    <w:p w14:paraId="17EAFEB8" w14:textId="18A81BD1" w:rsidR="00EF4830" w:rsidRPr="00EF4830" w:rsidRDefault="00EF4830" w:rsidP="00386955">
      <w:pPr>
        <w:numPr>
          <w:ilvl w:val="2"/>
          <w:numId w:val="12"/>
        </w:numPr>
        <w:spacing w:after="40"/>
        <w:ind w:hanging="227"/>
        <w:rPr>
          <w:sz w:val="10"/>
          <w:szCs w:val="10"/>
        </w:rPr>
      </w:pPr>
      <w:r w:rsidRPr="7AD33374">
        <w:rPr>
          <w:sz w:val="10"/>
          <w:szCs w:val="10"/>
        </w:rPr>
        <w:t>Director – Student Administration &amp; Systems</w:t>
      </w:r>
    </w:p>
    <w:p w14:paraId="2D3AA0ED" w14:textId="61AA9761" w:rsidR="00EF4830" w:rsidRPr="00EF4830" w:rsidRDefault="00EF4830" w:rsidP="00386955">
      <w:pPr>
        <w:numPr>
          <w:ilvl w:val="2"/>
          <w:numId w:val="12"/>
        </w:numPr>
        <w:spacing w:after="40"/>
        <w:ind w:hanging="227"/>
        <w:rPr>
          <w:sz w:val="10"/>
          <w:szCs w:val="10"/>
        </w:rPr>
      </w:pPr>
      <w:r w:rsidRPr="7AD33374">
        <w:rPr>
          <w:sz w:val="10"/>
          <w:szCs w:val="10"/>
        </w:rPr>
        <w:t>Director – Client Services</w:t>
      </w:r>
    </w:p>
    <w:p w14:paraId="3D3C73E6" w14:textId="32838088" w:rsidR="00EF4830" w:rsidRPr="00EF4830" w:rsidRDefault="00EF4830" w:rsidP="00386955">
      <w:pPr>
        <w:numPr>
          <w:ilvl w:val="2"/>
          <w:numId w:val="12"/>
        </w:numPr>
        <w:spacing w:after="40"/>
        <w:ind w:hanging="227"/>
        <w:rPr>
          <w:sz w:val="10"/>
          <w:szCs w:val="10"/>
        </w:rPr>
      </w:pPr>
      <w:r w:rsidRPr="7AD33374">
        <w:rPr>
          <w:sz w:val="10"/>
          <w:szCs w:val="10"/>
        </w:rPr>
        <w:t>Director – Quality &amp; Development</w:t>
      </w:r>
    </w:p>
    <w:p w14:paraId="53370330" w14:textId="4244448B" w:rsidR="00EF4830" w:rsidRPr="00EF4830" w:rsidRDefault="00EF4830" w:rsidP="00386955">
      <w:pPr>
        <w:numPr>
          <w:ilvl w:val="3"/>
          <w:numId w:val="12"/>
        </w:numPr>
        <w:spacing w:after="40"/>
        <w:ind w:hanging="227"/>
        <w:rPr>
          <w:sz w:val="10"/>
          <w:szCs w:val="10"/>
        </w:rPr>
      </w:pPr>
      <w:r w:rsidRPr="7AD33374">
        <w:rPr>
          <w:sz w:val="10"/>
          <w:szCs w:val="10"/>
        </w:rPr>
        <w:t>Manager – Innovative Practice</w:t>
      </w:r>
    </w:p>
    <w:p w14:paraId="008230F7" w14:textId="367E2EE5" w:rsidR="00EF4830" w:rsidRPr="00EF4830" w:rsidRDefault="00EF4830" w:rsidP="00386955">
      <w:pPr>
        <w:numPr>
          <w:ilvl w:val="4"/>
          <w:numId w:val="12"/>
        </w:numPr>
        <w:spacing w:after="40"/>
        <w:ind w:hanging="227"/>
        <w:rPr>
          <w:sz w:val="10"/>
          <w:szCs w:val="10"/>
        </w:rPr>
      </w:pPr>
      <w:r w:rsidRPr="7AD33374">
        <w:rPr>
          <w:sz w:val="10"/>
          <w:szCs w:val="10"/>
        </w:rPr>
        <w:t>Learning Technologies &amp; Support Consultant</w:t>
      </w:r>
    </w:p>
    <w:p w14:paraId="1D9D361F" w14:textId="77777777" w:rsidR="00EF4830" w:rsidRPr="00EF4830" w:rsidRDefault="00EF4830" w:rsidP="00386955">
      <w:pPr>
        <w:numPr>
          <w:ilvl w:val="4"/>
          <w:numId w:val="12"/>
        </w:numPr>
        <w:spacing w:after="40"/>
        <w:ind w:hanging="227"/>
        <w:rPr>
          <w:sz w:val="10"/>
          <w:szCs w:val="10"/>
        </w:rPr>
      </w:pPr>
      <w:r w:rsidRPr="7AD33374">
        <w:rPr>
          <w:sz w:val="10"/>
          <w:szCs w:val="10"/>
        </w:rPr>
        <w:t>eLearning Manager</w:t>
      </w:r>
    </w:p>
    <w:p w14:paraId="3331F431" w14:textId="6248A8A1" w:rsidR="00EF4830" w:rsidRPr="00EF4830" w:rsidRDefault="00EF4830" w:rsidP="00386955">
      <w:pPr>
        <w:numPr>
          <w:ilvl w:val="4"/>
          <w:numId w:val="12"/>
        </w:numPr>
        <w:spacing w:after="40"/>
        <w:ind w:hanging="227"/>
        <w:rPr>
          <w:sz w:val="10"/>
          <w:szCs w:val="10"/>
        </w:rPr>
      </w:pPr>
      <w:r w:rsidRPr="7AD33374">
        <w:rPr>
          <w:sz w:val="10"/>
          <w:szCs w:val="10"/>
        </w:rPr>
        <w:t>Learning &amp; Development Consultant</w:t>
      </w:r>
    </w:p>
    <w:p w14:paraId="1E71D23C" w14:textId="7B27ABE3" w:rsidR="00EF4830" w:rsidRPr="00EF4830" w:rsidRDefault="00EF4830" w:rsidP="00386955">
      <w:pPr>
        <w:numPr>
          <w:ilvl w:val="4"/>
          <w:numId w:val="12"/>
        </w:numPr>
        <w:spacing w:after="40"/>
        <w:ind w:hanging="227"/>
        <w:rPr>
          <w:sz w:val="10"/>
          <w:szCs w:val="10"/>
        </w:rPr>
      </w:pPr>
      <w:r w:rsidRPr="7AD33374">
        <w:rPr>
          <w:sz w:val="10"/>
          <w:szCs w:val="10"/>
        </w:rPr>
        <w:t>Principal Lecturer</w:t>
      </w:r>
    </w:p>
    <w:p w14:paraId="0F9AFC23" w14:textId="77777777" w:rsidR="00EF4830" w:rsidRPr="00EF4830" w:rsidRDefault="00EF4830" w:rsidP="00386955">
      <w:pPr>
        <w:numPr>
          <w:ilvl w:val="4"/>
          <w:numId w:val="12"/>
        </w:numPr>
        <w:spacing w:after="40"/>
        <w:ind w:hanging="227"/>
        <w:rPr>
          <w:sz w:val="10"/>
          <w:szCs w:val="10"/>
        </w:rPr>
      </w:pPr>
      <w:r w:rsidRPr="7AD33374">
        <w:rPr>
          <w:sz w:val="10"/>
          <w:szCs w:val="10"/>
        </w:rPr>
        <w:t>Administration Officer</w:t>
      </w:r>
    </w:p>
    <w:p w14:paraId="47C78C9D" w14:textId="186AB80C" w:rsidR="00EF4830" w:rsidRPr="00EF4830" w:rsidRDefault="00EF4830" w:rsidP="00386955">
      <w:pPr>
        <w:numPr>
          <w:ilvl w:val="4"/>
          <w:numId w:val="12"/>
        </w:numPr>
        <w:spacing w:after="40"/>
        <w:ind w:hanging="227"/>
        <w:rPr>
          <w:sz w:val="10"/>
          <w:szCs w:val="10"/>
        </w:rPr>
      </w:pPr>
      <w:r w:rsidRPr="7AD33374">
        <w:rPr>
          <w:sz w:val="10"/>
          <w:szCs w:val="10"/>
        </w:rPr>
        <w:t>eLearning Support Officer</w:t>
      </w:r>
    </w:p>
    <w:p w14:paraId="4D6A4694" w14:textId="2FC9137E" w:rsidR="00EF4830" w:rsidRPr="00EF4830" w:rsidRDefault="00EF4830" w:rsidP="00386955">
      <w:pPr>
        <w:numPr>
          <w:ilvl w:val="3"/>
          <w:numId w:val="12"/>
        </w:numPr>
        <w:spacing w:after="40"/>
        <w:ind w:hanging="227"/>
        <w:rPr>
          <w:sz w:val="10"/>
          <w:szCs w:val="10"/>
        </w:rPr>
      </w:pPr>
      <w:r w:rsidRPr="7AD33374">
        <w:rPr>
          <w:sz w:val="10"/>
          <w:szCs w:val="10"/>
        </w:rPr>
        <w:t>Manager – VET Curriculum &amp; Quality Assistance</w:t>
      </w:r>
    </w:p>
    <w:p w14:paraId="01226E57" w14:textId="77777777" w:rsidR="00EF4830" w:rsidRPr="00EF4830" w:rsidRDefault="00EF4830" w:rsidP="00386955">
      <w:pPr>
        <w:numPr>
          <w:ilvl w:val="4"/>
          <w:numId w:val="12"/>
        </w:numPr>
        <w:spacing w:after="40"/>
        <w:ind w:hanging="227"/>
        <w:rPr>
          <w:sz w:val="10"/>
          <w:szCs w:val="10"/>
        </w:rPr>
      </w:pPr>
      <w:r w:rsidRPr="7AD33374">
        <w:rPr>
          <w:sz w:val="10"/>
          <w:szCs w:val="10"/>
        </w:rPr>
        <w:t xml:space="preserve">Quality, Teaching &amp; Learning Consultants </w:t>
      </w:r>
    </w:p>
    <w:p w14:paraId="20EFB987" w14:textId="61F86E1F" w:rsidR="00EF4830" w:rsidRPr="00EF4830" w:rsidRDefault="00EF4830" w:rsidP="00386955">
      <w:pPr>
        <w:numPr>
          <w:ilvl w:val="4"/>
          <w:numId w:val="12"/>
        </w:numPr>
        <w:spacing w:after="40"/>
        <w:ind w:hanging="227"/>
        <w:rPr>
          <w:sz w:val="10"/>
          <w:szCs w:val="10"/>
        </w:rPr>
      </w:pPr>
      <w:r w:rsidRPr="7AD33374">
        <w:rPr>
          <w:sz w:val="10"/>
          <w:szCs w:val="10"/>
        </w:rPr>
        <w:t>Quality &amp; Curriculum Officer</w:t>
      </w:r>
    </w:p>
    <w:p w14:paraId="27AD332F" w14:textId="3F063BCE" w:rsidR="00EF4830" w:rsidRPr="00EF4830" w:rsidRDefault="00EF4830" w:rsidP="00386955">
      <w:pPr>
        <w:numPr>
          <w:ilvl w:val="4"/>
          <w:numId w:val="12"/>
        </w:numPr>
        <w:spacing w:after="40"/>
        <w:ind w:hanging="227"/>
        <w:rPr>
          <w:sz w:val="10"/>
          <w:szCs w:val="10"/>
        </w:rPr>
      </w:pPr>
      <w:r w:rsidRPr="7AD33374">
        <w:rPr>
          <w:sz w:val="10"/>
          <w:szCs w:val="10"/>
        </w:rPr>
        <w:t>Student Management System Curriculum Coordinator</w:t>
      </w:r>
    </w:p>
    <w:p w14:paraId="3A914776" w14:textId="77777777" w:rsidR="00EF4830" w:rsidRPr="00EF4830" w:rsidRDefault="00EF4830" w:rsidP="00386955">
      <w:pPr>
        <w:numPr>
          <w:ilvl w:val="4"/>
          <w:numId w:val="12"/>
        </w:numPr>
        <w:spacing w:after="40"/>
        <w:ind w:hanging="227"/>
        <w:rPr>
          <w:sz w:val="10"/>
          <w:szCs w:val="10"/>
        </w:rPr>
      </w:pPr>
      <w:r w:rsidRPr="7AD33374">
        <w:rPr>
          <w:sz w:val="10"/>
          <w:szCs w:val="10"/>
        </w:rPr>
        <w:t>Administration Officer</w:t>
      </w:r>
    </w:p>
    <w:p w14:paraId="726F5098" w14:textId="4B94698E" w:rsidR="00EF4830" w:rsidRPr="00EF4830" w:rsidRDefault="00EF4830" w:rsidP="00386955">
      <w:pPr>
        <w:numPr>
          <w:ilvl w:val="3"/>
          <w:numId w:val="12"/>
        </w:numPr>
        <w:spacing w:after="40"/>
        <w:ind w:hanging="227"/>
        <w:rPr>
          <w:sz w:val="10"/>
          <w:szCs w:val="10"/>
        </w:rPr>
      </w:pPr>
      <w:r w:rsidRPr="7AD33374">
        <w:rPr>
          <w:sz w:val="10"/>
          <w:szCs w:val="10"/>
        </w:rPr>
        <w:t>Manager – Library Services</w:t>
      </w:r>
    </w:p>
    <w:p w14:paraId="3373CDC2" w14:textId="49F2045E" w:rsidR="00EF4830" w:rsidRPr="00EF4830" w:rsidRDefault="00EF4830" w:rsidP="00386955">
      <w:pPr>
        <w:numPr>
          <w:ilvl w:val="1"/>
          <w:numId w:val="12"/>
        </w:numPr>
        <w:spacing w:after="40"/>
        <w:ind w:hanging="227"/>
        <w:rPr>
          <w:sz w:val="10"/>
          <w:szCs w:val="10"/>
        </w:rPr>
      </w:pPr>
      <w:r w:rsidRPr="7AD33374">
        <w:rPr>
          <w:sz w:val="10"/>
          <w:szCs w:val="10"/>
        </w:rPr>
        <w:t>General Manager – Corporate Services</w:t>
      </w:r>
    </w:p>
    <w:p w14:paraId="51F6D547" w14:textId="0B3D4191" w:rsidR="00EF4830" w:rsidRPr="00EF4830" w:rsidRDefault="00EF4830" w:rsidP="00386955">
      <w:pPr>
        <w:numPr>
          <w:ilvl w:val="1"/>
          <w:numId w:val="12"/>
        </w:numPr>
        <w:spacing w:after="40"/>
        <w:ind w:hanging="227"/>
        <w:rPr>
          <w:sz w:val="10"/>
          <w:szCs w:val="10"/>
        </w:rPr>
      </w:pPr>
      <w:r w:rsidRPr="7AD33374">
        <w:rPr>
          <w:sz w:val="10"/>
          <w:szCs w:val="10"/>
        </w:rPr>
        <w:t>General Manager/s – Training Services</w:t>
      </w:r>
    </w:p>
    <w:p w14:paraId="4B18F8E3" w14:textId="4F9A2539" w:rsidR="00EF4830" w:rsidRPr="00EF4830" w:rsidRDefault="00EF4830" w:rsidP="00EF4830">
      <w:pPr>
        <w:rPr>
          <w:lang w:val="en-US"/>
        </w:rPr>
      </w:pPr>
    </w:p>
    <w:p w14:paraId="7E059D6D" w14:textId="530CBA1C" w:rsidR="00E869EB" w:rsidRPr="00E869EB" w:rsidRDefault="00E869EB" w:rsidP="00E869EB">
      <w:pPr>
        <w:rPr>
          <w:lang w:val="en-US"/>
        </w:rPr>
      </w:pPr>
    </w:p>
    <w:p w14:paraId="67A66DE8" w14:textId="31AA505F" w:rsidR="007475A4" w:rsidRDefault="007475A4" w:rsidP="00CF7EE0">
      <w:pPr>
        <w:spacing w:line="276" w:lineRule="auto"/>
        <w:jc w:val="center"/>
        <w:rPr>
          <w:rFonts w:eastAsia="Times New Roman" w:cs="Arial"/>
          <w:lang w:eastAsia="en-AU"/>
        </w:rPr>
      </w:pPr>
    </w:p>
    <w:p w14:paraId="5936295E" w14:textId="77777777" w:rsidR="009D77B2" w:rsidRDefault="009D77B2" w:rsidP="007475A4">
      <w:pPr>
        <w:pStyle w:val="Caption"/>
        <w:keepNext/>
        <w:spacing w:line="276" w:lineRule="auto"/>
      </w:pPr>
    </w:p>
    <w:p w14:paraId="50660560" w14:textId="77777777" w:rsidR="009D77B2" w:rsidRDefault="009D77B2" w:rsidP="009D77B2">
      <w:pPr>
        <w:rPr>
          <w:lang w:val="en-US"/>
        </w:rPr>
      </w:pPr>
    </w:p>
    <w:p w14:paraId="2B24BE23" w14:textId="77777777" w:rsidR="009D77B2" w:rsidRDefault="009D77B2" w:rsidP="009D77B2">
      <w:pPr>
        <w:rPr>
          <w:lang w:val="en-US"/>
        </w:rPr>
      </w:pPr>
    </w:p>
    <w:p w14:paraId="612D8D39" w14:textId="77777777" w:rsidR="009D77B2" w:rsidRDefault="009D77B2" w:rsidP="009D77B2">
      <w:pPr>
        <w:rPr>
          <w:lang w:val="en-US"/>
        </w:rPr>
      </w:pPr>
    </w:p>
    <w:p w14:paraId="42FFEE7A" w14:textId="77777777" w:rsidR="009D77B2" w:rsidRPr="009D77B2" w:rsidRDefault="009D77B2" w:rsidP="009D77B2">
      <w:pPr>
        <w:rPr>
          <w:lang w:val="en-US"/>
        </w:rPr>
      </w:pPr>
    </w:p>
    <w:p w14:paraId="259EE37E" w14:textId="19457AAA" w:rsidR="00202C3A" w:rsidRDefault="00202C3A">
      <w:pPr>
        <w:rPr>
          <w:b/>
          <w:sz w:val="20"/>
          <w:lang w:val="en-US"/>
        </w:rPr>
      </w:pPr>
      <w:r>
        <w:br w:type="page"/>
      </w:r>
    </w:p>
    <w:p w14:paraId="76D347D4" w14:textId="5741F485" w:rsidR="007475A4" w:rsidRDefault="007475A4" w:rsidP="007475A4">
      <w:pPr>
        <w:pStyle w:val="Caption"/>
        <w:keepNext/>
        <w:spacing w:line="276" w:lineRule="auto"/>
      </w:pPr>
      <w:bookmarkStart w:id="173" w:name="Figure_3_19"/>
      <w:r w:rsidRPr="070D62CA">
        <w:lastRenderedPageBreak/>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19</w:t>
      </w:r>
      <w:r w:rsidR="006558DC">
        <w:fldChar w:fldCharType="end"/>
      </w:r>
      <w:r w:rsidRPr="070D62CA">
        <w:t xml:space="preserve"> Medium training provider example organisational chart</w:t>
      </w:r>
    </w:p>
    <w:bookmarkEnd w:id="173"/>
    <w:p w14:paraId="3E7C8139" w14:textId="78AB43C8" w:rsidR="00E930E8" w:rsidRPr="00E930E8" w:rsidRDefault="00E9251F" w:rsidP="00E930E8">
      <w:pPr>
        <w:rPr>
          <w:lang w:val="en-US"/>
        </w:rPr>
      </w:pPr>
      <w:r>
        <w:rPr>
          <w:noProof/>
          <w:sz w:val="10"/>
          <w:szCs w:val="10"/>
        </w:rPr>
        <w:drawing>
          <wp:anchor distT="0" distB="0" distL="114300" distR="114300" simplePos="0" relativeHeight="251658253" behindDoc="0" locked="0" layoutInCell="1" allowOverlap="1" wp14:anchorId="151E4124" wp14:editId="4D6C7C62">
            <wp:simplePos x="0" y="0"/>
            <wp:positionH relativeFrom="margin">
              <wp:align>right</wp:align>
            </wp:positionH>
            <wp:positionV relativeFrom="paragraph">
              <wp:posOffset>102925</wp:posOffset>
            </wp:positionV>
            <wp:extent cx="5760000" cy="3133949"/>
            <wp:effectExtent l="0" t="0" r="0" b="0"/>
            <wp:wrapNone/>
            <wp:docPr id="126072592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725928" name="Picture 2">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000" cy="3133949"/>
                    </a:xfrm>
                    <a:prstGeom prst="rect">
                      <a:avLst/>
                    </a:prstGeom>
                    <a:solidFill>
                      <a:schemeClr val="bg1"/>
                    </a:solidFill>
                  </pic:spPr>
                </pic:pic>
              </a:graphicData>
            </a:graphic>
            <wp14:sizeRelH relativeFrom="page">
              <wp14:pctWidth>0</wp14:pctWidth>
            </wp14:sizeRelH>
            <wp14:sizeRelV relativeFrom="page">
              <wp14:pctHeight>0</wp14:pctHeight>
            </wp14:sizeRelV>
          </wp:anchor>
        </w:drawing>
      </w:r>
    </w:p>
    <w:p w14:paraId="4C5EA76C" w14:textId="179B780F" w:rsidR="00E930E8" w:rsidRPr="00E930E8" w:rsidRDefault="00E930E8" w:rsidP="00386955">
      <w:pPr>
        <w:numPr>
          <w:ilvl w:val="0"/>
          <w:numId w:val="13"/>
        </w:numPr>
        <w:spacing w:after="60"/>
        <w:rPr>
          <w:sz w:val="10"/>
          <w:szCs w:val="10"/>
        </w:rPr>
      </w:pPr>
      <w:r w:rsidRPr="00E930E8">
        <w:rPr>
          <w:sz w:val="10"/>
          <w:szCs w:val="10"/>
        </w:rPr>
        <w:t>Board</w:t>
      </w:r>
    </w:p>
    <w:p w14:paraId="6649C6A7" w14:textId="426004F7" w:rsidR="00E930E8" w:rsidRPr="00E930E8" w:rsidRDefault="00E930E8" w:rsidP="00386955">
      <w:pPr>
        <w:numPr>
          <w:ilvl w:val="0"/>
          <w:numId w:val="13"/>
        </w:numPr>
        <w:spacing w:after="60"/>
        <w:rPr>
          <w:sz w:val="10"/>
          <w:szCs w:val="10"/>
        </w:rPr>
      </w:pPr>
      <w:r w:rsidRPr="00E930E8">
        <w:rPr>
          <w:sz w:val="10"/>
          <w:szCs w:val="10"/>
        </w:rPr>
        <w:t>Chief Executive Officer</w:t>
      </w:r>
    </w:p>
    <w:p w14:paraId="3756EE81" w14:textId="7F40F10D" w:rsidR="00E930E8" w:rsidRPr="00E930E8" w:rsidRDefault="00E930E8" w:rsidP="00386955">
      <w:pPr>
        <w:numPr>
          <w:ilvl w:val="1"/>
          <w:numId w:val="13"/>
        </w:numPr>
        <w:spacing w:after="60"/>
        <w:rPr>
          <w:sz w:val="10"/>
          <w:szCs w:val="10"/>
        </w:rPr>
      </w:pPr>
      <w:r w:rsidRPr="7AD33374">
        <w:rPr>
          <w:sz w:val="10"/>
          <w:szCs w:val="10"/>
        </w:rPr>
        <w:t>Accountant</w:t>
      </w:r>
    </w:p>
    <w:p w14:paraId="1D088BAE" w14:textId="5989B037" w:rsidR="00E930E8" w:rsidRPr="00E930E8" w:rsidRDefault="00E930E8" w:rsidP="00386955">
      <w:pPr>
        <w:numPr>
          <w:ilvl w:val="1"/>
          <w:numId w:val="13"/>
        </w:numPr>
        <w:spacing w:after="60"/>
        <w:rPr>
          <w:sz w:val="10"/>
          <w:szCs w:val="10"/>
        </w:rPr>
      </w:pPr>
      <w:r w:rsidRPr="7AD33374">
        <w:rPr>
          <w:sz w:val="10"/>
          <w:szCs w:val="10"/>
        </w:rPr>
        <w:t>Head of Digital</w:t>
      </w:r>
    </w:p>
    <w:p w14:paraId="6BE34A41" w14:textId="0AF1FF45" w:rsidR="00E930E8" w:rsidRPr="00E930E8" w:rsidRDefault="00E930E8" w:rsidP="00386955">
      <w:pPr>
        <w:numPr>
          <w:ilvl w:val="1"/>
          <w:numId w:val="13"/>
        </w:numPr>
        <w:spacing w:after="60"/>
        <w:rPr>
          <w:sz w:val="10"/>
          <w:szCs w:val="10"/>
        </w:rPr>
      </w:pPr>
      <w:r w:rsidRPr="7AD33374">
        <w:rPr>
          <w:sz w:val="10"/>
          <w:szCs w:val="10"/>
        </w:rPr>
        <w:t>Operations Manager</w:t>
      </w:r>
    </w:p>
    <w:p w14:paraId="09A49AB9" w14:textId="77777777" w:rsidR="00E930E8" w:rsidRPr="00E930E8" w:rsidRDefault="00E930E8" w:rsidP="00386955">
      <w:pPr>
        <w:numPr>
          <w:ilvl w:val="2"/>
          <w:numId w:val="13"/>
        </w:numPr>
        <w:spacing w:after="60"/>
        <w:rPr>
          <w:sz w:val="10"/>
          <w:szCs w:val="10"/>
        </w:rPr>
      </w:pPr>
      <w:r w:rsidRPr="7AD33374">
        <w:rPr>
          <w:sz w:val="10"/>
          <w:szCs w:val="10"/>
        </w:rPr>
        <w:t>Program Lead for a specific course or course type</w:t>
      </w:r>
    </w:p>
    <w:p w14:paraId="0AD06F78" w14:textId="53D18815" w:rsidR="00E930E8" w:rsidRPr="00E930E8" w:rsidRDefault="00E930E8" w:rsidP="00386955">
      <w:pPr>
        <w:numPr>
          <w:ilvl w:val="2"/>
          <w:numId w:val="13"/>
        </w:numPr>
        <w:spacing w:after="60"/>
        <w:rPr>
          <w:sz w:val="10"/>
          <w:szCs w:val="10"/>
        </w:rPr>
      </w:pPr>
      <w:r w:rsidRPr="7AD33374">
        <w:rPr>
          <w:sz w:val="10"/>
          <w:szCs w:val="10"/>
        </w:rPr>
        <w:t>Trainers &amp; Assessors</w:t>
      </w:r>
    </w:p>
    <w:p w14:paraId="79511446" w14:textId="77777777" w:rsidR="00E930E8" w:rsidRPr="00E930E8" w:rsidRDefault="00E930E8" w:rsidP="00386955">
      <w:pPr>
        <w:numPr>
          <w:ilvl w:val="2"/>
          <w:numId w:val="13"/>
        </w:numPr>
        <w:spacing w:after="60"/>
        <w:rPr>
          <w:sz w:val="10"/>
          <w:szCs w:val="10"/>
        </w:rPr>
      </w:pPr>
      <w:r w:rsidRPr="7AD33374">
        <w:rPr>
          <w:sz w:val="10"/>
          <w:szCs w:val="10"/>
        </w:rPr>
        <w:t>Business Support functions e.g. Program Administrator, LLN Practitioner, Compliance Officer, Administration Officer (trainee)</w:t>
      </w:r>
    </w:p>
    <w:p w14:paraId="3683BEC9" w14:textId="4CA4BCBB" w:rsidR="00E930E8" w:rsidRPr="00E930E8" w:rsidRDefault="00E930E8" w:rsidP="00386955">
      <w:pPr>
        <w:numPr>
          <w:ilvl w:val="1"/>
          <w:numId w:val="13"/>
        </w:numPr>
        <w:spacing w:after="60"/>
        <w:rPr>
          <w:sz w:val="10"/>
          <w:szCs w:val="10"/>
        </w:rPr>
      </w:pPr>
      <w:r w:rsidRPr="7AD33374">
        <w:rPr>
          <w:sz w:val="10"/>
          <w:szCs w:val="10"/>
        </w:rPr>
        <w:t>National Short Course Lead</w:t>
      </w:r>
    </w:p>
    <w:p w14:paraId="773AFA82" w14:textId="34C1DFBC" w:rsidR="00E930E8" w:rsidRDefault="00E930E8" w:rsidP="00E930E8">
      <w:pPr>
        <w:spacing w:after="60"/>
        <w:rPr>
          <w:sz w:val="10"/>
          <w:szCs w:val="10"/>
        </w:rPr>
      </w:pPr>
      <w:r w:rsidRPr="00E930E8">
        <w:rPr>
          <w:sz w:val="10"/>
          <w:szCs w:val="10"/>
        </w:rPr>
        <w:t>There may also be advisory functions that sit outside of the main organisation hierarchy, e.g. an Animal Ethics Committee</w:t>
      </w:r>
    </w:p>
    <w:p w14:paraId="336C696F" w14:textId="58A092CB" w:rsidR="0088627E" w:rsidRDefault="0088627E" w:rsidP="00E930E8">
      <w:pPr>
        <w:spacing w:after="60"/>
        <w:rPr>
          <w:sz w:val="10"/>
          <w:szCs w:val="10"/>
        </w:rPr>
      </w:pPr>
    </w:p>
    <w:p w14:paraId="1322B8F9" w14:textId="47FCDD28" w:rsidR="0088627E" w:rsidRDefault="0088627E" w:rsidP="00E930E8">
      <w:pPr>
        <w:spacing w:after="60"/>
        <w:rPr>
          <w:sz w:val="10"/>
          <w:szCs w:val="10"/>
        </w:rPr>
      </w:pPr>
    </w:p>
    <w:p w14:paraId="579500C1" w14:textId="77777777" w:rsidR="0088627E" w:rsidRDefault="0088627E" w:rsidP="00E930E8">
      <w:pPr>
        <w:spacing w:after="60"/>
        <w:rPr>
          <w:sz w:val="10"/>
          <w:szCs w:val="10"/>
        </w:rPr>
      </w:pPr>
    </w:p>
    <w:p w14:paraId="756A4757" w14:textId="77777777" w:rsidR="0088627E" w:rsidRDefault="0088627E" w:rsidP="00E930E8">
      <w:pPr>
        <w:spacing w:after="60"/>
        <w:rPr>
          <w:sz w:val="10"/>
          <w:szCs w:val="10"/>
        </w:rPr>
      </w:pPr>
    </w:p>
    <w:p w14:paraId="6DC03E61" w14:textId="77777777" w:rsidR="0088627E" w:rsidRDefault="0088627E" w:rsidP="00E930E8">
      <w:pPr>
        <w:spacing w:after="60"/>
        <w:rPr>
          <w:sz w:val="10"/>
          <w:szCs w:val="10"/>
        </w:rPr>
      </w:pPr>
    </w:p>
    <w:p w14:paraId="63E3ADF9" w14:textId="77777777" w:rsidR="0088627E" w:rsidRDefault="0088627E" w:rsidP="00E930E8">
      <w:pPr>
        <w:spacing w:after="60"/>
        <w:rPr>
          <w:sz w:val="10"/>
          <w:szCs w:val="10"/>
        </w:rPr>
      </w:pPr>
    </w:p>
    <w:p w14:paraId="0A9B4EA7" w14:textId="77777777" w:rsidR="0088627E" w:rsidRDefault="0088627E" w:rsidP="00E930E8">
      <w:pPr>
        <w:spacing w:after="60"/>
        <w:rPr>
          <w:sz w:val="10"/>
          <w:szCs w:val="10"/>
        </w:rPr>
      </w:pPr>
    </w:p>
    <w:p w14:paraId="40172B0B" w14:textId="3150828E" w:rsidR="0088627E" w:rsidRDefault="0088627E" w:rsidP="00E930E8">
      <w:pPr>
        <w:spacing w:after="60"/>
        <w:rPr>
          <w:sz w:val="10"/>
          <w:szCs w:val="10"/>
        </w:rPr>
      </w:pPr>
    </w:p>
    <w:p w14:paraId="19C78E93" w14:textId="36D29A0E" w:rsidR="0088627E" w:rsidRDefault="0088627E" w:rsidP="00E930E8">
      <w:pPr>
        <w:spacing w:after="60"/>
        <w:rPr>
          <w:sz w:val="10"/>
          <w:szCs w:val="10"/>
        </w:rPr>
      </w:pPr>
    </w:p>
    <w:p w14:paraId="21823E33" w14:textId="77777777" w:rsidR="0088627E" w:rsidRDefault="0088627E" w:rsidP="00E930E8">
      <w:pPr>
        <w:spacing w:after="60"/>
        <w:rPr>
          <w:sz w:val="10"/>
          <w:szCs w:val="10"/>
        </w:rPr>
      </w:pPr>
    </w:p>
    <w:p w14:paraId="2F53007E" w14:textId="77777777" w:rsidR="0088627E" w:rsidRDefault="0088627E" w:rsidP="00E930E8">
      <w:pPr>
        <w:spacing w:after="60"/>
        <w:rPr>
          <w:sz w:val="10"/>
          <w:szCs w:val="10"/>
        </w:rPr>
      </w:pPr>
    </w:p>
    <w:p w14:paraId="1AC365C5" w14:textId="77777777" w:rsidR="0088627E" w:rsidRDefault="0088627E" w:rsidP="00E930E8">
      <w:pPr>
        <w:spacing w:after="60"/>
        <w:rPr>
          <w:sz w:val="10"/>
          <w:szCs w:val="10"/>
        </w:rPr>
      </w:pPr>
    </w:p>
    <w:p w14:paraId="600140B5" w14:textId="77777777" w:rsidR="0088627E" w:rsidRDefault="0088627E" w:rsidP="00E930E8">
      <w:pPr>
        <w:spacing w:after="60"/>
        <w:rPr>
          <w:sz w:val="10"/>
          <w:szCs w:val="10"/>
        </w:rPr>
      </w:pPr>
    </w:p>
    <w:p w14:paraId="7652DCF2" w14:textId="77777777" w:rsidR="0088627E" w:rsidRDefault="0088627E" w:rsidP="00E930E8">
      <w:pPr>
        <w:spacing w:after="60"/>
        <w:rPr>
          <w:sz w:val="10"/>
          <w:szCs w:val="10"/>
        </w:rPr>
      </w:pPr>
    </w:p>
    <w:p w14:paraId="030E2623" w14:textId="596F51A4" w:rsidR="0088627E" w:rsidRDefault="0088627E" w:rsidP="00E930E8">
      <w:pPr>
        <w:spacing w:after="60"/>
        <w:rPr>
          <w:sz w:val="10"/>
          <w:szCs w:val="10"/>
        </w:rPr>
      </w:pPr>
    </w:p>
    <w:p w14:paraId="22777519" w14:textId="1E4BAF83" w:rsidR="007475A4" w:rsidRDefault="007475A4" w:rsidP="00B90073">
      <w:pPr>
        <w:spacing w:line="276" w:lineRule="auto"/>
        <w:rPr>
          <w:rFonts w:eastAsia="Times New Roman" w:cs="Arial"/>
          <w:lang w:eastAsia="en-AU"/>
        </w:rPr>
      </w:pPr>
    </w:p>
    <w:p w14:paraId="5BD3F4E8" w14:textId="1BA723B3" w:rsidR="007475A4" w:rsidRDefault="007003B1" w:rsidP="070D62CA">
      <w:pPr>
        <w:pStyle w:val="Caption"/>
        <w:keepNext/>
        <w:spacing w:line="276" w:lineRule="auto"/>
        <w:rPr>
          <w:color w:val="auto"/>
        </w:rPr>
      </w:pPr>
      <w:r>
        <w:rPr>
          <w:color w:val="auto"/>
        </w:rPr>
        <w:br/>
      </w:r>
      <w:bookmarkStart w:id="174" w:name="Figure_3_20"/>
      <w:r w:rsidR="007475A4" w:rsidRPr="070D62CA">
        <w:rPr>
          <w:color w:val="auto"/>
        </w:rPr>
        <w:t xml:space="preserve">Figure </w:t>
      </w:r>
      <w:r w:rsidR="006558DC">
        <w:rPr>
          <w:color w:val="auto"/>
        </w:rPr>
        <w:fldChar w:fldCharType="begin"/>
      </w:r>
      <w:r w:rsidR="006558DC">
        <w:rPr>
          <w:color w:val="auto"/>
        </w:rPr>
        <w:instrText xml:space="preserve"> STYLEREF 1 \s </w:instrText>
      </w:r>
      <w:r w:rsidR="006558DC">
        <w:rPr>
          <w:color w:val="auto"/>
        </w:rPr>
        <w:fldChar w:fldCharType="separate"/>
      </w:r>
      <w:r w:rsidR="00E7704E">
        <w:rPr>
          <w:noProof/>
          <w:color w:val="auto"/>
        </w:rPr>
        <w:t>3</w:t>
      </w:r>
      <w:r w:rsidR="006558DC">
        <w:rPr>
          <w:color w:val="auto"/>
        </w:rPr>
        <w:fldChar w:fldCharType="end"/>
      </w:r>
      <w:r w:rsidR="00A30652">
        <w:rPr>
          <w:color w:val="auto"/>
        </w:rPr>
        <w:t>.</w:t>
      </w:r>
      <w:r w:rsidR="006558DC">
        <w:rPr>
          <w:color w:val="auto"/>
        </w:rPr>
        <w:fldChar w:fldCharType="begin"/>
      </w:r>
      <w:r w:rsidR="006558DC">
        <w:rPr>
          <w:color w:val="auto"/>
        </w:rPr>
        <w:instrText xml:space="preserve"> SEQ Figure \* ARABIC \s 1 </w:instrText>
      </w:r>
      <w:r w:rsidR="006558DC">
        <w:rPr>
          <w:color w:val="auto"/>
        </w:rPr>
        <w:fldChar w:fldCharType="separate"/>
      </w:r>
      <w:r w:rsidR="00E7704E">
        <w:rPr>
          <w:noProof/>
          <w:color w:val="auto"/>
        </w:rPr>
        <w:t>20</w:t>
      </w:r>
      <w:r w:rsidR="006558DC">
        <w:rPr>
          <w:color w:val="auto"/>
        </w:rPr>
        <w:fldChar w:fldCharType="end"/>
      </w:r>
      <w:r w:rsidR="007475A4" w:rsidRPr="070D62CA">
        <w:rPr>
          <w:color w:val="auto"/>
        </w:rPr>
        <w:t xml:space="preserve"> Small training provider example organisational chart</w:t>
      </w:r>
      <w:bookmarkEnd w:id="174"/>
    </w:p>
    <w:p w14:paraId="3E302024" w14:textId="22907817" w:rsidR="00147E73" w:rsidRPr="00147E73" w:rsidRDefault="00147E73" w:rsidP="00147E73">
      <w:pPr>
        <w:rPr>
          <w:lang w:val="en-US"/>
        </w:rPr>
      </w:pPr>
      <w:r>
        <w:rPr>
          <w:noProof/>
          <w:lang w:val="en-US"/>
        </w:rPr>
        <w:drawing>
          <wp:anchor distT="0" distB="0" distL="114300" distR="114300" simplePos="0" relativeHeight="251658254" behindDoc="0" locked="0" layoutInCell="1" allowOverlap="1" wp14:anchorId="1B5BC7A6" wp14:editId="648B41E9">
            <wp:simplePos x="0" y="0"/>
            <wp:positionH relativeFrom="column">
              <wp:posOffset>0</wp:posOffset>
            </wp:positionH>
            <wp:positionV relativeFrom="paragraph">
              <wp:posOffset>125793</wp:posOffset>
            </wp:positionV>
            <wp:extent cx="5760000" cy="1348667"/>
            <wp:effectExtent l="0" t="0" r="0" b="4445"/>
            <wp:wrapNone/>
            <wp:docPr id="178732501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25012" name="Picture 3">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000" cy="1348667"/>
                    </a:xfrm>
                    <a:prstGeom prst="rect">
                      <a:avLst/>
                    </a:prstGeom>
                    <a:solidFill>
                      <a:schemeClr val="bg1"/>
                    </a:solidFill>
                  </pic:spPr>
                </pic:pic>
              </a:graphicData>
            </a:graphic>
            <wp14:sizeRelH relativeFrom="page">
              <wp14:pctWidth>0</wp14:pctWidth>
            </wp14:sizeRelH>
            <wp14:sizeRelV relativeFrom="page">
              <wp14:pctHeight>0</wp14:pctHeight>
            </wp14:sizeRelV>
          </wp:anchor>
        </w:drawing>
      </w:r>
    </w:p>
    <w:p w14:paraId="3D4F78B1" w14:textId="77777777" w:rsidR="0088627E" w:rsidRPr="00E930E8" w:rsidRDefault="0088627E" w:rsidP="0088627E">
      <w:pPr>
        <w:rPr>
          <w:lang w:val="en-US"/>
        </w:rPr>
      </w:pPr>
    </w:p>
    <w:p w14:paraId="4D852937" w14:textId="77777777" w:rsidR="0088627E" w:rsidRPr="0088627E" w:rsidRDefault="0088627E" w:rsidP="00386955">
      <w:pPr>
        <w:numPr>
          <w:ilvl w:val="1"/>
          <w:numId w:val="14"/>
        </w:numPr>
        <w:spacing w:after="60"/>
        <w:rPr>
          <w:sz w:val="10"/>
          <w:szCs w:val="10"/>
        </w:rPr>
      </w:pPr>
      <w:r w:rsidRPr="0088627E">
        <w:rPr>
          <w:sz w:val="10"/>
          <w:szCs w:val="10"/>
        </w:rPr>
        <w:t>CEO &amp; Head of Teaching</w:t>
      </w:r>
    </w:p>
    <w:p w14:paraId="088AF88D" w14:textId="77777777" w:rsidR="0088627E" w:rsidRPr="0088627E" w:rsidRDefault="0088627E" w:rsidP="00386955">
      <w:pPr>
        <w:numPr>
          <w:ilvl w:val="2"/>
          <w:numId w:val="14"/>
        </w:numPr>
        <w:spacing w:after="60"/>
        <w:rPr>
          <w:sz w:val="10"/>
          <w:szCs w:val="10"/>
        </w:rPr>
      </w:pPr>
      <w:r w:rsidRPr="0088627E">
        <w:rPr>
          <w:sz w:val="10"/>
          <w:szCs w:val="10"/>
        </w:rPr>
        <w:t>Admin, Compliance, HR, IT &amp; Educational Support</w:t>
      </w:r>
    </w:p>
    <w:p w14:paraId="566DFD55" w14:textId="77777777" w:rsidR="0088627E" w:rsidRPr="0088627E" w:rsidRDefault="0088627E" w:rsidP="00386955">
      <w:pPr>
        <w:numPr>
          <w:ilvl w:val="2"/>
          <w:numId w:val="14"/>
        </w:numPr>
        <w:spacing w:after="60"/>
        <w:rPr>
          <w:sz w:val="10"/>
          <w:szCs w:val="10"/>
        </w:rPr>
      </w:pPr>
      <w:r w:rsidRPr="0088627E">
        <w:rPr>
          <w:sz w:val="10"/>
          <w:szCs w:val="10"/>
        </w:rPr>
        <w:t>2 minor teaching program areas</w:t>
      </w:r>
    </w:p>
    <w:p w14:paraId="549C83FD" w14:textId="77777777" w:rsidR="0088627E" w:rsidRPr="0088627E" w:rsidRDefault="0088627E" w:rsidP="00386955">
      <w:pPr>
        <w:numPr>
          <w:ilvl w:val="2"/>
          <w:numId w:val="14"/>
        </w:numPr>
        <w:spacing w:after="60"/>
        <w:rPr>
          <w:sz w:val="10"/>
          <w:szCs w:val="10"/>
        </w:rPr>
      </w:pPr>
      <w:r w:rsidRPr="0088627E">
        <w:rPr>
          <w:sz w:val="10"/>
          <w:szCs w:val="10"/>
        </w:rPr>
        <w:t>Main teaching program area</w:t>
      </w:r>
    </w:p>
    <w:p w14:paraId="512E550A" w14:textId="77777777" w:rsidR="0088627E" w:rsidRDefault="0088627E" w:rsidP="0088627E">
      <w:pPr>
        <w:spacing w:after="60"/>
        <w:rPr>
          <w:sz w:val="10"/>
          <w:szCs w:val="10"/>
        </w:rPr>
      </w:pPr>
    </w:p>
    <w:p w14:paraId="2FCF1308" w14:textId="77777777" w:rsidR="0088627E" w:rsidRDefault="0088627E" w:rsidP="0088627E">
      <w:pPr>
        <w:spacing w:after="60"/>
        <w:rPr>
          <w:sz w:val="10"/>
          <w:szCs w:val="10"/>
        </w:rPr>
      </w:pPr>
    </w:p>
    <w:p w14:paraId="1B7AE5A4" w14:textId="77777777" w:rsidR="0088627E" w:rsidRDefault="0088627E" w:rsidP="0088627E">
      <w:pPr>
        <w:spacing w:after="60"/>
        <w:rPr>
          <w:sz w:val="10"/>
          <w:szCs w:val="10"/>
        </w:rPr>
      </w:pPr>
    </w:p>
    <w:p w14:paraId="79814316" w14:textId="77777777" w:rsidR="0088627E" w:rsidRDefault="0088627E" w:rsidP="0088627E">
      <w:pPr>
        <w:spacing w:after="60"/>
        <w:rPr>
          <w:sz w:val="10"/>
          <w:szCs w:val="10"/>
        </w:rPr>
      </w:pPr>
    </w:p>
    <w:p w14:paraId="2DB3CD2F" w14:textId="7ACBBFB8" w:rsidR="007475A4" w:rsidRDefault="007003B1" w:rsidP="007475A4">
      <w:pPr>
        <w:pStyle w:val="Heading3"/>
      </w:pPr>
      <w:r>
        <w:br/>
      </w:r>
      <w:r w:rsidR="007475A4">
        <w:t>Learning Support</w:t>
      </w:r>
    </w:p>
    <w:p w14:paraId="5A0ACB3E" w14:textId="77777777" w:rsidR="00395A2D" w:rsidRDefault="007475A4" w:rsidP="00E16D4F">
      <w:pPr>
        <w:pStyle w:val="Bodycopy"/>
      </w:pPr>
      <w:r>
        <w:t xml:space="preserve">Roles in the Learning Support workforce segment provide VET specific educational support and ancillary educational professional services, like librarians and counsellors. These roles offer services and supports that may be available to all students (e.g. library services) or may be targeted interventions for specific students or groups of students (e.g. a Disability Liaison Officer or Aboriginal and Torres Strait Islander Education Workers). </w:t>
      </w:r>
    </w:p>
    <w:p w14:paraId="3605EAEA" w14:textId="35FC1E69" w:rsidR="001F48A9" w:rsidRDefault="007475A4" w:rsidP="00E16D4F">
      <w:pPr>
        <w:pStyle w:val="Bodycopy"/>
      </w:pPr>
      <w:r>
        <w:t>For example, a Learning Support Officer may work alongside teaching staff to support students with identified needs to build language, literacy, numeracy or digital literacy skills to complete their VET course (like a Foundation Skills Teacher). Likewise, an eLearning Support Officer may provide technical support to teaching staff about the use and improvement of eLearning tools (holding a similar, but more focused, expertise as an eLearning Designer)</w:t>
      </w:r>
      <w:r w:rsidR="00FA7675">
        <w:t>, see</w:t>
      </w:r>
      <w:r w:rsidR="00FA7675" w:rsidRPr="00FA7675">
        <w:t xml:space="preserve"> </w:t>
      </w:r>
      <w:hyperlink w:anchor="Figure_3_16" w:history="1">
        <w:r w:rsidR="00FA7675" w:rsidRPr="00564816">
          <w:rPr>
            <w:rStyle w:val="Hyperlink"/>
          </w:rPr>
          <w:t>Figure 3.16</w:t>
        </w:r>
      </w:hyperlink>
      <w:r>
        <w:t xml:space="preserve">. </w:t>
      </w:r>
    </w:p>
    <w:p w14:paraId="5AC145CB" w14:textId="77777777" w:rsidR="00724924" w:rsidRDefault="00724924">
      <w:pPr>
        <w:rPr>
          <w:spacing w:val="2"/>
        </w:rPr>
      </w:pPr>
      <w:r>
        <w:br w:type="page"/>
      </w:r>
    </w:p>
    <w:p w14:paraId="211B821E" w14:textId="0A78E3A1" w:rsidR="0023668C" w:rsidRPr="003A7860" w:rsidRDefault="007475A4" w:rsidP="00E16D4F">
      <w:pPr>
        <w:pStyle w:val="Bodycopy"/>
        <w:rPr>
          <w:rFonts w:eastAsiaTheme="minorEastAsia"/>
        </w:rPr>
      </w:pPr>
      <w:r>
        <w:lastRenderedPageBreak/>
        <w:t>E</w:t>
      </w:r>
      <w:r w:rsidRPr="7D25583B">
        <w:rPr>
          <w:rFonts w:eastAsiaTheme="minorEastAsia"/>
        </w:rPr>
        <w:t xml:space="preserve">ducation Support Officers are </w:t>
      </w:r>
      <w:r>
        <w:t xml:space="preserve">like </w:t>
      </w:r>
      <w:r w:rsidRPr="7D25583B">
        <w:rPr>
          <w:rFonts w:eastAsiaTheme="minorEastAsia"/>
        </w:rPr>
        <w:t xml:space="preserve">Teachers' Aides and Integration Aides in schools </w:t>
      </w:r>
      <w:r w:rsidR="003A7860" w:rsidRPr="003A7860">
        <w:rPr>
          <w:rFonts w:eastAsiaTheme="minorEastAsia"/>
        </w:rPr>
        <w:t>but this ANZSCO occupational code has not been able to capture these similar types of roles in VET. As noted in Chapter 1, preliminary changes to the Teachers’ Aide ANZSCO occupation code will likely allow better mapping of learning support workforce roles in different education contexts. This role will now include alternative titles like Education Assistant, Learning or Student Support Officer which are more common in VET.</w:t>
      </w:r>
    </w:p>
    <w:p w14:paraId="780EB3F4" w14:textId="77777777" w:rsidR="007475A4" w:rsidRDefault="007475A4" w:rsidP="00E16D4F">
      <w:pPr>
        <w:pStyle w:val="Bodycopy"/>
      </w:pPr>
      <w:r w:rsidRPr="7D25583B">
        <w:t>Across enterprise agreements educational support roles are described differently. In South Australia, there are Lecturer’s Assistants and Invigilators, while in NSW they are Educational Support Officers.  Salaries for these educational support roles fall between around $61,000 (in South Australia) at entry level and $101,402 (in NSW) at the upper level.</w:t>
      </w:r>
    </w:p>
    <w:p w14:paraId="741DDCEB" w14:textId="792CF158" w:rsidR="001F48A9" w:rsidRDefault="007475A4" w:rsidP="00E16D4F">
      <w:pPr>
        <w:pStyle w:val="Bodycopy"/>
      </w:pPr>
      <w:r w:rsidRPr="10B5B190">
        <w:rPr>
          <w:b/>
          <w:bCs/>
        </w:rPr>
        <w:t xml:space="preserve">Education Support Officers </w:t>
      </w:r>
      <w:r w:rsidRPr="10B5B190">
        <w:t xml:space="preserve">is an example role in this segment. At TAFE NSW, this is a role within its teaching classifications requiring </w:t>
      </w:r>
      <w:r>
        <w:t xml:space="preserve">the relevant industry credential being delivered but not a training or assessment credential. An Education Support Officer works under the direction of a teacher to support learners and enhance the student learning experience – including assistance in answering content and learning-related questions. The main duties of this role are summarised in </w:t>
      </w:r>
      <w:hyperlink w:anchor="Figure_3_21" w:history="1">
        <w:r w:rsidRPr="00564816">
          <w:rPr>
            <w:rStyle w:val="Hyperlink"/>
          </w:rPr>
          <w:t>Figure 3.2</w:t>
        </w:r>
        <w:r w:rsidR="00607D22" w:rsidRPr="00564816">
          <w:rPr>
            <w:rStyle w:val="Hyperlink"/>
          </w:rPr>
          <w:t>1</w:t>
        </w:r>
      </w:hyperlink>
      <w:r>
        <w:t xml:space="preserve">. </w:t>
      </w:r>
      <w:r w:rsidR="003A7860" w:rsidRPr="003A7860">
        <w:t>There are also specialised First Nations education support, mentoring and liaison roles in VET which will likely be better captured by the proposed changes to the ANZSCO occupation of Aboriginal and Torres Strait Islander (ATSI) Education Officer including specialised counselling and coordination roles.</w:t>
      </w:r>
    </w:p>
    <w:p w14:paraId="1198A1EB" w14:textId="77777777" w:rsidR="001F48A9" w:rsidRDefault="001F48A9">
      <w:pPr>
        <w:rPr>
          <w:spacing w:val="2"/>
        </w:rPr>
      </w:pPr>
      <w:r>
        <w:br w:type="page"/>
      </w:r>
    </w:p>
    <w:p w14:paraId="3C58AD75" w14:textId="19E03EFD" w:rsidR="00DC0136" w:rsidRDefault="4D082D78" w:rsidP="00DC0136">
      <w:pPr>
        <w:pStyle w:val="Caption"/>
      </w:pPr>
      <w:bookmarkStart w:id="175" w:name="Figure_3_21"/>
      <w:r>
        <w:lastRenderedPageBreak/>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21</w:t>
      </w:r>
      <w:r w:rsidR="006558DC">
        <w:fldChar w:fldCharType="end"/>
      </w:r>
      <w:r>
        <w:t xml:space="preserve"> Education Support Officers</w:t>
      </w:r>
    </w:p>
    <w:bookmarkEnd w:id="175"/>
    <w:p w14:paraId="264B4A6A" w14:textId="7BE2D06C" w:rsidR="00A96BDF" w:rsidRPr="004334C3" w:rsidRDefault="004334C3" w:rsidP="004334C3">
      <w:pPr>
        <w:rPr>
          <w:lang w:val="en-US"/>
        </w:rPr>
      </w:pPr>
      <w:r>
        <w:rPr>
          <w:noProof/>
          <w:lang w:val="en-US"/>
        </w:rPr>
        <w:drawing>
          <wp:inline distT="0" distB="0" distL="0" distR="0" wp14:anchorId="11721C5F" wp14:editId="0C4F981D">
            <wp:extent cx="5651999" cy="6074842"/>
            <wp:effectExtent l="0" t="0" r="6350" b="2540"/>
            <wp:docPr id="1486981880" name="Picture 4" descr="Figure 3.21 Education Support Offic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81880" name="Picture 4" descr="Figure 3.21 Education Support Officers"/>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651999" cy="6074842"/>
                    </a:xfrm>
                    <a:prstGeom prst="rect">
                      <a:avLst/>
                    </a:prstGeom>
                    <a:solidFill>
                      <a:schemeClr val="bg1"/>
                    </a:solidFill>
                  </pic:spPr>
                </pic:pic>
              </a:graphicData>
            </a:graphic>
          </wp:inline>
        </w:drawing>
      </w:r>
    </w:p>
    <w:p w14:paraId="21AF802F" w14:textId="765A0FD4" w:rsidR="007475A4" w:rsidRPr="00395A2D" w:rsidRDefault="007475A4" w:rsidP="00395A2D">
      <w:pPr>
        <w:pStyle w:val="Bodycopy"/>
      </w:pPr>
      <w:r w:rsidRPr="294321A8">
        <w:rPr>
          <w:rFonts w:eastAsiaTheme="minorEastAsia"/>
          <w:b/>
          <w:bCs/>
        </w:rPr>
        <w:t>Student and Careers Counsellors</w:t>
      </w:r>
      <w:r w:rsidRPr="294321A8">
        <w:rPr>
          <w:rFonts w:eastAsiaTheme="minorEastAsia"/>
        </w:rPr>
        <w:t xml:space="preserve"> are other</w:t>
      </w:r>
      <w:r w:rsidRPr="294321A8">
        <w:rPr>
          <w:rFonts w:eastAsiaTheme="minorEastAsia"/>
          <w:b/>
          <w:bCs/>
        </w:rPr>
        <w:t xml:space="preserve"> </w:t>
      </w:r>
      <w:r w:rsidRPr="294321A8">
        <w:rPr>
          <w:rFonts w:eastAsiaTheme="minorEastAsia"/>
        </w:rPr>
        <w:t>example roles in the Learning Support segment</w:t>
      </w:r>
      <w:r w:rsidR="004F223F">
        <w:rPr>
          <w:rFonts w:eastAsiaTheme="minorEastAsia"/>
        </w:rPr>
        <w:t xml:space="preserve">, see </w:t>
      </w:r>
      <w:hyperlink w:anchor="Figure_3_22" w:history="1">
        <w:r w:rsidR="004F223F" w:rsidRPr="00564816">
          <w:rPr>
            <w:rStyle w:val="Hyperlink"/>
            <w:rFonts w:eastAsiaTheme="minorEastAsia"/>
          </w:rPr>
          <w:t>Figure 3.22</w:t>
        </w:r>
      </w:hyperlink>
      <w:r w:rsidR="004F223F">
        <w:rPr>
          <w:rFonts w:eastAsiaTheme="minorEastAsia"/>
        </w:rPr>
        <w:t xml:space="preserve"> for </w:t>
      </w:r>
      <w:r w:rsidR="00701260">
        <w:rPr>
          <w:rFonts w:eastAsiaTheme="minorEastAsia"/>
        </w:rPr>
        <w:t>more detail</w:t>
      </w:r>
      <w:r w:rsidRPr="294321A8">
        <w:rPr>
          <w:rFonts w:eastAsiaTheme="minorEastAsia"/>
        </w:rPr>
        <w:t xml:space="preserve">. </w:t>
      </w:r>
      <w:r w:rsidRPr="294321A8">
        <w:t>Counselling is generally offered with objective of improving retention by assisting students to achieve their personal and educational potential.</w:t>
      </w:r>
    </w:p>
    <w:p w14:paraId="1D658C71" w14:textId="77777777" w:rsidR="001F48A9" w:rsidRDefault="001F48A9">
      <w:pPr>
        <w:rPr>
          <w:b/>
          <w:sz w:val="20"/>
          <w:lang w:val="en-US"/>
        </w:rPr>
      </w:pPr>
      <w:r>
        <w:br w:type="page"/>
      </w:r>
    </w:p>
    <w:p w14:paraId="668C89B7" w14:textId="0D96D487" w:rsidR="007475A4" w:rsidRDefault="007475A4" w:rsidP="00F35BDF">
      <w:pPr>
        <w:pStyle w:val="Caption"/>
      </w:pPr>
      <w:bookmarkStart w:id="176" w:name="Figure_3_22"/>
      <w:r>
        <w:lastRenderedPageBreak/>
        <w:t xml:space="preserve">Figure </w:t>
      </w:r>
      <w:r w:rsidR="006558DC">
        <w:fldChar w:fldCharType="begin"/>
      </w:r>
      <w:r w:rsidR="006558DC">
        <w:instrText xml:space="preserve"> STYLEREF 1 \s </w:instrText>
      </w:r>
      <w:r w:rsidR="006558DC">
        <w:fldChar w:fldCharType="separate"/>
      </w:r>
      <w:r w:rsidR="00E7704E">
        <w:rPr>
          <w:noProof/>
        </w:rPr>
        <w:t>3</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22</w:t>
      </w:r>
      <w:r w:rsidR="006558DC">
        <w:fldChar w:fldCharType="end"/>
      </w:r>
      <w:r>
        <w:t xml:space="preserve"> Student/Careers Counsellors</w:t>
      </w:r>
    </w:p>
    <w:bookmarkEnd w:id="176"/>
    <w:p w14:paraId="388C2B04" w14:textId="7EF77EEA" w:rsidR="007475A4" w:rsidRPr="00395A2D" w:rsidRDefault="002A2C81" w:rsidP="00395A2D">
      <w:pPr>
        <w:rPr>
          <w:lang w:val="en-US"/>
        </w:rPr>
      </w:pPr>
      <w:r>
        <w:rPr>
          <w:noProof/>
          <w:lang w:val="en-US"/>
        </w:rPr>
        <w:drawing>
          <wp:inline distT="0" distB="0" distL="0" distR="0" wp14:anchorId="1BFD97E1" wp14:editId="3D0BE4A6">
            <wp:extent cx="5651998" cy="5790542"/>
            <wp:effectExtent l="0" t="0" r="6350" b="1270"/>
            <wp:docPr id="2144668158" name="Picture 5" descr="Figure 3.22 Student/Careers Counsel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668158" name="Picture 5" descr="Figure 3.22 Student/Careers Counsellors"/>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651998" cy="5790542"/>
                    </a:xfrm>
                    <a:prstGeom prst="rect">
                      <a:avLst/>
                    </a:prstGeom>
                    <a:solidFill>
                      <a:schemeClr val="bg1"/>
                    </a:solidFill>
                  </pic:spPr>
                </pic:pic>
              </a:graphicData>
            </a:graphic>
          </wp:inline>
        </w:drawing>
      </w:r>
      <w:r>
        <w:br/>
      </w:r>
      <w:r w:rsidR="00395A2D">
        <w:br/>
      </w:r>
      <w:r w:rsidR="007475A4">
        <w:t xml:space="preserve">All RTOs are required to determine the support needs of individual learners and provide access to the educational and support services necessary for the individual learner to meet the requirements of the training product (Clause 1.7 of the RTO </w:t>
      </w:r>
      <w:r w:rsidR="00FF2E3B">
        <w:t>S</w:t>
      </w:r>
      <w:r w:rsidR="007475A4">
        <w:t>tandards</w:t>
      </w:r>
      <w:r w:rsidR="003D4ED1">
        <w:t>). Providing</w:t>
      </w:r>
      <w:r w:rsidR="007475A4">
        <w:t xml:space="preserve"> counselling services may be part of the educational and support services provided by RTOs in compliance with Clause 1.7. Student support provision varies across RTO sizes and sectors, and RTOs which do not offer counselling may provide information or referrals to external counselling services. </w:t>
      </w:r>
    </w:p>
    <w:p w14:paraId="745B03C1" w14:textId="77777777" w:rsidR="007475A4" w:rsidRDefault="007475A4" w:rsidP="00E16D4F">
      <w:pPr>
        <w:pStyle w:val="Bodycopy"/>
        <w:rPr>
          <w:highlight w:val="red"/>
        </w:rPr>
      </w:pPr>
      <w:r>
        <w:t xml:space="preserve">Student counsellors will generally be required to hold a relevant degree in behavioural sciences, psychology, or social work. They may be asked to be eligible for registration with the Australian Health Practitioner Regulation Agency (AHPRA) or with the Australian Association of Social Work. Familiarity with the VET sector and experience working with students will also be looked on favourably by RTOs. Student counsellors may provide broad career information, but specific career counselling services can only be delivered where a counsellor has qualifications from the Career Industry Council of Australia (CICA). </w:t>
      </w:r>
    </w:p>
    <w:p w14:paraId="0C75076E" w14:textId="61E26860" w:rsidR="001153FA" w:rsidRDefault="007475A4" w:rsidP="00E16D4F">
      <w:pPr>
        <w:pStyle w:val="Bodycopy"/>
      </w:pPr>
      <w:r>
        <w:lastRenderedPageBreak/>
        <w:t xml:space="preserve">There are also Aboriginal identified counsellor positions that have been advertised. For example, at TAFE NSW this role is charged with providing culturally safe educational and vocational counselling for intending and enrolled students, and personal counselling for enrolled students within TAFE NSW.  </w:t>
      </w:r>
    </w:p>
    <w:p w14:paraId="635EF762" w14:textId="5D943EE6" w:rsidR="007475A4" w:rsidRDefault="4F15C98C" w:rsidP="007475A4">
      <w:pPr>
        <w:pStyle w:val="Heading3"/>
      </w:pPr>
      <w:r>
        <w:t>Administration and Operations</w:t>
      </w:r>
    </w:p>
    <w:p w14:paraId="4D4567E2" w14:textId="1A1010E7" w:rsidR="007475A4" w:rsidRDefault="4D082D78" w:rsidP="00E16D4F">
      <w:pPr>
        <w:pStyle w:val="Bodycopy"/>
      </w:pPr>
      <w:r>
        <w:t>The successful operation of an RTO as a business requires the support of a range of clerical, administrative and professional roles. Key functions within this segment include IT, marketing, administration</w:t>
      </w:r>
      <w:r w:rsidR="6ED1C740">
        <w:t xml:space="preserve"> (including enrolments and admissions)</w:t>
      </w:r>
      <w:r w:rsidR="4AFF97A0">
        <w:t xml:space="preserve">, </w:t>
      </w:r>
      <w:r>
        <w:t>finance</w:t>
      </w:r>
      <w:r w:rsidR="33571606">
        <w:t xml:space="preserve"> and</w:t>
      </w:r>
      <w:r>
        <w:t xml:space="preserve"> human resource</w:t>
      </w:r>
      <w:r w:rsidR="02672D09">
        <w:t xml:space="preserve">s. </w:t>
      </w:r>
      <w:r w:rsidR="00923631">
        <w:t>These</w:t>
      </w:r>
      <w:r>
        <w:t xml:space="preserve"> roles </w:t>
      </w:r>
      <w:r w:rsidR="00923631">
        <w:t>include</w:t>
      </w:r>
      <w:r w:rsidR="28ABBF2A">
        <w:t xml:space="preserve"> </w:t>
      </w:r>
      <w:r w:rsidR="120AF7D4">
        <w:t>P</w:t>
      </w:r>
      <w:r>
        <w:t xml:space="preserve">rogram/Projects and/or Administration Officer; </w:t>
      </w:r>
      <w:r w:rsidR="743B6241">
        <w:t>Student records/</w:t>
      </w:r>
      <w:r w:rsidR="63F385CC">
        <w:t>a</w:t>
      </w:r>
      <w:r w:rsidR="743B6241">
        <w:t>dmissions/</w:t>
      </w:r>
      <w:r w:rsidR="2BA8E991">
        <w:t>e</w:t>
      </w:r>
      <w:r w:rsidR="743B6241">
        <w:t xml:space="preserve">nrolment </w:t>
      </w:r>
      <w:r w:rsidR="04709CCB">
        <w:t>o</w:t>
      </w:r>
      <w:r w:rsidR="743B6241">
        <w:t xml:space="preserve">fficer; </w:t>
      </w:r>
      <w:r>
        <w:t>Accountant; Human Resource Officer; IT Support Officer; Marketing specialist; Commercial cleaner; Security Officer</w:t>
      </w:r>
      <w:r w:rsidR="00923631">
        <w:t xml:space="preserve"> and </w:t>
      </w:r>
      <w:r>
        <w:t xml:space="preserve">Receptionist. </w:t>
      </w:r>
    </w:p>
    <w:p w14:paraId="4CD8B194" w14:textId="4A2E2F10" w:rsidR="001153FA" w:rsidRDefault="7F9CA066" w:rsidP="00E16D4F">
      <w:pPr>
        <w:pStyle w:val="Bodycopy"/>
      </w:pPr>
      <w:r>
        <w:t xml:space="preserve">These roles and the skills and knowledge required to fulfil them are typically not unique to the VET sector and may be fully or highly transferable from other industries. There are also fewer clear career pathways between this segment and </w:t>
      </w:r>
      <w:r w:rsidR="00CB29F6">
        <w:t>Teach, Train, and Assess</w:t>
      </w:r>
      <w:r>
        <w:t xml:space="preserve"> roles. </w:t>
      </w:r>
      <w:r w:rsidR="019DA2D9">
        <w:t>However, s</w:t>
      </w:r>
      <w:r>
        <w:t>ome roles require a higher degree of expertise in the VET system</w:t>
      </w:r>
      <w:r w:rsidR="51915D84">
        <w:t>.</w:t>
      </w:r>
      <w:r>
        <w:t xml:space="preserve"> </w:t>
      </w:r>
    </w:p>
    <w:p w14:paraId="2985944F" w14:textId="672C5DE3" w:rsidR="001153FA" w:rsidRDefault="7F9CA066" w:rsidP="00E16D4F">
      <w:pPr>
        <w:pStyle w:val="Bodycopy"/>
      </w:pPr>
      <w:r>
        <w:t xml:space="preserve">For example, enrolment or student loan support officers are </w:t>
      </w:r>
      <w:r w:rsidR="1902D1E2">
        <w:t xml:space="preserve">specialised </w:t>
      </w:r>
      <w:r>
        <w:t>administrative officers that use knowledge of the VET system and their employing RTO to respond to student enquiries, and supports students navigat</w:t>
      </w:r>
      <w:r w:rsidR="275A9EE4">
        <w:t>ing</w:t>
      </w:r>
      <w:r>
        <w:t xml:space="preserve"> processes</w:t>
      </w:r>
      <w:r w:rsidR="619F1A83">
        <w:t>, funding</w:t>
      </w:r>
      <w:r>
        <w:t xml:space="preserve"> and requirements. This role also assists students to enrol, including through digital enrolment systems</w:t>
      </w:r>
      <w:r w:rsidR="2F5BBBF5">
        <w:t xml:space="preserve">, see </w:t>
      </w:r>
      <w:hyperlink w:anchor="Figure_3_23" w:history="1">
        <w:r w:rsidR="2F5BBBF5" w:rsidRPr="00564816">
          <w:rPr>
            <w:rStyle w:val="Hyperlink"/>
          </w:rPr>
          <w:t>Figure 3.23</w:t>
        </w:r>
      </w:hyperlink>
      <w:r>
        <w:t xml:space="preserve">. Administrative officers may hold a mix of qualifications, such as a degree in Business, or have administrative experience from education or other industries. </w:t>
      </w:r>
    </w:p>
    <w:p w14:paraId="4568C4E1" w14:textId="77777777" w:rsidR="001F48A9" w:rsidRDefault="001F48A9">
      <w:pPr>
        <w:rPr>
          <w:b/>
          <w:sz w:val="20"/>
          <w:lang w:val="en-US"/>
        </w:rPr>
      </w:pPr>
      <w:r>
        <w:br w:type="page"/>
      </w:r>
    </w:p>
    <w:p w14:paraId="575DF280" w14:textId="3C87EBAB" w:rsidR="00395A2D" w:rsidRPr="00395A2D" w:rsidRDefault="6265B9BF" w:rsidP="001153FA">
      <w:pPr>
        <w:pStyle w:val="Caption"/>
      </w:pPr>
      <w:bookmarkStart w:id="177" w:name="Figure_3_23"/>
      <w:r w:rsidRPr="30ED8819">
        <w:lastRenderedPageBreak/>
        <w:t>Figure 3.23 Student</w:t>
      </w:r>
      <w:r w:rsidR="136890C7" w:rsidRPr="30ED8819">
        <w:t xml:space="preserve"> Records/Admissions/Enrolment </w:t>
      </w:r>
      <w:r w:rsidR="199380FA" w:rsidRPr="30ED8819">
        <w:t>O</w:t>
      </w:r>
      <w:r w:rsidR="136890C7" w:rsidRPr="30ED8819">
        <w:t>fficer</w:t>
      </w:r>
    </w:p>
    <w:bookmarkEnd w:id="177"/>
    <w:p w14:paraId="4C06489C" w14:textId="75FFAACE" w:rsidR="00395A2D" w:rsidRPr="00DD11E4" w:rsidRDefault="001153FA" w:rsidP="00DD11E4">
      <w:pPr>
        <w:rPr>
          <w:lang w:val="en-US"/>
        </w:rPr>
      </w:pPr>
      <w:r>
        <w:rPr>
          <w:noProof/>
        </w:rPr>
        <w:drawing>
          <wp:inline distT="0" distB="0" distL="0" distR="0" wp14:anchorId="5F783D38" wp14:editId="0FFECD05">
            <wp:extent cx="5651768" cy="5124646"/>
            <wp:effectExtent l="0" t="0" r="6350" b="0"/>
            <wp:docPr id="1157298041" name="Picture 6" descr="Figure 3.23 Student Records/Admissions/Enrolment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298041" name="Picture 6" descr="Figure 3.23 Student Records/Admissions/Enrolment Officer"/>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51768" cy="5124646"/>
                    </a:xfrm>
                    <a:prstGeom prst="rect">
                      <a:avLst/>
                    </a:prstGeom>
                    <a:solidFill>
                      <a:schemeClr val="bg1"/>
                    </a:solidFill>
                  </pic:spPr>
                </pic:pic>
              </a:graphicData>
            </a:graphic>
          </wp:inline>
        </w:drawing>
      </w:r>
    </w:p>
    <w:p w14:paraId="3F65E071" w14:textId="4D177A82" w:rsidR="00991802" w:rsidRDefault="4F15C98C" w:rsidP="0075713A">
      <w:pPr>
        <w:pStyle w:val="Bodycopy"/>
        <w:spacing w:before="360"/>
      </w:pPr>
      <w:r w:rsidRPr="0B2AA839">
        <w:rPr>
          <w:b/>
          <w:bCs/>
        </w:rPr>
        <w:t xml:space="preserve">Engagement, sales, and marketing roles </w:t>
      </w:r>
      <w:r>
        <w:t>attract and convert prospective students through print, digital and in person activities. These roles also use knowledge of the VET system and their employee RTO to respond to enquiries, and they play a role in setting incoming students’ expectations for training and future career prospects. This role may hold a degree, such as in Communications, and be able to learn about the VET sector.</w:t>
      </w:r>
    </w:p>
    <w:p w14:paraId="32C2561E" w14:textId="77777777" w:rsidR="001153FA" w:rsidRPr="007B0DC7" w:rsidRDefault="001153FA" w:rsidP="007B0DC7">
      <w:pPr>
        <w:pStyle w:val="Bodycopy"/>
      </w:pPr>
      <w:r>
        <w:br w:type="page"/>
      </w:r>
    </w:p>
    <w:p w14:paraId="1C0BC026" w14:textId="13F82C25" w:rsidR="007475A4" w:rsidRDefault="007475A4" w:rsidP="00991802">
      <w:pPr>
        <w:pStyle w:val="Heading2"/>
      </w:pPr>
      <w:bookmarkStart w:id="178" w:name="_Toc998037957"/>
      <w:bookmarkStart w:id="179" w:name="_Toc176770989"/>
      <w:r>
        <w:lastRenderedPageBreak/>
        <w:t>Conclusion</w:t>
      </w:r>
      <w:bookmarkEnd w:id="178"/>
      <w:bookmarkEnd w:id="179"/>
    </w:p>
    <w:p w14:paraId="01BAB0D9" w14:textId="66E0ED68" w:rsidR="001153FA" w:rsidRDefault="007475A4" w:rsidP="00E16D4F">
      <w:pPr>
        <w:pStyle w:val="Bodycopy"/>
      </w:pPr>
      <w:r>
        <w:t xml:space="preserve">This chapter provides a detailed overview of the roles and work tasks required to offer VET training in Australia. Among </w:t>
      </w:r>
      <w:r w:rsidR="00BB1B8C">
        <w:t>t</w:t>
      </w:r>
      <w:r>
        <w:t xml:space="preserve">eachers, </w:t>
      </w:r>
      <w:r w:rsidR="00BB1B8C">
        <w:t>t</w:t>
      </w:r>
      <w:r w:rsidR="00CA16FA">
        <w:t>rainers</w:t>
      </w:r>
      <w:r>
        <w:t xml:space="preserve"> and </w:t>
      </w:r>
      <w:r w:rsidR="00BB1B8C">
        <w:t>a</w:t>
      </w:r>
      <w:r>
        <w:t>ssessor</w:t>
      </w:r>
      <w:r w:rsidR="00BB1B8C">
        <w:t>s</w:t>
      </w:r>
      <w:r>
        <w:t>, the chapter shows that since 199</w:t>
      </w:r>
      <w:r w:rsidR="00DD11E4">
        <w:t>8</w:t>
      </w:r>
      <w:r>
        <w:t xml:space="preserve"> the Certificate IV TAE has become a baseline qualification, including in many instances where it is not required, such as for </w:t>
      </w:r>
      <w:r w:rsidR="00BB1B8C">
        <w:t>a</w:t>
      </w:r>
      <w:r w:rsidR="00CA16FA">
        <w:t>ssessors</w:t>
      </w:r>
      <w:r>
        <w:t xml:space="preserve">. This segment is complicated, however, by the wide range of fields that are taught in VET, which often require industry qualifications, or specialised educational skills. </w:t>
      </w:r>
    </w:p>
    <w:p w14:paraId="09D730C0" w14:textId="2B3A42CA" w:rsidR="007475A4" w:rsidRDefault="007475A4" w:rsidP="00E16D4F">
      <w:pPr>
        <w:pStyle w:val="Bodycopy"/>
      </w:pPr>
      <w:r>
        <w:t xml:space="preserve">Most of the training for these roles is provided within VET itself, with the higher education sector’s role small and declining. To date, migration pathways </w:t>
      </w:r>
      <w:r w:rsidR="00BD7721">
        <w:t>provide limited inflow to</w:t>
      </w:r>
      <w:r>
        <w:t xml:space="preserve"> the VET workforce</w:t>
      </w:r>
      <w:r w:rsidR="00CF01AC">
        <w:t>,</w:t>
      </w:r>
      <w:r>
        <w:t xml:space="preserve"> especially in recent years. </w:t>
      </w:r>
      <w:r w:rsidR="00BD7721">
        <w:t>T</w:t>
      </w:r>
      <w:r w:rsidR="00166CA7">
        <w:t>here remains mixed views on the purpose and suitability of t</w:t>
      </w:r>
      <w:r>
        <w:t>he Certificate IV TAE</w:t>
      </w:r>
      <w:r w:rsidR="00166CA7">
        <w:t xml:space="preserve">. </w:t>
      </w:r>
      <w:r w:rsidR="00D70DC4">
        <w:t>Some stakeholders remain concerned it</w:t>
      </w:r>
      <w:r>
        <w:t xml:space="preserve"> may not offer adequate training in </w:t>
      </w:r>
      <w:r w:rsidR="001F48A9">
        <w:t>andragogy</w:t>
      </w:r>
      <w:r w:rsidR="00584FC2" w:rsidRPr="00584FC2">
        <w:t xml:space="preserve"> </w:t>
      </w:r>
      <w:r>
        <w:t>for some working in the field, while o</w:t>
      </w:r>
      <w:r w:rsidR="000E7534">
        <w:t>thers consider</w:t>
      </w:r>
      <w:r>
        <w:t xml:space="preserve"> </w:t>
      </w:r>
      <w:r w:rsidR="00CF01AC">
        <w:t xml:space="preserve">the qualification </w:t>
      </w:r>
      <w:r>
        <w:t>demand</w:t>
      </w:r>
      <w:r w:rsidR="00CF01AC">
        <w:t>s</w:t>
      </w:r>
      <w:r>
        <w:t xml:space="preserve"> more time than necessary for people moving from industry into VET teaching and assessment. The former </w:t>
      </w:r>
      <w:r w:rsidR="00BD7721">
        <w:t xml:space="preserve">issue </w:t>
      </w:r>
      <w:r>
        <w:t xml:space="preserve">is at least partly resolved by the existence of higher-level VET teaching qualifications across VET and higher education that provide more extensive training in </w:t>
      </w:r>
      <w:r w:rsidR="001F48A9">
        <w:t>andragogy</w:t>
      </w:r>
      <w:r w:rsidR="00584FC2" w:rsidRPr="00584FC2">
        <w:t xml:space="preserve"> </w:t>
      </w:r>
      <w:r>
        <w:t xml:space="preserve">for those who deem it necessary for their roles. </w:t>
      </w:r>
    </w:p>
    <w:p w14:paraId="1F75D90B" w14:textId="0B7F0CBF" w:rsidR="007475A4" w:rsidRDefault="007475A4" w:rsidP="00E16D4F">
      <w:pPr>
        <w:pStyle w:val="Bodycopy"/>
      </w:pPr>
      <w:r>
        <w:t xml:space="preserve">Delivery of VET also requires workers who ensure quality and compliance due to the regulatory demands of the RTO </w:t>
      </w:r>
      <w:r w:rsidR="00CF64AE">
        <w:t>S</w:t>
      </w:r>
      <w:r>
        <w:t xml:space="preserve">tandards; support curriculum and learning design </w:t>
      </w:r>
      <w:r w:rsidR="0000395E">
        <w:t>–</w:t>
      </w:r>
      <w:r w:rsidR="00856943">
        <w:t xml:space="preserve"> </w:t>
      </w:r>
      <w:r>
        <w:t xml:space="preserve">including for the increasing portion of VET delivered in blended modes and in a growing minority of cases, fully online. Qualifications for workers performing these roles are highly variable. Skills are developed via non-accredited or accredited courses and via prior work experience in regulation, compliance, or instructional design. Likewise for learning support roles. </w:t>
      </w:r>
    </w:p>
    <w:p w14:paraId="071443AE" w14:textId="1A705F55" w:rsidR="00991802" w:rsidRDefault="007475A4" w:rsidP="00E16D4F">
      <w:pPr>
        <w:pStyle w:val="Bodycopy"/>
      </w:pPr>
      <w:r>
        <w:t xml:space="preserve">VET staff also perform administration for the operations of public and private RTOs, which does not demand skills vastly different to similar roles in organisations outside of VET. On the other hand, VET leadership typically relies on sector knowledge and experience. There is considerable diversity in the responsibilities demanded in leadership roles. Those holding leadership positions have typically completed a higher level of education than others in VET, though these qualifications, and a general lack of support, may not be preparing people providing leadership as adequately as is desirable.   </w:t>
      </w:r>
    </w:p>
    <w:p w14:paraId="6405EFD5" w14:textId="77777777" w:rsidR="00991802" w:rsidRDefault="00991802">
      <w:r>
        <w:br w:type="page"/>
      </w:r>
    </w:p>
    <w:p w14:paraId="10D9D5F4" w14:textId="4DF39F16" w:rsidR="00386683" w:rsidRDefault="00386683" w:rsidP="00386955">
      <w:pPr>
        <w:pStyle w:val="Heading1"/>
        <w:numPr>
          <w:ilvl w:val="0"/>
          <w:numId w:val="7"/>
        </w:numPr>
      </w:pPr>
      <w:bookmarkStart w:id="180" w:name="_Toc783520212"/>
      <w:bookmarkStart w:id="181" w:name="_Toc188403789"/>
      <w:bookmarkStart w:id="182" w:name="_Toc1623261119"/>
      <w:bookmarkStart w:id="183" w:name="_Toc1108061451"/>
      <w:bookmarkStart w:id="184" w:name="_Toc176770990"/>
      <w:r>
        <w:lastRenderedPageBreak/>
        <w:t xml:space="preserve">Workforce </w:t>
      </w:r>
      <w:r w:rsidR="00675BA2">
        <w:t>d</w:t>
      </w:r>
      <w:r>
        <w:t xml:space="preserve">emand and </w:t>
      </w:r>
      <w:r w:rsidR="00675BA2">
        <w:t>s</w:t>
      </w:r>
      <w:r>
        <w:t xml:space="preserve">upply </w:t>
      </w:r>
      <w:r w:rsidR="00675BA2">
        <w:t>p</w:t>
      </w:r>
      <w:r>
        <w:t>ipelines</w:t>
      </w:r>
      <w:bookmarkEnd w:id="180"/>
      <w:bookmarkEnd w:id="181"/>
      <w:bookmarkEnd w:id="182"/>
      <w:bookmarkEnd w:id="183"/>
      <w:bookmarkEnd w:id="184"/>
    </w:p>
    <w:p w14:paraId="7C942DB7" w14:textId="515F3E8D" w:rsidR="00557B66" w:rsidRDefault="3B9DAA52" w:rsidP="00E16D4F">
      <w:pPr>
        <w:pStyle w:val="Bodycopy"/>
      </w:pPr>
      <w:r>
        <w:t xml:space="preserve">This chapter explores the current and future workforce needs of the VET sector. We analyse a range of sources including employment projections to show future demand, employer survey data on recruitment difficulties in the sector and whether the training pipeline will supply adequate </w:t>
      </w:r>
      <w:r w:rsidR="00CC6D50">
        <w:t>VET teachers</w:t>
      </w:r>
      <w:r>
        <w:t xml:space="preserve">, trainers, and assessors to meet current skills gaps. We also explore student outcomes survey data and real-world occupation transitions in, out and within the VET workforce to give insights on retention and attraction issues. </w:t>
      </w:r>
    </w:p>
    <w:p w14:paraId="0FF1A173" w14:textId="436B0B10" w:rsidR="00386683" w:rsidRDefault="3B9DAA52" w:rsidP="00E16D4F">
      <w:pPr>
        <w:pStyle w:val="Bodycopy"/>
      </w:pPr>
      <w:r>
        <w:t>The VET teaching credentials are explored in this discussion as well as other structural issues affecting the sector such as the NSA. As noted throughout the report, the NSA will shape workforce demand and supply in target industry areas and Government funded VET for the next 5 years. This chapter explores:</w:t>
      </w:r>
    </w:p>
    <w:p w14:paraId="43CB67E8" w14:textId="77777777" w:rsidR="00386683" w:rsidRPr="005D4A33" w:rsidRDefault="00386683" w:rsidP="00D04786">
      <w:pPr>
        <w:pStyle w:val="ListBullet"/>
      </w:pPr>
      <w:r w:rsidRPr="005D4A33">
        <w:t>What is the expected future and current demand for the VET workforce and is it heightened for teaching, training and assessing roles?</w:t>
      </w:r>
    </w:p>
    <w:p w14:paraId="6D5E12C9" w14:textId="77777777" w:rsidR="00386683" w:rsidRPr="005D4A33" w:rsidRDefault="00386683" w:rsidP="00D04786">
      <w:pPr>
        <w:pStyle w:val="ListBullet"/>
      </w:pPr>
      <w:r w:rsidRPr="005D4A33">
        <w:t>Are there existing skills shortages and do we have the supply of workers and skills to meet future demand?</w:t>
      </w:r>
    </w:p>
    <w:p w14:paraId="4D038B40" w14:textId="77777777" w:rsidR="00386683" w:rsidRPr="005D4A33" w:rsidRDefault="00386683" w:rsidP="00D04786">
      <w:pPr>
        <w:pStyle w:val="ListBullet"/>
      </w:pPr>
      <w:r w:rsidRPr="005D4A33">
        <w:t xml:space="preserve">What are the training motivations, satisfaction levels and occupational outcomes for graduates of VET teaching qualifications? </w:t>
      </w:r>
    </w:p>
    <w:p w14:paraId="1C01F530" w14:textId="77777777" w:rsidR="00386683" w:rsidRPr="005D4A33" w:rsidRDefault="00386683" w:rsidP="00D04786">
      <w:pPr>
        <w:pStyle w:val="ListBullet"/>
      </w:pPr>
      <w:r w:rsidRPr="005D4A33">
        <w:t>What does this say about the suitability of the main training packages for a changing and diverse VET sector?</w:t>
      </w:r>
    </w:p>
    <w:p w14:paraId="1227EB3C" w14:textId="77777777" w:rsidR="00386683" w:rsidRPr="005D4A33" w:rsidRDefault="00386683" w:rsidP="00D04786">
      <w:pPr>
        <w:pStyle w:val="ListBullet"/>
      </w:pPr>
      <w:r w:rsidRPr="005D4A33">
        <w:t xml:space="preserve">What does the future VET workforce look like demographically based on the training pipeline? </w:t>
      </w:r>
    </w:p>
    <w:p w14:paraId="20782A80" w14:textId="0C3A6A22" w:rsidR="00386683" w:rsidRPr="005D4A33" w:rsidRDefault="3B9DAA52" w:rsidP="00D04786">
      <w:pPr>
        <w:pStyle w:val="ListBullet"/>
      </w:pPr>
      <w:r w:rsidRPr="005D4A33">
        <w:t xml:space="preserve">What are the most common real-world occupational transitions in and out of the VET teaching profession? What does this say mean for pay, retention and attraction issues for those flowing in and out of the VET teaching occupation? </w:t>
      </w:r>
    </w:p>
    <w:p w14:paraId="3D0331D7" w14:textId="77777777" w:rsidR="00386683" w:rsidRDefault="00386683" w:rsidP="00386683">
      <w:pPr>
        <w:pStyle w:val="Heading2"/>
      </w:pPr>
      <w:bookmarkStart w:id="185" w:name="_Toc150340168"/>
      <w:bookmarkStart w:id="186" w:name="_Toc1426636039"/>
      <w:bookmarkStart w:id="187" w:name="_Toc535272785"/>
      <w:bookmarkStart w:id="188" w:name="_Toc312205314"/>
      <w:bookmarkStart w:id="189" w:name="_Toc345440629"/>
      <w:bookmarkStart w:id="190" w:name="_Toc176770991"/>
      <w:r>
        <w:t xml:space="preserve">Workforce </w:t>
      </w:r>
      <w:bookmarkEnd w:id="185"/>
      <w:bookmarkEnd w:id="186"/>
      <w:bookmarkEnd w:id="187"/>
      <w:r>
        <w:t>demand and supply</w:t>
      </w:r>
      <w:bookmarkEnd w:id="188"/>
      <w:bookmarkEnd w:id="189"/>
      <w:bookmarkEnd w:id="190"/>
    </w:p>
    <w:p w14:paraId="3E9BC791" w14:textId="506E2FF1" w:rsidR="00386683" w:rsidRDefault="00386683" w:rsidP="00202C3A">
      <w:pPr>
        <w:pStyle w:val="Bodycopy"/>
      </w:pPr>
      <w:r w:rsidRPr="35096ADF">
        <w:t xml:space="preserve">The labour market is important as a guide to the VET sector on current and future skills needs. Demand for VET </w:t>
      </w:r>
      <w:r>
        <w:t>graduates</w:t>
      </w:r>
      <w:r w:rsidRPr="35096ADF">
        <w:t xml:space="preserve"> across the economy is expected to be high. According to projections produced by Victoria University for JSA, around 44% of new jobs expected to be created over the next 10 years have VET as the primary pathway.</w:t>
      </w:r>
      <w:r w:rsidR="007D5E10">
        <w:rPr>
          <w:rStyle w:val="EndnoteReference"/>
        </w:rPr>
        <w:endnoteReference w:id="69"/>
      </w:r>
      <w:r w:rsidRPr="35096ADF">
        <w:t xml:space="preserve"> </w:t>
      </w:r>
    </w:p>
    <w:p w14:paraId="1743F92D" w14:textId="18880C70" w:rsidR="00DB6EC4" w:rsidRPr="00724924" w:rsidRDefault="00386683" w:rsidP="00724924">
      <w:pPr>
        <w:pStyle w:val="Bodycopy"/>
      </w:pPr>
      <w:r w:rsidRPr="35096ADF">
        <w:t>Labour market demand is particularly important in relation to trade occupations and highly regulated industries such as electrotechnology which have historically seen an above-average match between the intended occupation of the training and the post-training occupation outcome</w:t>
      </w:r>
      <w:r w:rsidR="00DB6EC4">
        <w:t xml:space="preserve">. </w:t>
      </w:r>
      <w:r w:rsidRPr="35096ADF">
        <w:t>As one example, J</w:t>
      </w:r>
      <w:r w:rsidR="00052446">
        <w:t>SA</w:t>
      </w:r>
      <w:r w:rsidRPr="35096ADF">
        <w:t>’s Clean Energy Capacity Study found that Australia will likely need 32,000 more electricians in the next seven years:</w:t>
      </w:r>
      <w:r w:rsidR="00DB6EC4">
        <w:rPr>
          <w:rFonts w:eastAsia="Arial" w:cs="Arial"/>
        </w:rPr>
        <w:br w:type="page"/>
      </w:r>
    </w:p>
    <w:p w14:paraId="0700ED62" w14:textId="61FC4683" w:rsidR="00AD19D2" w:rsidRPr="00E56E12" w:rsidRDefault="00386683" w:rsidP="00E56E12">
      <w:pPr>
        <w:pStyle w:val="Quote"/>
      </w:pPr>
      <w:r w:rsidRPr="00E56E12">
        <w:lastRenderedPageBreak/>
        <w:t xml:space="preserve">Rapid growth of electricians will require rapid growth of VET trainers. </w:t>
      </w:r>
      <w:r w:rsidR="002C0909" w:rsidRPr="00E56E12">
        <w:br/>
      </w:r>
      <w:r w:rsidRPr="00E56E12">
        <w:t xml:space="preserve">Without addressing the capacity of the VET system, Australia will not </w:t>
      </w:r>
      <w:r w:rsidR="002C0909" w:rsidRPr="00E56E12">
        <w:br/>
      </w:r>
      <w:r w:rsidRPr="00E56E12">
        <w:t>be able deliver the workforce it needs.</w:t>
      </w:r>
      <w:r w:rsidR="002B0248">
        <w:rPr>
          <w:rStyle w:val="EndnoteReference"/>
        </w:rPr>
        <w:endnoteReference w:id="70"/>
      </w:r>
    </w:p>
    <w:p w14:paraId="67851503" w14:textId="01D5A1CA" w:rsidR="00386683" w:rsidRDefault="3B9DAA52" w:rsidP="00E16D4F">
      <w:pPr>
        <w:pStyle w:val="Bodycopy"/>
      </w:pPr>
      <w:r w:rsidRPr="3EA8C90E">
        <w:t xml:space="preserve">In addition to demand-side labour market shifts, changes in the labour market can also impact the supply-side. For industry practitioners considering a </w:t>
      </w:r>
      <w:r w:rsidR="31C243F9" w:rsidRPr="3EA8C90E">
        <w:t xml:space="preserve">movement </w:t>
      </w:r>
      <w:r w:rsidRPr="3EA8C90E">
        <w:t xml:space="preserve">into the VET workforce, changes in the relative rates of remuneration between a VET teacher, trainer and assessor and their current role is generally an important consideration. As noted in </w:t>
      </w:r>
      <w:r w:rsidR="00052446">
        <w:t>C</w:t>
      </w:r>
      <w:r w:rsidRPr="3EA8C90E">
        <w:t xml:space="preserve">hapter </w:t>
      </w:r>
      <w:r w:rsidR="56B7BB71" w:rsidRPr="3EA8C90E">
        <w:t xml:space="preserve">1 </w:t>
      </w:r>
      <w:r w:rsidRPr="3EA8C90E">
        <w:t xml:space="preserve">there is </w:t>
      </w:r>
      <w:r w:rsidR="32C34895" w:rsidRPr="3EA8C90E">
        <w:t xml:space="preserve">a </w:t>
      </w:r>
      <w:r w:rsidRPr="3EA8C90E">
        <w:t xml:space="preserve">strong alignment between high enrolment qualifications and occupations rated in shortage on the 2023 </w:t>
      </w:r>
      <w:r w:rsidR="002C0909" w:rsidRPr="002C0909">
        <w:t>Skills Priority List (SPL)</w:t>
      </w:r>
      <w:r w:rsidRPr="3EA8C90E">
        <w:t xml:space="preserve">. This demonstrates that the VET workforce is competing with industry for a limited supply of vocationally skilled workers.  </w:t>
      </w:r>
    </w:p>
    <w:p w14:paraId="7783F21F" w14:textId="77777777" w:rsidR="00386683" w:rsidRDefault="00386683" w:rsidP="00386683">
      <w:pPr>
        <w:pStyle w:val="Heading3"/>
      </w:pPr>
      <w:bookmarkStart w:id="191" w:name="_Toc1283913734"/>
      <w:r>
        <w:t>Demand</w:t>
      </w:r>
      <w:bookmarkEnd w:id="191"/>
    </w:p>
    <w:p w14:paraId="1BEC8DE5" w14:textId="77777777" w:rsidR="00386683" w:rsidRPr="00AD19D2" w:rsidRDefault="00386683" w:rsidP="00E16D4F">
      <w:pPr>
        <w:pStyle w:val="Bodycopy"/>
      </w:pPr>
      <w:r w:rsidRPr="00AD19D2">
        <w:t>Employment projections produced by Victoria University for JSA indicate that VET teacher employment is projected to grow by 12% (or 3,800) in the next five years and by 21% (or 6,900) over the next decade. This projected growth exceeds the employment projections for:</w:t>
      </w:r>
    </w:p>
    <w:p w14:paraId="5D0C3CC4" w14:textId="77777777" w:rsidR="00386683" w:rsidRPr="00AD19D2" w:rsidRDefault="00386683" w:rsidP="00D04786">
      <w:pPr>
        <w:pStyle w:val="ListBullet"/>
      </w:pPr>
      <w:r w:rsidRPr="00AD19D2">
        <w:t xml:space="preserve">All education professionals: 8% over five years, 14% over ten years; </w:t>
      </w:r>
    </w:p>
    <w:p w14:paraId="1C404073" w14:textId="4BC6A2AB" w:rsidR="00386683" w:rsidRPr="00AD19D2" w:rsidRDefault="00386683" w:rsidP="00D04786">
      <w:pPr>
        <w:pStyle w:val="ListBullet"/>
      </w:pPr>
      <w:r w:rsidRPr="00AD19D2">
        <w:t xml:space="preserve">All occupations: 7% over five years, 14% over ten years; and is very similar to </w:t>
      </w:r>
      <w:r w:rsidR="00311970" w:rsidRPr="00AD19D2">
        <w:t>a</w:t>
      </w:r>
      <w:r w:rsidRPr="00AD19D2">
        <w:t>ll employment in the tertiary education industry</w:t>
      </w:r>
      <w:r w:rsidR="00311970" w:rsidRPr="00AD19D2">
        <w:t xml:space="preserve"> at</w:t>
      </w:r>
      <w:r w:rsidRPr="00AD19D2">
        <w:t xml:space="preserve"> 13% over five years, 23% over ten years.</w:t>
      </w:r>
      <w:r w:rsidR="002B0248">
        <w:rPr>
          <w:rStyle w:val="EndnoteReference"/>
        </w:rPr>
        <w:endnoteReference w:id="71"/>
      </w:r>
    </w:p>
    <w:p w14:paraId="67F54581" w14:textId="5453ECD4" w:rsidR="00386683" w:rsidRPr="00AD19D2" w:rsidRDefault="00386683" w:rsidP="00E16D4F">
      <w:pPr>
        <w:pStyle w:val="Bodycopy"/>
      </w:pPr>
      <w:r w:rsidRPr="00AD19D2">
        <w:t>Notably, these projections were made prior to the signing of the NSA to be in effect for five years from 1 January 2024. This agreement will provide an additional 300,000 fee-free TAFE places over three years from 2024 and includes an extra $2.4 billion in flexible funding to support state and territories to deliver national priorities while preserving flexibility for jurisdictions to align local skills supply with demand. For example, the QLD State Government invested $87.5 million in the Diploma of Nursing at the Sunshine Coast Healthy Institute to support the workforce demand for nurses due to the projected industry growth in health care in the Sunshine Coast region.</w:t>
      </w:r>
      <w:r w:rsidR="002B0248">
        <w:rPr>
          <w:rStyle w:val="EndnoteReference"/>
        </w:rPr>
        <w:endnoteReference w:id="72"/>
      </w:r>
    </w:p>
    <w:p w14:paraId="47785BE0" w14:textId="25183665" w:rsidR="00386683" w:rsidRPr="00AD19D2" w:rsidRDefault="00386683" w:rsidP="00E16D4F">
      <w:pPr>
        <w:pStyle w:val="Bodycopy"/>
      </w:pPr>
      <w:r w:rsidRPr="00AD19D2">
        <w:t>Existing Fee-Free TAFE initiatives prior to the NSA would have already had some impact on demand</w:t>
      </w:r>
      <w:r w:rsidR="00B1105B" w:rsidRPr="00AD19D2">
        <w:t>,</w:t>
      </w:r>
      <w:r w:rsidRPr="00AD19D2">
        <w:t xml:space="preserve"> and the focus on priority groups in these programs also has workforce implications.</w:t>
      </w:r>
      <w:r w:rsidR="002C0909">
        <w:t xml:space="preserve"> </w:t>
      </w:r>
      <w:r w:rsidRPr="00AD19D2">
        <w:t xml:space="preserve">Where uptake of training by priority groups increases, workforce implications may include increased demand for </w:t>
      </w:r>
      <w:r w:rsidR="00117D1C">
        <w:t>andragogy</w:t>
      </w:r>
      <w:r w:rsidR="00117D1C" w:rsidRPr="00AD19D2">
        <w:t xml:space="preserve"> </w:t>
      </w:r>
      <w:r w:rsidRPr="00AD19D2">
        <w:t>skills in delivering effective training and assessment for these cohorts</w:t>
      </w:r>
      <w:r w:rsidR="00034406" w:rsidRPr="00AD19D2">
        <w:t>,</w:t>
      </w:r>
      <w:r w:rsidRPr="00AD19D2">
        <w:t xml:space="preserve"> and for a workforce capable of providing additional wrap-around supports. This may particularly be the case if change is concentrated in a particular segment of the market, e.g. certain provider types or certain qualifications.</w:t>
      </w:r>
    </w:p>
    <w:p w14:paraId="6F697D6F" w14:textId="2CDB7091" w:rsidR="00386683" w:rsidRPr="00AD19D2" w:rsidRDefault="00386683" w:rsidP="00E16D4F">
      <w:pPr>
        <w:pStyle w:val="Bodycopy"/>
      </w:pPr>
      <w:r w:rsidRPr="00AD19D2">
        <w:t>There will always be a degree of uncertainty in projecting areas of increased demand for training. However, the national priorities identified in the NSA and the key forces expected to shape the economy and labour market identified in the Employment White Paper indicate that VET will be key</w:t>
      </w:r>
      <w:r w:rsidR="00D50ED9" w:rsidRPr="00AD19D2">
        <w:t xml:space="preserve">, see </w:t>
      </w:r>
      <w:hyperlink w:anchor="Figure_4_1" w:history="1">
        <w:r w:rsidR="00D50ED9" w:rsidRPr="00564816">
          <w:rPr>
            <w:rStyle w:val="Hyperlink"/>
          </w:rPr>
          <w:t>Figure 4.1</w:t>
        </w:r>
      </w:hyperlink>
      <w:r w:rsidRPr="00AD19D2">
        <w:t>. For the VET workforce, this means teachers for early childhood, aged care, nursing, agriculture, horticulture, permaculture and animal care; information technology potentially with a focus on cybersecurity; and building and engineering trades with an emphasis on electrotechnology for the net zero trans</w:t>
      </w:r>
      <w:r w:rsidR="00DF4BCC" w:rsidRPr="00AD19D2">
        <w:t>formation</w:t>
      </w:r>
      <w:r w:rsidRPr="00AD19D2">
        <w:t xml:space="preserve">. </w:t>
      </w:r>
    </w:p>
    <w:p w14:paraId="1B47CD5C" w14:textId="18B554E8" w:rsidR="00386683" w:rsidRDefault="00386683" w:rsidP="00F77D4F">
      <w:pPr>
        <w:pStyle w:val="Caption"/>
        <w:spacing w:after="240"/>
      </w:pPr>
      <w:bookmarkStart w:id="192" w:name="Figure_4_1"/>
      <w:r w:rsidRPr="00E2713F">
        <w:lastRenderedPageBreak/>
        <w:t xml:space="preserve">Figure </w:t>
      </w:r>
      <w:r w:rsidR="006558DC">
        <w:fldChar w:fldCharType="begin"/>
      </w:r>
      <w:r w:rsidR="006558DC">
        <w:instrText xml:space="preserve"> STYLEREF 1 \s </w:instrText>
      </w:r>
      <w:r w:rsidR="006558DC">
        <w:fldChar w:fldCharType="separate"/>
      </w:r>
      <w:r w:rsidR="00E7704E">
        <w:rPr>
          <w:noProof/>
        </w:rPr>
        <w:t>4</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1</w:t>
      </w:r>
      <w:r w:rsidR="006558DC">
        <w:fldChar w:fldCharType="end"/>
      </w:r>
      <w:r>
        <w:fldChar w:fldCharType="begin"/>
      </w:r>
      <w:r w:rsidR="006730A7">
        <w:fldChar w:fldCharType="separate"/>
      </w:r>
      <w:r>
        <w:fldChar w:fldCharType="end"/>
      </w:r>
      <w:r w:rsidRPr="00E2713F">
        <w:t xml:space="preserve"> Key national workforce priorities </w:t>
      </w:r>
    </w:p>
    <w:tbl>
      <w:tblPr>
        <w:tblStyle w:val="JSATable1"/>
        <w:tblW w:w="8902" w:type="dxa"/>
        <w:tblBorders>
          <w:bottom w:val="none" w:sz="0" w:space="0" w:color="auto"/>
          <w:insideH w:val="single" w:sz="18" w:space="0" w:color="FFFFFF" w:themeColor="background1"/>
          <w:insideV w:val="single" w:sz="18" w:space="0" w:color="FFFFFF" w:themeColor="background1"/>
        </w:tblBorders>
        <w:tblLook w:val="04A0" w:firstRow="1" w:lastRow="0" w:firstColumn="1" w:lastColumn="0" w:noHBand="0" w:noVBand="1"/>
        <w:tblCaption w:val="Figure 4:1"/>
        <w:tblDescription w:val="Key national workforce priorities "/>
      </w:tblPr>
      <w:tblGrid>
        <w:gridCol w:w="4452"/>
        <w:gridCol w:w="4450"/>
      </w:tblGrid>
      <w:tr w:rsidR="008A535E" w14:paraId="75FA5F95" w14:textId="77777777" w:rsidTr="00601F84">
        <w:trPr>
          <w:cnfStyle w:val="100000000000" w:firstRow="1" w:lastRow="0" w:firstColumn="0" w:lastColumn="0" w:oddVBand="0" w:evenVBand="0" w:oddHBand="0" w:evenHBand="0" w:firstRowFirstColumn="0" w:firstRowLastColumn="0" w:lastRowFirstColumn="0" w:lastRowLastColumn="0"/>
          <w:trHeight w:val="964"/>
        </w:trPr>
        <w:tc>
          <w:tcPr>
            <w:cnfStyle w:val="001000000100" w:firstRow="0" w:lastRow="0" w:firstColumn="1" w:lastColumn="0" w:oddVBand="0" w:evenVBand="0" w:oddHBand="0" w:evenHBand="0" w:firstRowFirstColumn="1" w:firstRowLastColumn="0" w:lastRowFirstColumn="0" w:lastRowLastColumn="0"/>
            <w:tcW w:w="4558" w:type="dxa"/>
            <w:vAlign w:val="center"/>
          </w:tcPr>
          <w:bookmarkEnd w:id="192"/>
          <w:p w14:paraId="69E3B889" w14:textId="20EE95C0" w:rsidR="008A535E" w:rsidRDefault="008A535E" w:rsidP="00CD05ED">
            <w:pPr>
              <w:pStyle w:val="Tableheader"/>
            </w:pPr>
            <w:r w:rsidRPr="008A535E">
              <w:t xml:space="preserve">National Skills Agreement </w:t>
            </w:r>
            <w:r w:rsidR="00CD05ED">
              <w:br/>
            </w:r>
            <w:r w:rsidRPr="008A535E">
              <w:t>– National Priorities</w:t>
            </w:r>
          </w:p>
        </w:tc>
        <w:tc>
          <w:tcPr>
            <w:tcW w:w="4558" w:type="dxa"/>
            <w:vAlign w:val="center"/>
          </w:tcPr>
          <w:p w14:paraId="602B3E1A" w14:textId="7BF39A39" w:rsidR="008A535E" w:rsidRPr="008A535E" w:rsidRDefault="008A535E" w:rsidP="00CD05ED">
            <w:pPr>
              <w:pStyle w:val="Tableheader"/>
              <w:cnfStyle w:val="100000000000" w:firstRow="1" w:lastRow="0" w:firstColumn="0" w:lastColumn="0" w:oddVBand="0" w:evenVBand="0" w:oddHBand="0" w:evenHBand="0" w:firstRowFirstColumn="0" w:firstRowLastColumn="0" w:lastRowFirstColumn="0" w:lastRowLastColumn="0"/>
              <w:rPr>
                <w:lang w:val="en-AU"/>
              </w:rPr>
            </w:pPr>
            <w:r w:rsidRPr="008A535E">
              <w:rPr>
                <w:lang w:val="en-AU"/>
              </w:rPr>
              <w:t xml:space="preserve">Employment White Paper </w:t>
            </w:r>
            <w:r w:rsidR="00CD05ED">
              <w:rPr>
                <w:lang w:val="en-AU"/>
              </w:rPr>
              <w:br/>
            </w:r>
            <w:r w:rsidRPr="008A535E">
              <w:rPr>
                <w:lang w:val="en-AU"/>
              </w:rPr>
              <w:t>– Key transformations</w:t>
            </w:r>
          </w:p>
        </w:tc>
      </w:tr>
      <w:tr w:rsidR="008A535E" w14:paraId="37017512" w14:textId="77777777" w:rsidTr="00601F84">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4558" w:type="dxa"/>
            <w:shd w:val="clear" w:color="auto" w:fill="4B0985"/>
            <w:vAlign w:val="center"/>
          </w:tcPr>
          <w:p w14:paraId="2131C5CD" w14:textId="18F47DF8" w:rsidR="008A535E" w:rsidRPr="00CD05ED" w:rsidRDefault="008A535E" w:rsidP="00CD05ED">
            <w:pPr>
              <w:pStyle w:val="Tablebodycopy"/>
              <w:jc w:val="center"/>
              <w:rPr>
                <w:color w:val="FFFFFF" w:themeColor="background1"/>
              </w:rPr>
            </w:pPr>
            <w:r w:rsidRPr="00CD05ED">
              <w:rPr>
                <w:color w:val="FFFFFF" w:themeColor="background1"/>
              </w:rPr>
              <w:t xml:space="preserve">Climate change and the net </w:t>
            </w:r>
            <w:r w:rsidR="00202C3A">
              <w:rPr>
                <w:color w:val="FFFFFF" w:themeColor="background1"/>
              </w:rPr>
              <w:br/>
            </w:r>
            <w:r w:rsidRPr="00CD05ED">
              <w:rPr>
                <w:color w:val="FFFFFF" w:themeColor="background1"/>
              </w:rPr>
              <w:t>zero transformation</w:t>
            </w:r>
          </w:p>
        </w:tc>
        <w:tc>
          <w:tcPr>
            <w:tcW w:w="4558" w:type="dxa"/>
            <w:shd w:val="clear" w:color="auto" w:fill="4B0985"/>
            <w:vAlign w:val="center"/>
          </w:tcPr>
          <w:p w14:paraId="0D7E07E4" w14:textId="350B4622" w:rsidR="008A535E" w:rsidRPr="00CD05ED" w:rsidRDefault="00CD05ED" w:rsidP="00CD05ED">
            <w:pPr>
              <w:pStyle w:val="Tablebodycopy"/>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D05ED">
              <w:rPr>
                <w:color w:val="FFFFFF" w:themeColor="background1"/>
              </w:rPr>
              <w:t>Supporting the net zero transformation</w:t>
            </w:r>
          </w:p>
        </w:tc>
      </w:tr>
      <w:tr w:rsidR="008A535E" w14:paraId="7C9069F4" w14:textId="77777777" w:rsidTr="00601F84">
        <w:trPr>
          <w:cnfStyle w:val="000000010000" w:firstRow="0" w:lastRow="0" w:firstColumn="0" w:lastColumn="0" w:oddVBand="0" w:evenVBand="0" w:oddHBand="0" w:evenHBand="1"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4558" w:type="dxa"/>
            <w:shd w:val="clear" w:color="auto" w:fill="4B0985"/>
            <w:vAlign w:val="center"/>
          </w:tcPr>
          <w:p w14:paraId="4DF4F2B4" w14:textId="6A4D2E1E" w:rsidR="008A535E" w:rsidRPr="00CD05ED" w:rsidRDefault="00CD05ED" w:rsidP="00CD05ED">
            <w:pPr>
              <w:pStyle w:val="Tablebodycopy"/>
              <w:jc w:val="center"/>
              <w:rPr>
                <w:color w:val="FFFFFF" w:themeColor="background1"/>
              </w:rPr>
            </w:pPr>
            <w:r w:rsidRPr="00CD05ED">
              <w:rPr>
                <w:color w:val="FFFFFF" w:themeColor="background1"/>
              </w:rPr>
              <w:t xml:space="preserve">Population ageing / rising demand for </w:t>
            </w:r>
            <w:r>
              <w:rPr>
                <w:color w:val="FFFFFF" w:themeColor="background1"/>
              </w:rPr>
              <w:br/>
            </w:r>
            <w:r w:rsidRPr="00CD05ED">
              <w:rPr>
                <w:color w:val="FFFFFF" w:themeColor="background1"/>
              </w:rPr>
              <w:t>quality care and support services</w:t>
            </w:r>
          </w:p>
        </w:tc>
        <w:tc>
          <w:tcPr>
            <w:tcW w:w="4558" w:type="dxa"/>
            <w:shd w:val="clear" w:color="auto" w:fill="4B0985"/>
            <w:vAlign w:val="center"/>
          </w:tcPr>
          <w:p w14:paraId="490FC1F3" w14:textId="522AAC57" w:rsidR="008A535E" w:rsidRPr="00CD05ED" w:rsidRDefault="00CD05ED" w:rsidP="00CD05ED">
            <w:pPr>
              <w:pStyle w:val="Tablebodycopy"/>
              <w:jc w:val="center"/>
              <w:cnfStyle w:val="000000010000" w:firstRow="0" w:lastRow="0" w:firstColumn="0" w:lastColumn="0" w:oddVBand="0" w:evenVBand="0" w:oddHBand="0" w:evenHBand="1" w:firstRowFirstColumn="0" w:firstRowLastColumn="0" w:lastRowFirstColumn="0" w:lastRowLastColumn="0"/>
              <w:rPr>
                <w:color w:val="FFFFFF" w:themeColor="background1"/>
              </w:rPr>
            </w:pPr>
            <w:r w:rsidRPr="00CD05ED">
              <w:rPr>
                <w:color w:val="FFFFFF" w:themeColor="background1"/>
              </w:rPr>
              <w:t>Sustaining essential care services</w:t>
            </w:r>
          </w:p>
        </w:tc>
      </w:tr>
      <w:tr w:rsidR="008A535E" w14:paraId="09C5891E" w14:textId="77777777" w:rsidTr="00601F84">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4558" w:type="dxa"/>
            <w:shd w:val="clear" w:color="auto" w:fill="4B0985"/>
            <w:vAlign w:val="center"/>
          </w:tcPr>
          <w:p w14:paraId="4B3DBE4F" w14:textId="0F6F7CD6" w:rsidR="008A535E" w:rsidRPr="00CD05ED" w:rsidRDefault="00CD05ED" w:rsidP="00CD05ED">
            <w:pPr>
              <w:pStyle w:val="Tablebodycopy"/>
              <w:jc w:val="center"/>
              <w:rPr>
                <w:color w:val="FFFFFF" w:themeColor="background1"/>
              </w:rPr>
            </w:pPr>
            <w:r w:rsidRPr="00CD05ED">
              <w:rPr>
                <w:color w:val="FFFFFF" w:themeColor="background1"/>
              </w:rPr>
              <w:t>Geopolitical risk and fragmentation</w:t>
            </w:r>
          </w:p>
        </w:tc>
        <w:tc>
          <w:tcPr>
            <w:tcW w:w="4558" w:type="dxa"/>
            <w:shd w:val="clear" w:color="auto" w:fill="4B0985"/>
            <w:vAlign w:val="center"/>
          </w:tcPr>
          <w:p w14:paraId="1ABAC288" w14:textId="3B4406C9" w:rsidR="008A535E" w:rsidRPr="00CD05ED" w:rsidRDefault="00CD05ED" w:rsidP="00CD05ED">
            <w:pPr>
              <w:pStyle w:val="Tablebodycopy"/>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D05ED">
              <w:rPr>
                <w:color w:val="FFFFFF" w:themeColor="background1"/>
              </w:rPr>
              <w:t xml:space="preserve">Developing Australia’s sovereign </w:t>
            </w:r>
            <w:r w:rsidR="00CB4FBD">
              <w:rPr>
                <w:color w:val="FFFFFF" w:themeColor="background1"/>
              </w:rPr>
              <w:br/>
            </w:r>
            <w:r w:rsidRPr="00CD05ED">
              <w:rPr>
                <w:color w:val="FFFFFF" w:themeColor="background1"/>
              </w:rPr>
              <w:t>capability and food security</w:t>
            </w:r>
          </w:p>
        </w:tc>
      </w:tr>
      <w:tr w:rsidR="008A535E" w14:paraId="3CFB7667" w14:textId="77777777" w:rsidTr="00601F84">
        <w:trPr>
          <w:cnfStyle w:val="000000010000" w:firstRow="0" w:lastRow="0" w:firstColumn="0" w:lastColumn="0" w:oddVBand="0" w:evenVBand="0" w:oddHBand="0" w:evenHBand="1"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4558" w:type="dxa"/>
            <w:shd w:val="clear" w:color="auto" w:fill="4B0985"/>
            <w:vAlign w:val="center"/>
          </w:tcPr>
          <w:p w14:paraId="7A29EFBA" w14:textId="1473A2FA" w:rsidR="008A535E" w:rsidRPr="00CD05ED" w:rsidRDefault="00CD05ED" w:rsidP="00CD05ED">
            <w:pPr>
              <w:pStyle w:val="Tablebodycopy"/>
              <w:jc w:val="center"/>
              <w:rPr>
                <w:color w:val="FFFFFF" w:themeColor="background1"/>
              </w:rPr>
            </w:pPr>
            <w:r w:rsidRPr="00CD05ED">
              <w:rPr>
                <w:color w:val="FFFFFF" w:themeColor="background1"/>
              </w:rPr>
              <w:t xml:space="preserve">Increased use of digital and </w:t>
            </w:r>
            <w:r w:rsidR="00CB4FBD">
              <w:rPr>
                <w:color w:val="FFFFFF" w:themeColor="background1"/>
              </w:rPr>
              <w:br/>
            </w:r>
            <w:r w:rsidRPr="00CD05ED">
              <w:rPr>
                <w:color w:val="FFFFFF" w:themeColor="background1"/>
              </w:rPr>
              <w:t>advanced technologies</w:t>
            </w:r>
          </w:p>
        </w:tc>
        <w:tc>
          <w:tcPr>
            <w:tcW w:w="4558" w:type="dxa"/>
            <w:shd w:val="clear" w:color="auto" w:fill="4B0985"/>
            <w:vAlign w:val="center"/>
          </w:tcPr>
          <w:p w14:paraId="35DEBCBD" w14:textId="3BC52044" w:rsidR="008A535E" w:rsidRPr="00CD05ED" w:rsidRDefault="00CD05ED" w:rsidP="00CD05ED">
            <w:pPr>
              <w:pStyle w:val="Tablebodycopy"/>
              <w:jc w:val="center"/>
              <w:cnfStyle w:val="000000010000" w:firstRow="0" w:lastRow="0" w:firstColumn="0" w:lastColumn="0" w:oddVBand="0" w:evenVBand="0" w:oddHBand="0" w:evenHBand="1" w:firstRowFirstColumn="0" w:firstRowLastColumn="0" w:lastRowFirstColumn="0" w:lastRowLastColumn="0"/>
              <w:rPr>
                <w:color w:val="FFFFFF" w:themeColor="background1"/>
              </w:rPr>
            </w:pPr>
            <w:r w:rsidRPr="00CD05ED">
              <w:rPr>
                <w:color w:val="FFFFFF" w:themeColor="background1"/>
              </w:rPr>
              <w:t xml:space="preserve">Ensuring Australia’s digital and </w:t>
            </w:r>
            <w:r w:rsidR="00CB4FBD">
              <w:rPr>
                <w:color w:val="FFFFFF" w:themeColor="background1"/>
              </w:rPr>
              <w:br/>
            </w:r>
            <w:r w:rsidRPr="00CD05ED">
              <w:rPr>
                <w:color w:val="FFFFFF" w:themeColor="background1"/>
              </w:rPr>
              <w:t>technology capability</w:t>
            </w:r>
          </w:p>
        </w:tc>
      </w:tr>
    </w:tbl>
    <w:p w14:paraId="0A6894E0" w14:textId="4B7074BE" w:rsidR="00386683" w:rsidRDefault="00386683" w:rsidP="00E16D4F">
      <w:pPr>
        <w:pStyle w:val="Bodycopy"/>
      </w:pPr>
    </w:p>
    <w:p w14:paraId="461CC5A1" w14:textId="1B905063" w:rsidR="00386683" w:rsidRDefault="00386683" w:rsidP="00E16D4F">
      <w:pPr>
        <w:pStyle w:val="Bodycopy"/>
      </w:pPr>
      <w:r>
        <w:t>Outside of teaching, the projected growth for other relevant roles includes Education Managers (21% over ten years) and Education Advisers and Reviewers (17% over ten years). Similarly, more education support roles have also shown strong growth across all education sectors. Sources such as online job advertisement and recruitment data sets also give further insights into demand for emerging roles in VET. For example, analysis of LinkedIn data shows that the role of 'Learning Specialist’, which aligns with the Curriculum and Learning Design segment in our taxonomy, has been in high demand over the last year.</w:t>
      </w:r>
    </w:p>
    <w:p w14:paraId="58D67B84" w14:textId="67DDD303" w:rsidR="00386683" w:rsidRDefault="00386683" w:rsidP="00E16D4F">
      <w:pPr>
        <w:pStyle w:val="Bodycopy"/>
      </w:pPr>
      <w:r>
        <w:t xml:space="preserve">Alongside employment projections, datasets drawn from online job advertisements also show that demand for </w:t>
      </w:r>
      <w:r w:rsidR="00CC6D50">
        <w:t>VET teachers</w:t>
      </w:r>
      <w:r>
        <w:t xml:space="preserve"> is high but not as high as their counterparts in primary and secondary schooling. JSA publishes the Internet Vacancy Index (IVI) each month which looks at the change in online job advertisements for various occupations and recent results indicate that demand for </w:t>
      </w:r>
      <w:r w:rsidR="00CC6D50">
        <w:t>VET teachers</w:t>
      </w:r>
      <w:r>
        <w:t xml:space="preserve"> has experienced well above average growth. Over the ten years to January 2024, online job advertisements for </w:t>
      </w:r>
      <w:r w:rsidR="00CC6D50">
        <w:t>VET teachers</w:t>
      </w:r>
      <w:r>
        <w:t xml:space="preserve"> have grown by 201.4% compared to a growth of 79.3% across all occupations. </w:t>
      </w:r>
      <w:r w:rsidRPr="001E030F">
        <w:t>For the five-year period leading up to 2023, the growth was 72.7% compared to 60.1% across all occupations</w:t>
      </w:r>
      <w:r>
        <w:t>.</w:t>
      </w:r>
    </w:p>
    <w:p w14:paraId="374D627A" w14:textId="2CF6A76E" w:rsidR="00386683" w:rsidRDefault="00386683" w:rsidP="00E16D4F">
      <w:pPr>
        <w:pStyle w:val="Bodycopy"/>
      </w:pPr>
      <w:r>
        <w:t xml:space="preserve">Following a series low in May 2020 during the COVID shock, which reflected wider labour market trends, advertisements for </w:t>
      </w:r>
      <w:r w:rsidR="00CC6D50">
        <w:t>VET teachers</w:t>
      </w:r>
      <w:r>
        <w:t xml:space="preserve"> have rebounded strongly to exceed 100 vacancies in a single month for the first time in both October and November 2023. This dropped to 87 in December but stabilised again in January and February 2024. These trends are illustrated in </w:t>
      </w:r>
      <w:hyperlink w:anchor="Figure_4_2" w:history="1">
        <w:r w:rsidRPr="00564816">
          <w:rPr>
            <w:rStyle w:val="Hyperlink"/>
          </w:rPr>
          <w:t>Figure 4.2</w:t>
        </w:r>
      </w:hyperlink>
      <w:r>
        <w:t>.</w:t>
      </w:r>
    </w:p>
    <w:p w14:paraId="0A183439" w14:textId="77777777" w:rsidR="00B2562F" w:rsidRDefault="00B2562F" w:rsidP="00E16D4F">
      <w:pPr>
        <w:pStyle w:val="Bodycopy"/>
      </w:pPr>
    </w:p>
    <w:p w14:paraId="2EC7AEE6" w14:textId="3D1EE3B8" w:rsidR="00386683" w:rsidRDefault="00386683" w:rsidP="00386683">
      <w:pPr>
        <w:pStyle w:val="Caption"/>
        <w:keepNext/>
      </w:pPr>
      <w:bookmarkStart w:id="193" w:name="Figure_4_2"/>
      <w:r>
        <w:lastRenderedPageBreak/>
        <w:t xml:space="preserve">Figure </w:t>
      </w:r>
      <w:r w:rsidR="006558DC">
        <w:fldChar w:fldCharType="begin"/>
      </w:r>
      <w:r w:rsidR="006558DC">
        <w:instrText xml:space="preserve"> STYLEREF 1 \s </w:instrText>
      </w:r>
      <w:r w:rsidR="006558DC">
        <w:fldChar w:fldCharType="separate"/>
      </w:r>
      <w:r w:rsidR="00E7704E">
        <w:rPr>
          <w:noProof/>
        </w:rPr>
        <w:t>4</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2</w:t>
      </w:r>
      <w:r w:rsidR="006558DC">
        <w:fldChar w:fldCharType="end"/>
      </w:r>
      <w:r>
        <w:fldChar w:fldCharType="begin"/>
      </w:r>
      <w:r w:rsidR="006730A7">
        <w:fldChar w:fldCharType="separate"/>
      </w:r>
      <w:r>
        <w:fldChar w:fldCharType="end"/>
      </w:r>
      <w:r>
        <w:t xml:space="preserve"> </w:t>
      </w:r>
      <w:r w:rsidRPr="009E12F2">
        <w:t>Online job advertisements for Vocational Education Teachers and all occupations</w:t>
      </w:r>
    </w:p>
    <w:bookmarkEnd w:id="193"/>
    <w:p w14:paraId="3D8D7975" w14:textId="09AF9136" w:rsidR="00386683" w:rsidRPr="00C42556" w:rsidRDefault="00B2562F" w:rsidP="00386683">
      <w:pPr>
        <w:rPr>
          <w:lang w:val="en-US"/>
        </w:rPr>
      </w:pPr>
      <w:r>
        <w:rPr>
          <w:noProof/>
          <w:lang w:val="en-US"/>
        </w:rPr>
        <w:drawing>
          <wp:inline distT="0" distB="0" distL="0" distR="0" wp14:anchorId="0D31BE4A" wp14:editId="2F45B631">
            <wp:extent cx="5644243" cy="3492000"/>
            <wp:effectExtent l="19050" t="19050" r="13970" b="13335"/>
            <wp:docPr id="1418574802" name="Picture 7" descr="Figure 4.2 Online job advertisements for Vocational Education Teachers and all occup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74802" name="Picture 7" descr="Figure 4.2 Online job advertisements for Vocational Education Teachers and all occupations"/>
                    <pic:cNvPicPr/>
                  </pic:nvPicPr>
                  <pic:blipFill rotWithShape="1">
                    <a:blip r:embed="rId60" cstate="print">
                      <a:extLst>
                        <a:ext uri="{28A0092B-C50C-407E-A947-70E740481C1C}">
                          <a14:useLocalDpi xmlns:a14="http://schemas.microsoft.com/office/drawing/2010/main" val="0"/>
                        </a:ext>
                      </a:extLst>
                    </a:blip>
                    <a:srcRect t="-6123" b="-3857"/>
                    <a:stretch/>
                  </pic:blipFill>
                  <pic:spPr bwMode="auto">
                    <a:xfrm>
                      <a:off x="0" y="0"/>
                      <a:ext cx="5652000" cy="3496799"/>
                    </a:xfrm>
                    <a:prstGeom prst="rect">
                      <a:avLst/>
                    </a:prstGeom>
                    <a:solidFill>
                      <a:schemeClr val="bg1"/>
                    </a:solidFill>
                    <a:ln w="635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779576A" w14:textId="10C44BCF" w:rsidR="00386683" w:rsidRDefault="00386683" w:rsidP="008B2387">
      <w:pPr>
        <w:pStyle w:val="Source"/>
      </w:pPr>
      <w:r w:rsidRPr="00B2562F">
        <w:t>Source: Jobs and Skills Australia, Internet Vacancy Index, March 2024</w:t>
      </w:r>
      <w:r w:rsidR="00584FC2">
        <w:t>.</w:t>
      </w:r>
    </w:p>
    <w:p w14:paraId="4568074D" w14:textId="77777777" w:rsidR="00B2562F" w:rsidRPr="00B2562F" w:rsidRDefault="00B2562F" w:rsidP="00B2562F"/>
    <w:p w14:paraId="15D1DBE7" w14:textId="18854227" w:rsidR="00B2562F" w:rsidRPr="00557B66" w:rsidRDefault="00386683" w:rsidP="00557B66">
      <w:pPr>
        <w:pStyle w:val="Bodycopy"/>
      </w:pPr>
      <w:r w:rsidRPr="00557B66">
        <w:t xml:space="preserve">Growth in VET teacher job advertisements has not been driven by any one jurisdiction. Advertisements for </w:t>
      </w:r>
      <w:r w:rsidR="00CC6D50">
        <w:t>VET teachers</w:t>
      </w:r>
      <w:r w:rsidRPr="00557B66">
        <w:t xml:space="preserve"> outgrew the all-occupation average in every state and the ACT over the last decade. Only NT was the exception, see </w:t>
      </w:r>
      <w:hyperlink w:anchor="Figure_4_3" w:history="1">
        <w:r w:rsidRPr="00564816">
          <w:rPr>
            <w:rStyle w:val="Hyperlink"/>
          </w:rPr>
          <w:t>Figure 4.3</w:t>
        </w:r>
      </w:hyperlink>
      <w:r w:rsidRPr="00557B66">
        <w:t xml:space="preserve">. Except for NT, all saw an above 192% increase in internet vacancies for </w:t>
      </w:r>
      <w:r w:rsidR="00CC6D50">
        <w:t>VET teachers</w:t>
      </w:r>
      <w:r w:rsidRPr="00557B66">
        <w:t xml:space="preserve"> between the decade of 2013 and 2023, with an almost 500% growth in Victoria and above 1000% growth in the ACT. </w:t>
      </w:r>
    </w:p>
    <w:p w14:paraId="051B7C84" w14:textId="42ECE9CB" w:rsidR="00386683" w:rsidRPr="00557B66" w:rsidRDefault="00386683" w:rsidP="00557B66">
      <w:pPr>
        <w:pStyle w:val="Bodycopy"/>
      </w:pPr>
      <w:r w:rsidRPr="00557B66">
        <w:t xml:space="preserve">Consistent with national figures reported above, for the five-year period between 2018 and 2023, VET teacher internet vacancies also outgrew all occupations combined in every state and territory. All states and territories over this period, including the NT had a growth of over 100% in advertisements with significant growth in Tasmania of almost 500%.    </w:t>
      </w:r>
    </w:p>
    <w:p w14:paraId="18E18517" w14:textId="77777777" w:rsidR="007B0DC7" w:rsidRDefault="007B0DC7">
      <w:pPr>
        <w:rPr>
          <w:spacing w:val="2"/>
        </w:rPr>
      </w:pPr>
      <w:r>
        <w:rPr>
          <w:b/>
          <w:spacing w:val="2"/>
        </w:rPr>
        <w:br w:type="page"/>
      </w:r>
    </w:p>
    <w:p w14:paraId="189FE065" w14:textId="658CDDD1" w:rsidR="00386683" w:rsidRDefault="001E69EA" w:rsidP="00386683">
      <w:pPr>
        <w:pStyle w:val="Caption"/>
        <w:keepNext/>
      </w:pPr>
      <w:bookmarkStart w:id="194" w:name="Figure_4_3"/>
      <w:r>
        <w:rPr>
          <w:noProof/>
        </w:rPr>
        <w:lastRenderedPageBreak/>
        <w:drawing>
          <wp:anchor distT="0" distB="0" distL="114300" distR="114300" simplePos="0" relativeHeight="251658255" behindDoc="0" locked="0" layoutInCell="1" allowOverlap="1" wp14:anchorId="62A1F2DA" wp14:editId="03373B44">
            <wp:simplePos x="0" y="0"/>
            <wp:positionH relativeFrom="column">
              <wp:posOffset>21286</wp:posOffset>
            </wp:positionH>
            <wp:positionV relativeFrom="paragraph">
              <wp:posOffset>385445</wp:posOffset>
            </wp:positionV>
            <wp:extent cx="5760000" cy="5691191"/>
            <wp:effectExtent l="19050" t="19050" r="12700" b="24130"/>
            <wp:wrapNone/>
            <wp:docPr id="1689452961"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452961" name="Picture 8">
                      <a:extLst>
                        <a:ext uri="{C183D7F6-B498-43B3-948B-1728B52AA6E4}">
                          <adec:decorative xmlns:adec="http://schemas.microsoft.com/office/drawing/2017/decorative" val="1"/>
                        </a:ext>
                      </a:extLst>
                    </pic:cNvPr>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000" cy="5691191"/>
                    </a:xfrm>
                    <a:prstGeom prst="rect">
                      <a:avLst/>
                    </a:prstGeom>
                    <a:solidFill>
                      <a:schemeClr val="bg1"/>
                    </a:solidFill>
                    <a:ln w="6350">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386683" w:rsidRPr="001E030F">
        <w:t xml:space="preserve">Figure </w:t>
      </w:r>
      <w:r w:rsidR="006558DC">
        <w:fldChar w:fldCharType="begin"/>
      </w:r>
      <w:r w:rsidR="006558DC">
        <w:instrText xml:space="preserve"> STYLEREF 1 \s </w:instrText>
      </w:r>
      <w:r w:rsidR="006558DC">
        <w:fldChar w:fldCharType="separate"/>
      </w:r>
      <w:r w:rsidR="00E7704E">
        <w:rPr>
          <w:noProof/>
        </w:rPr>
        <w:t>4</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3</w:t>
      </w:r>
      <w:r w:rsidR="006558DC">
        <w:fldChar w:fldCharType="end"/>
      </w:r>
      <w:r w:rsidR="00386683" w:rsidRPr="001E030F">
        <w:t xml:space="preserve"> Percent change in internet vacancies for </w:t>
      </w:r>
      <w:r w:rsidR="00CC6D50">
        <w:t>VET teachers</w:t>
      </w:r>
      <w:r w:rsidR="00386683" w:rsidRPr="001E030F">
        <w:t xml:space="preserve"> and for all occupations in the ten and five years to</w:t>
      </w:r>
      <w:r w:rsidR="00386683">
        <w:t xml:space="preserve"> 2023</w:t>
      </w:r>
    </w:p>
    <w:bookmarkEnd w:id="194"/>
    <w:p w14:paraId="4D6C884A" w14:textId="12375521" w:rsidR="00406B06" w:rsidRPr="00406B06" w:rsidRDefault="00406B06" w:rsidP="00406B06">
      <w:pPr>
        <w:rPr>
          <w:lang w:val="en-US"/>
        </w:rPr>
      </w:pPr>
    </w:p>
    <w:tbl>
      <w:tblPr>
        <w:tblStyle w:val="TableGrid"/>
        <w:tblW w:w="0" w:type="auto"/>
        <w:tblLook w:val="04A0" w:firstRow="1" w:lastRow="0" w:firstColumn="1" w:lastColumn="0" w:noHBand="0" w:noVBand="1"/>
      </w:tblPr>
      <w:tblGrid>
        <w:gridCol w:w="857"/>
        <w:gridCol w:w="2257"/>
        <w:gridCol w:w="2126"/>
      </w:tblGrid>
      <w:tr w:rsidR="00406B06" w:rsidRPr="00BB5B01" w14:paraId="57F4D290" w14:textId="77777777" w:rsidTr="00BB5B01">
        <w:trPr>
          <w:cnfStyle w:val="100000000000" w:firstRow="1" w:lastRow="0" w:firstColumn="0" w:lastColumn="0" w:oddVBand="0" w:evenVBand="0" w:oddHBand="0" w:evenHBand="0" w:firstRowFirstColumn="0" w:firstRowLastColumn="0" w:lastRowFirstColumn="0" w:lastRowLastColumn="0"/>
          <w:trHeight w:val="227"/>
        </w:trPr>
        <w:tc>
          <w:tcPr>
            <w:tcW w:w="5240" w:type="dxa"/>
            <w:gridSpan w:val="3"/>
            <w:noWrap/>
            <w:hideMark/>
          </w:tcPr>
          <w:p w14:paraId="5BE4148A" w14:textId="36E097C0" w:rsidR="00406B06" w:rsidRPr="00BB5B01" w:rsidRDefault="00406B06" w:rsidP="00BB5B01">
            <w:pPr>
              <w:rPr>
                <w:sz w:val="12"/>
                <w:szCs w:val="12"/>
              </w:rPr>
            </w:pPr>
            <w:r w:rsidRPr="00BB5B01">
              <w:rPr>
                <w:sz w:val="12"/>
                <w:szCs w:val="12"/>
              </w:rPr>
              <w:t>2013 - 2023</w:t>
            </w:r>
          </w:p>
        </w:tc>
      </w:tr>
      <w:tr w:rsidR="00406B06" w:rsidRPr="00BB5B01" w14:paraId="082A0C75" w14:textId="77777777" w:rsidTr="00BB5B01">
        <w:trPr>
          <w:trHeight w:val="227"/>
        </w:trPr>
        <w:tc>
          <w:tcPr>
            <w:tcW w:w="857" w:type="dxa"/>
            <w:noWrap/>
            <w:hideMark/>
          </w:tcPr>
          <w:p w14:paraId="663ED5BF" w14:textId="77777777" w:rsidR="00406B06" w:rsidRPr="00BB5B01" w:rsidRDefault="00406B06" w:rsidP="00BB5B01">
            <w:pPr>
              <w:rPr>
                <w:sz w:val="12"/>
                <w:szCs w:val="12"/>
              </w:rPr>
            </w:pPr>
          </w:p>
        </w:tc>
        <w:tc>
          <w:tcPr>
            <w:tcW w:w="2257" w:type="dxa"/>
            <w:noWrap/>
            <w:hideMark/>
          </w:tcPr>
          <w:p w14:paraId="139AEEC2" w14:textId="49D9AEFD" w:rsidR="00406B06" w:rsidRPr="00BB5B01" w:rsidRDefault="00CC6D50" w:rsidP="00BB5B01">
            <w:pPr>
              <w:rPr>
                <w:sz w:val="12"/>
                <w:szCs w:val="12"/>
              </w:rPr>
            </w:pPr>
            <w:r>
              <w:rPr>
                <w:sz w:val="12"/>
                <w:szCs w:val="12"/>
              </w:rPr>
              <w:t>VET teachers</w:t>
            </w:r>
            <w:r w:rsidR="00406B06" w:rsidRPr="00BB5B01">
              <w:rPr>
                <w:sz w:val="12"/>
                <w:szCs w:val="12"/>
              </w:rPr>
              <w:t xml:space="preserve"> (10-year % growth)</w:t>
            </w:r>
          </w:p>
        </w:tc>
        <w:tc>
          <w:tcPr>
            <w:tcW w:w="2126" w:type="dxa"/>
            <w:noWrap/>
            <w:hideMark/>
          </w:tcPr>
          <w:p w14:paraId="39C6514F" w14:textId="77777777" w:rsidR="00406B06" w:rsidRPr="00BB5B01" w:rsidRDefault="00406B06" w:rsidP="00BB5B01">
            <w:pPr>
              <w:rPr>
                <w:sz w:val="12"/>
                <w:szCs w:val="12"/>
              </w:rPr>
            </w:pPr>
            <w:r w:rsidRPr="00BB5B01">
              <w:rPr>
                <w:sz w:val="12"/>
                <w:szCs w:val="12"/>
              </w:rPr>
              <w:t>All Occupations (10-year % growth)</w:t>
            </w:r>
          </w:p>
        </w:tc>
      </w:tr>
      <w:tr w:rsidR="00BB5B01" w:rsidRPr="00BB5B01" w14:paraId="098C2D56" w14:textId="77777777" w:rsidTr="00BB5B01">
        <w:trPr>
          <w:trHeight w:val="227"/>
        </w:trPr>
        <w:tc>
          <w:tcPr>
            <w:tcW w:w="857" w:type="dxa"/>
            <w:noWrap/>
            <w:hideMark/>
          </w:tcPr>
          <w:p w14:paraId="502CA64A" w14:textId="77777777" w:rsidR="00BB5B01" w:rsidRPr="00BB5B01" w:rsidRDefault="00BB5B01" w:rsidP="00BB5B01">
            <w:pPr>
              <w:rPr>
                <w:sz w:val="12"/>
                <w:szCs w:val="12"/>
              </w:rPr>
            </w:pPr>
            <w:r w:rsidRPr="00BB5B01">
              <w:rPr>
                <w:sz w:val="12"/>
                <w:szCs w:val="12"/>
              </w:rPr>
              <w:t>NSW</w:t>
            </w:r>
          </w:p>
        </w:tc>
        <w:tc>
          <w:tcPr>
            <w:tcW w:w="2257" w:type="dxa"/>
            <w:noWrap/>
            <w:hideMark/>
          </w:tcPr>
          <w:p w14:paraId="5BF45127" w14:textId="77777777" w:rsidR="00BB5B01" w:rsidRPr="00BB5B01" w:rsidRDefault="00BB5B01" w:rsidP="00BB5B01">
            <w:pPr>
              <w:rPr>
                <w:sz w:val="12"/>
                <w:szCs w:val="12"/>
              </w:rPr>
            </w:pPr>
            <w:r w:rsidRPr="00BB5B01">
              <w:rPr>
                <w:sz w:val="12"/>
                <w:szCs w:val="12"/>
              </w:rPr>
              <w:t>300.0%</w:t>
            </w:r>
          </w:p>
        </w:tc>
        <w:tc>
          <w:tcPr>
            <w:tcW w:w="2126" w:type="dxa"/>
            <w:noWrap/>
            <w:hideMark/>
          </w:tcPr>
          <w:p w14:paraId="6226E781" w14:textId="14B48668" w:rsidR="00BB5B01" w:rsidRPr="00BB5B01" w:rsidRDefault="00BB5B01" w:rsidP="00BB5B01">
            <w:pPr>
              <w:rPr>
                <w:sz w:val="12"/>
                <w:szCs w:val="12"/>
              </w:rPr>
            </w:pPr>
            <w:r w:rsidRPr="00BB5B01">
              <w:rPr>
                <w:sz w:val="12"/>
                <w:szCs w:val="12"/>
              </w:rPr>
              <w:t>74.3%</w:t>
            </w:r>
          </w:p>
        </w:tc>
      </w:tr>
      <w:tr w:rsidR="00BB5B01" w:rsidRPr="00BB5B01" w14:paraId="4CAE4FEB" w14:textId="77777777" w:rsidTr="00BB5B01">
        <w:trPr>
          <w:trHeight w:val="227"/>
        </w:trPr>
        <w:tc>
          <w:tcPr>
            <w:tcW w:w="857" w:type="dxa"/>
            <w:noWrap/>
            <w:hideMark/>
          </w:tcPr>
          <w:p w14:paraId="61B3FE2D" w14:textId="77777777" w:rsidR="00BB5B01" w:rsidRPr="00BB5B01" w:rsidRDefault="00BB5B01" w:rsidP="00BB5B01">
            <w:pPr>
              <w:rPr>
                <w:sz w:val="12"/>
                <w:szCs w:val="12"/>
              </w:rPr>
            </w:pPr>
            <w:r w:rsidRPr="00BB5B01">
              <w:rPr>
                <w:sz w:val="12"/>
                <w:szCs w:val="12"/>
              </w:rPr>
              <w:t>VIC</w:t>
            </w:r>
          </w:p>
        </w:tc>
        <w:tc>
          <w:tcPr>
            <w:tcW w:w="2257" w:type="dxa"/>
            <w:noWrap/>
            <w:hideMark/>
          </w:tcPr>
          <w:p w14:paraId="512AFE8E" w14:textId="77777777" w:rsidR="00BB5B01" w:rsidRPr="00BB5B01" w:rsidRDefault="00BB5B01" w:rsidP="00BB5B01">
            <w:pPr>
              <w:rPr>
                <w:sz w:val="12"/>
                <w:szCs w:val="12"/>
              </w:rPr>
            </w:pPr>
            <w:r w:rsidRPr="00BB5B01">
              <w:rPr>
                <w:sz w:val="12"/>
                <w:szCs w:val="12"/>
              </w:rPr>
              <w:t>439.7%</w:t>
            </w:r>
          </w:p>
        </w:tc>
        <w:tc>
          <w:tcPr>
            <w:tcW w:w="2126" w:type="dxa"/>
            <w:noWrap/>
            <w:hideMark/>
          </w:tcPr>
          <w:p w14:paraId="3127532A" w14:textId="435EC662" w:rsidR="00BB5B01" w:rsidRPr="00BB5B01" w:rsidRDefault="00BB5B01" w:rsidP="00BB5B01">
            <w:pPr>
              <w:rPr>
                <w:sz w:val="12"/>
                <w:szCs w:val="12"/>
              </w:rPr>
            </w:pPr>
            <w:r w:rsidRPr="00BB5B01">
              <w:rPr>
                <w:sz w:val="12"/>
                <w:szCs w:val="12"/>
              </w:rPr>
              <w:t>110.1%</w:t>
            </w:r>
          </w:p>
        </w:tc>
      </w:tr>
      <w:tr w:rsidR="00BB5B01" w:rsidRPr="00BB5B01" w14:paraId="72A3E5BC" w14:textId="77777777" w:rsidTr="00BB5B01">
        <w:trPr>
          <w:trHeight w:val="227"/>
        </w:trPr>
        <w:tc>
          <w:tcPr>
            <w:tcW w:w="857" w:type="dxa"/>
            <w:noWrap/>
            <w:hideMark/>
          </w:tcPr>
          <w:p w14:paraId="563CC628" w14:textId="77777777" w:rsidR="00BB5B01" w:rsidRPr="00BB5B01" w:rsidRDefault="00BB5B01" w:rsidP="00BB5B01">
            <w:pPr>
              <w:rPr>
                <w:sz w:val="12"/>
                <w:szCs w:val="12"/>
              </w:rPr>
            </w:pPr>
            <w:r w:rsidRPr="00BB5B01">
              <w:rPr>
                <w:sz w:val="12"/>
                <w:szCs w:val="12"/>
              </w:rPr>
              <w:t>QLD</w:t>
            </w:r>
          </w:p>
        </w:tc>
        <w:tc>
          <w:tcPr>
            <w:tcW w:w="2257" w:type="dxa"/>
            <w:noWrap/>
            <w:hideMark/>
          </w:tcPr>
          <w:p w14:paraId="748AD9EC" w14:textId="77777777" w:rsidR="00BB5B01" w:rsidRPr="00BB5B01" w:rsidRDefault="00BB5B01" w:rsidP="00BB5B01">
            <w:pPr>
              <w:rPr>
                <w:sz w:val="12"/>
                <w:szCs w:val="12"/>
              </w:rPr>
            </w:pPr>
            <w:r w:rsidRPr="00BB5B01">
              <w:rPr>
                <w:sz w:val="12"/>
                <w:szCs w:val="12"/>
              </w:rPr>
              <w:t>190.8%</w:t>
            </w:r>
          </w:p>
        </w:tc>
        <w:tc>
          <w:tcPr>
            <w:tcW w:w="2126" w:type="dxa"/>
            <w:noWrap/>
            <w:hideMark/>
          </w:tcPr>
          <w:p w14:paraId="2F127875" w14:textId="55B54E4D" w:rsidR="00BB5B01" w:rsidRPr="00BB5B01" w:rsidRDefault="00BB5B01" w:rsidP="00BB5B01">
            <w:pPr>
              <w:rPr>
                <w:sz w:val="12"/>
                <w:szCs w:val="12"/>
              </w:rPr>
            </w:pPr>
            <w:r w:rsidRPr="00BB5B01">
              <w:rPr>
                <w:sz w:val="12"/>
                <w:szCs w:val="12"/>
              </w:rPr>
              <w:t>108.1%</w:t>
            </w:r>
          </w:p>
        </w:tc>
      </w:tr>
      <w:tr w:rsidR="00BB5B01" w:rsidRPr="00BB5B01" w14:paraId="4CCD0015" w14:textId="77777777" w:rsidTr="00BB5B01">
        <w:trPr>
          <w:trHeight w:val="227"/>
        </w:trPr>
        <w:tc>
          <w:tcPr>
            <w:tcW w:w="857" w:type="dxa"/>
            <w:noWrap/>
            <w:hideMark/>
          </w:tcPr>
          <w:p w14:paraId="14B15735" w14:textId="77777777" w:rsidR="00BB5B01" w:rsidRPr="00BB5B01" w:rsidRDefault="00BB5B01" w:rsidP="00BB5B01">
            <w:pPr>
              <w:rPr>
                <w:sz w:val="12"/>
                <w:szCs w:val="12"/>
              </w:rPr>
            </w:pPr>
            <w:r w:rsidRPr="00BB5B01">
              <w:rPr>
                <w:sz w:val="12"/>
                <w:szCs w:val="12"/>
              </w:rPr>
              <w:t>SA</w:t>
            </w:r>
          </w:p>
        </w:tc>
        <w:tc>
          <w:tcPr>
            <w:tcW w:w="2257" w:type="dxa"/>
            <w:noWrap/>
            <w:hideMark/>
          </w:tcPr>
          <w:p w14:paraId="726B541B" w14:textId="1E975271" w:rsidR="00BB5B01" w:rsidRPr="00BB5B01" w:rsidRDefault="00BB5B01" w:rsidP="00BB5B01">
            <w:pPr>
              <w:rPr>
                <w:sz w:val="12"/>
                <w:szCs w:val="12"/>
              </w:rPr>
            </w:pPr>
            <w:r w:rsidRPr="00BB5B01">
              <w:rPr>
                <w:sz w:val="12"/>
                <w:szCs w:val="12"/>
              </w:rPr>
              <w:t>227.6%</w:t>
            </w:r>
          </w:p>
        </w:tc>
        <w:tc>
          <w:tcPr>
            <w:tcW w:w="2126" w:type="dxa"/>
            <w:noWrap/>
            <w:hideMark/>
          </w:tcPr>
          <w:p w14:paraId="74D93B83" w14:textId="373F6CA3" w:rsidR="00BB5B01" w:rsidRPr="00BB5B01" w:rsidRDefault="00BB5B01" w:rsidP="00BB5B01">
            <w:pPr>
              <w:rPr>
                <w:sz w:val="12"/>
                <w:szCs w:val="12"/>
              </w:rPr>
            </w:pPr>
            <w:r w:rsidRPr="00BB5B01">
              <w:rPr>
                <w:sz w:val="12"/>
                <w:szCs w:val="12"/>
              </w:rPr>
              <w:t>114.4%</w:t>
            </w:r>
          </w:p>
        </w:tc>
      </w:tr>
      <w:tr w:rsidR="00BB5B01" w:rsidRPr="00BB5B01" w14:paraId="05579027" w14:textId="77777777" w:rsidTr="00BB5B01">
        <w:trPr>
          <w:trHeight w:val="227"/>
        </w:trPr>
        <w:tc>
          <w:tcPr>
            <w:tcW w:w="857" w:type="dxa"/>
            <w:noWrap/>
            <w:hideMark/>
          </w:tcPr>
          <w:p w14:paraId="6F890A41" w14:textId="525D6F8A" w:rsidR="00BB5B01" w:rsidRPr="00BB5B01" w:rsidRDefault="00BB5B01" w:rsidP="00BB5B01">
            <w:pPr>
              <w:rPr>
                <w:sz w:val="12"/>
                <w:szCs w:val="12"/>
              </w:rPr>
            </w:pPr>
            <w:r w:rsidRPr="00BB5B01">
              <w:rPr>
                <w:sz w:val="12"/>
                <w:szCs w:val="12"/>
              </w:rPr>
              <w:t>WA</w:t>
            </w:r>
          </w:p>
        </w:tc>
        <w:tc>
          <w:tcPr>
            <w:tcW w:w="2257" w:type="dxa"/>
            <w:noWrap/>
            <w:hideMark/>
          </w:tcPr>
          <w:p w14:paraId="775B5DA4" w14:textId="2450400E" w:rsidR="00BB5B01" w:rsidRPr="00BB5B01" w:rsidRDefault="00BB5B01" w:rsidP="00BB5B01">
            <w:pPr>
              <w:rPr>
                <w:sz w:val="12"/>
                <w:szCs w:val="12"/>
              </w:rPr>
            </w:pPr>
            <w:r w:rsidRPr="00BB5B01">
              <w:rPr>
                <w:sz w:val="12"/>
                <w:szCs w:val="12"/>
              </w:rPr>
              <w:t>192.9%</w:t>
            </w:r>
          </w:p>
        </w:tc>
        <w:tc>
          <w:tcPr>
            <w:tcW w:w="2126" w:type="dxa"/>
            <w:noWrap/>
            <w:hideMark/>
          </w:tcPr>
          <w:p w14:paraId="04C143ED" w14:textId="6D06D7A4" w:rsidR="00BB5B01" w:rsidRPr="00BB5B01" w:rsidRDefault="00BB5B01" w:rsidP="00BB5B01">
            <w:pPr>
              <w:rPr>
                <w:sz w:val="12"/>
                <w:szCs w:val="12"/>
              </w:rPr>
            </w:pPr>
            <w:r w:rsidRPr="00BB5B01">
              <w:rPr>
                <w:sz w:val="12"/>
                <w:szCs w:val="12"/>
              </w:rPr>
              <w:t>80.2%</w:t>
            </w:r>
          </w:p>
        </w:tc>
      </w:tr>
      <w:tr w:rsidR="00BB5B01" w:rsidRPr="00BB5B01" w14:paraId="4F33BC0D" w14:textId="77777777" w:rsidTr="00BB5B01">
        <w:trPr>
          <w:trHeight w:val="227"/>
        </w:trPr>
        <w:tc>
          <w:tcPr>
            <w:tcW w:w="857" w:type="dxa"/>
            <w:noWrap/>
            <w:hideMark/>
          </w:tcPr>
          <w:p w14:paraId="0B41CC5D" w14:textId="77777777" w:rsidR="00BB5B01" w:rsidRPr="00BB5B01" w:rsidRDefault="00BB5B01" w:rsidP="00BB5B01">
            <w:pPr>
              <w:rPr>
                <w:sz w:val="12"/>
                <w:szCs w:val="12"/>
              </w:rPr>
            </w:pPr>
            <w:r w:rsidRPr="00BB5B01">
              <w:rPr>
                <w:sz w:val="12"/>
                <w:szCs w:val="12"/>
              </w:rPr>
              <w:t>TAS</w:t>
            </w:r>
          </w:p>
        </w:tc>
        <w:tc>
          <w:tcPr>
            <w:tcW w:w="2257" w:type="dxa"/>
            <w:noWrap/>
            <w:hideMark/>
          </w:tcPr>
          <w:p w14:paraId="7649B4FE" w14:textId="77777777" w:rsidR="00BB5B01" w:rsidRPr="00BB5B01" w:rsidRDefault="00BB5B01" w:rsidP="00BB5B01">
            <w:pPr>
              <w:rPr>
                <w:sz w:val="12"/>
                <w:szCs w:val="12"/>
              </w:rPr>
            </w:pPr>
            <w:r w:rsidRPr="00BB5B01">
              <w:rPr>
                <w:sz w:val="12"/>
                <w:szCs w:val="12"/>
              </w:rPr>
              <w:t>216.7%</w:t>
            </w:r>
          </w:p>
        </w:tc>
        <w:tc>
          <w:tcPr>
            <w:tcW w:w="2126" w:type="dxa"/>
            <w:noWrap/>
            <w:hideMark/>
          </w:tcPr>
          <w:p w14:paraId="129091BD" w14:textId="39595D46" w:rsidR="00BB5B01" w:rsidRPr="00BB5B01" w:rsidRDefault="00BB5B01" w:rsidP="00BB5B01">
            <w:pPr>
              <w:rPr>
                <w:sz w:val="12"/>
                <w:szCs w:val="12"/>
              </w:rPr>
            </w:pPr>
            <w:r w:rsidRPr="00BB5B01">
              <w:rPr>
                <w:sz w:val="12"/>
                <w:szCs w:val="12"/>
              </w:rPr>
              <w:t>174.6%</w:t>
            </w:r>
          </w:p>
        </w:tc>
      </w:tr>
      <w:tr w:rsidR="00BB5B01" w:rsidRPr="00BB5B01" w14:paraId="5E3F0E20" w14:textId="77777777" w:rsidTr="00BB5B01">
        <w:trPr>
          <w:trHeight w:val="227"/>
        </w:trPr>
        <w:tc>
          <w:tcPr>
            <w:tcW w:w="857" w:type="dxa"/>
            <w:noWrap/>
            <w:hideMark/>
          </w:tcPr>
          <w:p w14:paraId="0EC22800" w14:textId="77777777" w:rsidR="00BB5B01" w:rsidRPr="00BB5B01" w:rsidRDefault="00BB5B01" w:rsidP="00BB5B01">
            <w:pPr>
              <w:rPr>
                <w:sz w:val="12"/>
                <w:szCs w:val="12"/>
              </w:rPr>
            </w:pPr>
            <w:r w:rsidRPr="00BB5B01">
              <w:rPr>
                <w:sz w:val="12"/>
                <w:szCs w:val="12"/>
              </w:rPr>
              <w:t>NT</w:t>
            </w:r>
          </w:p>
        </w:tc>
        <w:tc>
          <w:tcPr>
            <w:tcW w:w="2257" w:type="dxa"/>
            <w:noWrap/>
            <w:hideMark/>
          </w:tcPr>
          <w:p w14:paraId="49854358" w14:textId="77777777" w:rsidR="00BB5B01" w:rsidRPr="00BB5B01" w:rsidRDefault="00BB5B01" w:rsidP="00BB5B01">
            <w:pPr>
              <w:rPr>
                <w:sz w:val="12"/>
                <w:szCs w:val="12"/>
              </w:rPr>
            </w:pPr>
            <w:r w:rsidRPr="00BB5B01">
              <w:rPr>
                <w:sz w:val="12"/>
                <w:szCs w:val="12"/>
              </w:rPr>
              <w:t>-15.4%</w:t>
            </w:r>
          </w:p>
        </w:tc>
        <w:tc>
          <w:tcPr>
            <w:tcW w:w="2126" w:type="dxa"/>
            <w:noWrap/>
            <w:hideMark/>
          </w:tcPr>
          <w:p w14:paraId="1540490C" w14:textId="4F757269" w:rsidR="00BB5B01" w:rsidRPr="00BB5B01" w:rsidRDefault="00BB5B01" w:rsidP="00BB5B01">
            <w:pPr>
              <w:rPr>
                <w:sz w:val="12"/>
                <w:szCs w:val="12"/>
              </w:rPr>
            </w:pPr>
            <w:r w:rsidRPr="00BB5B01">
              <w:rPr>
                <w:sz w:val="12"/>
                <w:szCs w:val="12"/>
              </w:rPr>
              <w:t>25.3%</w:t>
            </w:r>
          </w:p>
        </w:tc>
      </w:tr>
      <w:tr w:rsidR="00BB5B01" w:rsidRPr="00BB5B01" w14:paraId="14315F6E" w14:textId="77777777" w:rsidTr="00BB5B01">
        <w:trPr>
          <w:trHeight w:val="227"/>
        </w:trPr>
        <w:tc>
          <w:tcPr>
            <w:tcW w:w="857" w:type="dxa"/>
            <w:noWrap/>
            <w:hideMark/>
          </w:tcPr>
          <w:p w14:paraId="340DC761" w14:textId="77777777" w:rsidR="00BB5B01" w:rsidRPr="00BB5B01" w:rsidRDefault="00BB5B01" w:rsidP="00BB5B01">
            <w:pPr>
              <w:rPr>
                <w:sz w:val="12"/>
                <w:szCs w:val="12"/>
              </w:rPr>
            </w:pPr>
            <w:r w:rsidRPr="00BB5B01">
              <w:rPr>
                <w:sz w:val="12"/>
                <w:szCs w:val="12"/>
              </w:rPr>
              <w:t>ACT</w:t>
            </w:r>
          </w:p>
        </w:tc>
        <w:tc>
          <w:tcPr>
            <w:tcW w:w="2257" w:type="dxa"/>
            <w:noWrap/>
            <w:hideMark/>
          </w:tcPr>
          <w:p w14:paraId="0FA6A158" w14:textId="00AB9D31" w:rsidR="00BB5B01" w:rsidRPr="00BB5B01" w:rsidRDefault="00BB5B01" w:rsidP="00BB5B01">
            <w:pPr>
              <w:rPr>
                <w:sz w:val="12"/>
                <w:szCs w:val="12"/>
              </w:rPr>
            </w:pPr>
            <w:r w:rsidRPr="00BB5B01">
              <w:rPr>
                <w:sz w:val="12"/>
                <w:szCs w:val="12"/>
              </w:rPr>
              <w:t>1121.4%</w:t>
            </w:r>
          </w:p>
        </w:tc>
        <w:tc>
          <w:tcPr>
            <w:tcW w:w="2126" w:type="dxa"/>
            <w:noWrap/>
            <w:hideMark/>
          </w:tcPr>
          <w:p w14:paraId="3D23744C" w14:textId="47C7F8C2" w:rsidR="00BB5B01" w:rsidRPr="00BB5B01" w:rsidRDefault="00BB5B01" w:rsidP="00BB5B01">
            <w:pPr>
              <w:rPr>
                <w:sz w:val="12"/>
                <w:szCs w:val="12"/>
              </w:rPr>
            </w:pPr>
            <w:r w:rsidRPr="00BB5B01">
              <w:rPr>
                <w:sz w:val="12"/>
                <w:szCs w:val="12"/>
              </w:rPr>
              <w:t>127.2%</w:t>
            </w:r>
          </w:p>
        </w:tc>
      </w:tr>
    </w:tbl>
    <w:p w14:paraId="44696685" w14:textId="77777777" w:rsidR="00406B06" w:rsidRDefault="00406B06" w:rsidP="00406B06">
      <w:pPr>
        <w:rPr>
          <w:lang w:val="en-US"/>
        </w:rPr>
      </w:pPr>
    </w:p>
    <w:p w14:paraId="2012DD02" w14:textId="77777777" w:rsidR="00BB5B01" w:rsidRDefault="00BB5B01" w:rsidP="00406B06">
      <w:pPr>
        <w:rPr>
          <w:lang w:val="en-US"/>
        </w:rPr>
      </w:pPr>
    </w:p>
    <w:tbl>
      <w:tblPr>
        <w:tblStyle w:val="TableGrid"/>
        <w:tblW w:w="0" w:type="auto"/>
        <w:tblLook w:val="04A0" w:firstRow="1" w:lastRow="0" w:firstColumn="1" w:lastColumn="0" w:noHBand="0" w:noVBand="1"/>
      </w:tblPr>
      <w:tblGrid>
        <w:gridCol w:w="857"/>
        <w:gridCol w:w="2257"/>
        <w:gridCol w:w="2126"/>
      </w:tblGrid>
      <w:tr w:rsidR="00BB5B01" w:rsidRPr="00BB5B01" w14:paraId="4C06DDE0" w14:textId="77777777">
        <w:trPr>
          <w:cnfStyle w:val="100000000000" w:firstRow="1" w:lastRow="0" w:firstColumn="0" w:lastColumn="0" w:oddVBand="0" w:evenVBand="0" w:oddHBand="0" w:evenHBand="0" w:firstRowFirstColumn="0" w:firstRowLastColumn="0" w:lastRowFirstColumn="0" w:lastRowLastColumn="0"/>
          <w:trHeight w:val="227"/>
        </w:trPr>
        <w:tc>
          <w:tcPr>
            <w:tcW w:w="5240" w:type="dxa"/>
            <w:gridSpan w:val="3"/>
            <w:noWrap/>
            <w:hideMark/>
          </w:tcPr>
          <w:p w14:paraId="66C91A67" w14:textId="0FA4A34D" w:rsidR="00BB5B01" w:rsidRPr="00610B4B" w:rsidRDefault="00610B4B">
            <w:pPr>
              <w:rPr>
                <w:sz w:val="12"/>
                <w:szCs w:val="12"/>
              </w:rPr>
            </w:pPr>
            <w:r w:rsidRPr="00610B4B">
              <w:rPr>
                <w:sz w:val="12"/>
                <w:szCs w:val="12"/>
              </w:rPr>
              <w:t>2018 - 2023</w:t>
            </w:r>
          </w:p>
        </w:tc>
      </w:tr>
      <w:tr w:rsidR="00BB5B01" w:rsidRPr="00BB5B01" w14:paraId="16AF6A10" w14:textId="77777777">
        <w:trPr>
          <w:trHeight w:val="227"/>
        </w:trPr>
        <w:tc>
          <w:tcPr>
            <w:tcW w:w="857" w:type="dxa"/>
            <w:noWrap/>
            <w:hideMark/>
          </w:tcPr>
          <w:p w14:paraId="3E7AA8E6" w14:textId="77777777" w:rsidR="00BB5B01" w:rsidRPr="00610B4B" w:rsidRDefault="00BB5B01">
            <w:pPr>
              <w:rPr>
                <w:sz w:val="12"/>
                <w:szCs w:val="12"/>
              </w:rPr>
            </w:pPr>
          </w:p>
        </w:tc>
        <w:tc>
          <w:tcPr>
            <w:tcW w:w="2257" w:type="dxa"/>
            <w:noWrap/>
            <w:hideMark/>
          </w:tcPr>
          <w:p w14:paraId="02AE672F" w14:textId="07FA974A" w:rsidR="00BB5B01" w:rsidRPr="00610B4B" w:rsidRDefault="00CC6D50">
            <w:pPr>
              <w:rPr>
                <w:sz w:val="12"/>
                <w:szCs w:val="12"/>
              </w:rPr>
            </w:pPr>
            <w:r>
              <w:rPr>
                <w:sz w:val="12"/>
                <w:szCs w:val="12"/>
              </w:rPr>
              <w:t>VET teachers</w:t>
            </w:r>
            <w:r w:rsidR="00BB5B01" w:rsidRPr="00610B4B">
              <w:rPr>
                <w:sz w:val="12"/>
                <w:szCs w:val="12"/>
              </w:rPr>
              <w:t xml:space="preserve"> (10-year % growth)</w:t>
            </w:r>
          </w:p>
        </w:tc>
        <w:tc>
          <w:tcPr>
            <w:tcW w:w="2126" w:type="dxa"/>
            <w:noWrap/>
            <w:hideMark/>
          </w:tcPr>
          <w:p w14:paraId="77B93190" w14:textId="37BA5C49" w:rsidR="00BB5B01" w:rsidRPr="00610B4B" w:rsidRDefault="00BB5B01">
            <w:pPr>
              <w:rPr>
                <w:sz w:val="12"/>
                <w:szCs w:val="12"/>
              </w:rPr>
            </w:pPr>
            <w:r w:rsidRPr="00610B4B">
              <w:rPr>
                <w:sz w:val="12"/>
                <w:szCs w:val="12"/>
              </w:rPr>
              <w:t>All Occupations (</w:t>
            </w:r>
            <w:r w:rsidR="00610B4B" w:rsidRPr="00610B4B">
              <w:rPr>
                <w:sz w:val="12"/>
                <w:szCs w:val="12"/>
              </w:rPr>
              <w:t>5</w:t>
            </w:r>
            <w:r w:rsidRPr="00610B4B">
              <w:rPr>
                <w:sz w:val="12"/>
                <w:szCs w:val="12"/>
              </w:rPr>
              <w:t>-year % growth)</w:t>
            </w:r>
          </w:p>
        </w:tc>
      </w:tr>
      <w:tr w:rsidR="00610B4B" w:rsidRPr="00BB5B01" w14:paraId="70631DC7" w14:textId="77777777">
        <w:trPr>
          <w:trHeight w:val="227"/>
        </w:trPr>
        <w:tc>
          <w:tcPr>
            <w:tcW w:w="857" w:type="dxa"/>
            <w:noWrap/>
            <w:hideMark/>
          </w:tcPr>
          <w:p w14:paraId="62849EE2" w14:textId="77777777" w:rsidR="00610B4B" w:rsidRPr="00610B4B" w:rsidRDefault="00610B4B" w:rsidP="00610B4B">
            <w:pPr>
              <w:rPr>
                <w:sz w:val="12"/>
                <w:szCs w:val="12"/>
              </w:rPr>
            </w:pPr>
            <w:r w:rsidRPr="00610B4B">
              <w:rPr>
                <w:sz w:val="12"/>
                <w:szCs w:val="12"/>
              </w:rPr>
              <w:t>NSW</w:t>
            </w:r>
          </w:p>
        </w:tc>
        <w:tc>
          <w:tcPr>
            <w:tcW w:w="2257" w:type="dxa"/>
            <w:noWrap/>
            <w:hideMark/>
          </w:tcPr>
          <w:p w14:paraId="14D0315A" w14:textId="1BE3812F" w:rsidR="00610B4B" w:rsidRPr="00610B4B" w:rsidRDefault="00610B4B" w:rsidP="00610B4B">
            <w:pPr>
              <w:rPr>
                <w:sz w:val="12"/>
                <w:szCs w:val="12"/>
              </w:rPr>
            </w:pPr>
            <w:r w:rsidRPr="00610B4B">
              <w:rPr>
                <w:sz w:val="12"/>
                <w:szCs w:val="12"/>
              </w:rPr>
              <w:t>131%</w:t>
            </w:r>
          </w:p>
        </w:tc>
        <w:tc>
          <w:tcPr>
            <w:tcW w:w="2126" w:type="dxa"/>
            <w:noWrap/>
            <w:hideMark/>
          </w:tcPr>
          <w:p w14:paraId="1201F6BB" w14:textId="355DDDB3" w:rsidR="00610B4B" w:rsidRPr="00610B4B" w:rsidRDefault="00610B4B" w:rsidP="00610B4B">
            <w:pPr>
              <w:rPr>
                <w:sz w:val="12"/>
                <w:szCs w:val="12"/>
              </w:rPr>
            </w:pPr>
            <w:r w:rsidRPr="00610B4B">
              <w:rPr>
                <w:sz w:val="12"/>
                <w:szCs w:val="12"/>
              </w:rPr>
              <w:t>25%</w:t>
            </w:r>
          </w:p>
        </w:tc>
      </w:tr>
      <w:tr w:rsidR="00610B4B" w:rsidRPr="00BB5B01" w14:paraId="5AF396AD" w14:textId="77777777">
        <w:trPr>
          <w:trHeight w:val="227"/>
        </w:trPr>
        <w:tc>
          <w:tcPr>
            <w:tcW w:w="857" w:type="dxa"/>
            <w:noWrap/>
            <w:hideMark/>
          </w:tcPr>
          <w:p w14:paraId="257A3DD3" w14:textId="77777777" w:rsidR="00610B4B" w:rsidRPr="00610B4B" w:rsidRDefault="00610B4B" w:rsidP="00610B4B">
            <w:pPr>
              <w:rPr>
                <w:sz w:val="12"/>
                <w:szCs w:val="12"/>
              </w:rPr>
            </w:pPr>
            <w:r w:rsidRPr="00610B4B">
              <w:rPr>
                <w:sz w:val="12"/>
                <w:szCs w:val="12"/>
              </w:rPr>
              <w:t>VIC</w:t>
            </w:r>
          </w:p>
        </w:tc>
        <w:tc>
          <w:tcPr>
            <w:tcW w:w="2257" w:type="dxa"/>
            <w:noWrap/>
            <w:hideMark/>
          </w:tcPr>
          <w:p w14:paraId="5DA29C18" w14:textId="7B33F852" w:rsidR="00610B4B" w:rsidRPr="00610B4B" w:rsidRDefault="00610B4B" w:rsidP="00610B4B">
            <w:pPr>
              <w:rPr>
                <w:sz w:val="12"/>
                <w:szCs w:val="12"/>
              </w:rPr>
            </w:pPr>
            <w:r w:rsidRPr="00610B4B">
              <w:rPr>
                <w:sz w:val="12"/>
                <w:szCs w:val="12"/>
              </w:rPr>
              <w:t>139%</w:t>
            </w:r>
          </w:p>
        </w:tc>
        <w:tc>
          <w:tcPr>
            <w:tcW w:w="2126" w:type="dxa"/>
            <w:noWrap/>
            <w:hideMark/>
          </w:tcPr>
          <w:p w14:paraId="424B39C2" w14:textId="47BB5424" w:rsidR="00610B4B" w:rsidRPr="00610B4B" w:rsidRDefault="00610B4B" w:rsidP="00610B4B">
            <w:pPr>
              <w:rPr>
                <w:sz w:val="12"/>
                <w:szCs w:val="12"/>
              </w:rPr>
            </w:pPr>
            <w:r w:rsidRPr="00610B4B">
              <w:rPr>
                <w:sz w:val="12"/>
                <w:szCs w:val="12"/>
              </w:rPr>
              <w:t>43%</w:t>
            </w:r>
          </w:p>
        </w:tc>
      </w:tr>
      <w:tr w:rsidR="00610B4B" w:rsidRPr="00BB5B01" w14:paraId="248B226E" w14:textId="77777777">
        <w:trPr>
          <w:trHeight w:val="227"/>
        </w:trPr>
        <w:tc>
          <w:tcPr>
            <w:tcW w:w="857" w:type="dxa"/>
            <w:noWrap/>
            <w:hideMark/>
          </w:tcPr>
          <w:p w14:paraId="4DE84476" w14:textId="77777777" w:rsidR="00610B4B" w:rsidRPr="00610B4B" w:rsidRDefault="00610B4B" w:rsidP="00610B4B">
            <w:pPr>
              <w:rPr>
                <w:sz w:val="12"/>
                <w:szCs w:val="12"/>
              </w:rPr>
            </w:pPr>
            <w:r w:rsidRPr="00610B4B">
              <w:rPr>
                <w:sz w:val="12"/>
                <w:szCs w:val="12"/>
              </w:rPr>
              <w:t>QLD</w:t>
            </w:r>
          </w:p>
        </w:tc>
        <w:tc>
          <w:tcPr>
            <w:tcW w:w="2257" w:type="dxa"/>
            <w:noWrap/>
            <w:hideMark/>
          </w:tcPr>
          <w:p w14:paraId="629745FF" w14:textId="5657B35C" w:rsidR="00610B4B" w:rsidRPr="00610B4B" w:rsidRDefault="00610B4B" w:rsidP="00610B4B">
            <w:pPr>
              <w:rPr>
                <w:sz w:val="12"/>
                <w:szCs w:val="12"/>
              </w:rPr>
            </w:pPr>
            <w:r w:rsidRPr="00610B4B">
              <w:rPr>
                <w:sz w:val="12"/>
                <w:szCs w:val="12"/>
              </w:rPr>
              <w:t>157%</w:t>
            </w:r>
          </w:p>
        </w:tc>
        <w:tc>
          <w:tcPr>
            <w:tcW w:w="2126" w:type="dxa"/>
            <w:noWrap/>
            <w:hideMark/>
          </w:tcPr>
          <w:p w14:paraId="60652D63" w14:textId="5DE3C917" w:rsidR="00610B4B" w:rsidRPr="00610B4B" w:rsidRDefault="00610B4B" w:rsidP="00610B4B">
            <w:pPr>
              <w:rPr>
                <w:sz w:val="12"/>
                <w:szCs w:val="12"/>
              </w:rPr>
            </w:pPr>
            <w:r w:rsidRPr="00610B4B">
              <w:rPr>
                <w:sz w:val="12"/>
                <w:szCs w:val="12"/>
              </w:rPr>
              <w:t>81%</w:t>
            </w:r>
          </w:p>
        </w:tc>
      </w:tr>
      <w:tr w:rsidR="00610B4B" w:rsidRPr="00BB5B01" w14:paraId="12011914" w14:textId="77777777">
        <w:trPr>
          <w:trHeight w:val="227"/>
        </w:trPr>
        <w:tc>
          <w:tcPr>
            <w:tcW w:w="857" w:type="dxa"/>
            <w:noWrap/>
            <w:hideMark/>
          </w:tcPr>
          <w:p w14:paraId="08B4AC48" w14:textId="77777777" w:rsidR="00610B4B" w:rsidRPr="00610B4B" w:rsidRDefault="00610B4B" w:rsidP="00610B4B">
            <w:pPr>
              <w:rPr>
                <w:sz w:val="12"/>
                <w:szCs w:val="12"/>
              </w:rPr>
            </w:pPr>
            <w:r w:rsidRPr="00610B4B">
              <w:rPr>
                <w:sz w:val="12"/>
                <w:szCs w:val="12"/>
              </w:rPr>
              <w:t>SA</w:t>
            </w:r>
          </w:p>
        </w:tc>
        <w:tc>
          <w:tcPr>
            <w:tcW w:w="2257" w:type="dxa"/>
            <w:noWrap/>
            <w:hideMark/>
          </w:tcPr>
          <w:p w14:paraId="1642033A" w14:textId="0270D60E" w:rsidR="00610B4B" w:rsidRPr="00610B4B" w:rsidRDefault="00610B4B" w:rsidP="00610B4B">
            <w:pPr>
              <w:rPr>
                <w:sz w:val="12"/>
                <w:szCs w:val="12"/>
              </w:rPr>
            </w:pPr>
            <w:r w:rsidRPr="00610B4B">
              <w:rPr>
                <w:sz w:val="12"/>
                <w:szCs w:val="12"/>
              </w:rPr>
              <w:t>121%</w:t>
            </w:r>
          </w:p>
        </w:tc>
        <w:tc>
          <w:tcPr>
            <w:tcW w:w="2126" w:type="dxa"/>
            <w:noWrap/>
            <w:hideMark/>
          </w:tcPr>
          <w:p w14:paraId="7D827CF7" w14:textId="37B083E0" w:rsidR="00610B4B" w:rsidRPr="00610B4B" w:rsidRDefault="00610B4B" w:rsidP="00610B4B">
            <w:pPr>
              <w:rPr>
                <w:sz w:val="12"/>
                <w:szCs w:val="12"/>
              </w:rPr>
            </w:pPr>
            <w:r w:rsidRPr="00610B4B">
              <w:rPr>
                <w:sz w:val="12"/>
                <w:szCs w:val="12"/>
              </w:rPr>
              <w:t>96%</w:t>
            </w:r>
          </w:p>
        </w:tc>
      </w:tr>
      <w:tr w:rsidR="00610B4B" w:rsidRPr="00BB5B01" w14:paraId="49EE6D0A" w14:textId="77777777">
        <w:trPr>
          <w:trHeight w:val="227"/>
        </w:trPr>
        <w:tc>
          <w:tcPr>
            <w:tcW w:w="857" w:type="dxa"/>
            <w:noWrap/>
            <w:hideMark/>
          </w:tcPr>
          <w:p w14:paraId="4F2BC5CB" w14:textId="77777777" w:rsidR="00610B4B" w:rsidRPr="00610B4B" w:rsidRDefault="00610B4B" w:rsidP="00610B4B">
            <w:pPr>
              <w:rPr>
                <w:sz w:val="12"/>
                <w:szCs w:val="12"/>
              </w:rPr>
            </w:pPr>
            <w:r w:rsidRPr="00610B4B">
              <w:rPr>
                <w:sz w:val="12"/>
                <w:szCs w:val="12"/>
              </w:rPr>
              <w:t>WA</w:t>
            </w:r>
          </w:p>
        </w:tc>
        <w:tc>
          <w:tcPr>
            <w:tcW w:w="2257" w:type="dxa"/>
            <w:noWrap/>
            <w:hideMark/>
          </w:tcPr>
          <w:p w14:paraId="5D4FD90E" w14:textId="03359571" w:rsidR="00610B4B" w:rsidRPr="00610B4B" w:rsidRDefault="00610B4B" w:rsidP="00610B4B">
            <w:pPr>
              <w:rPr>
                <w:sz w:val="12"/>
                <w:szCs w:val="12"/>
              </w:rPr>
            </w:pPr>
            <w:r w:rsidRPr="00610B4B">
              <w:rPr>
                <w:sz w:val="12"/>
                <w:szCs w:val="12"/>
              </w:rPr>
              <w:t>171%</w:t>
            </w:r>
          </w:p>
        </w:tc>
        <w:tc>
          <w:tcPr>
            <w:tcW w:w="2126" w:type="dxa"/>
            <w:noWrap/>
            <w:hideMark/>
          </w:tcPr>
          <w:p w14:paraId="5B46E5E5" w14:textId="279A58B6" w:rsidR="00610B4B" w:rsidRPr="00610B4B" w:rsidRDefault="00610B4B" w:rsidP="00610B4B">
            <w:pPr>
              <w:rPr>
                <w:sz w:val="12"/>
                <w:szCs w:val="12"/>
              </w:rPr>
            </w:pPr>
            <w:r w:rsidRPr="00610B4B">
              <w:rPr>
                <w:sz w:val="12"/>
                <w:szCs w:val="12"/>
              </w:rPr>
              <w:t>104%</w:t>
            </w:r>
          </w:p>
        </w:tc>
      </w:tr>
      <w:tr w:rsidR="00610B4B" w:rsidRPr="00BB5B01" w14:paraId="0893A212" w14:textId="77777777">
        <w:trPr>
          <w:trHeight w:val="227"/>
        </w:trPr>
        <w:tc>
          <w:tcPr>
            <w:tcW w:w="857" w:type="dxa"/>
            <w:noWrap/>
            <w:hideMark/>
          </w:tcPr>
          <w:p w14:paraId="5AD9F338" w14:textId="77777777" w:rsidR="00610B4B" w:rsidRPr="00610B4B" w:rsidRDefault="00610B4B" w:rsidP="00610B4B">
            <w:pPr>
              <w:rPr>
                <w:sz w:val="12"/>
                <w:szCs w:val="12"/>
              </w:rPr>
            </w:pPr>
            <w:r w:rsidRPr="00610B4B">
              <w:rPr>
                <w:sz w:val="12"/>
                <w:szCs w:val="12"/>
              </w:rPr>
              <w:t>TAS</w:t>
            </w:r>
          </w:p>
        </w:tc>
        <w:tc>
          <w:tcPr>
            <w:tcW w:w="2257" w:type="dxa"/>
            <w:noWrap/>
            <w:hideMark/>
          </w:tcPr>
          <w:p w14:paraId="76549C55" w14:textId="18A253A1" w:rsidR="00610B4B" w:rsidRPr="00610B4B" w:rsidRDefault="00610B4B" w:rsidP="00610B4B">
            <w:pPr>
              <w:rPr>
                <w:sz w:val="12"/>
                <w:szCs w:val="12"/>
              </w:rPr>
            </w:pPr>
            <w:r w:rsidRPr="00610B4B">
              <w:rPr>
                <w:sz w:val="12"/>
                <w:szCs w:val="12"/>
              </w:rPr>
              <w:t>533%</w:t>
            </w:r>
          </w:p>
        </w:tc>
        <w:tc>
          <w:tcPr>
            <w:tcW w:w="2126" w:type="dxa"/>
            <w:noWrap/>
            <w:hideMark/>
          </w:tcPr>
          <w:p w14:paraId="26FE65C9" w14:textId="200A493D" w:rsidR="00610B4B" w:rsidRPr="00610B4B" w:rsidRDefault="00610B4B" w:rsidP="00610B4B">
            <w:pPr>
              <w:rPr>
                <w:sz w:val="12"/>
                <w:szCs w:val="12"/>
              </w:rPr>
            </w:pPr>
            <w:r w:rsidRPr="00610B4B">
              <w:rPr>
                <w:sz w:val="12"/>
                <w:szCs w:val="12"/>
              </w:rPr>
              <w:t>144%</w:t>
            </w:r>
          </w:p>
        </w:tc>
      </w:tr>
      <w:tr w:rsidR="00610B4B" w:rsidRPr="00BB5B01" w14:paraId="226200EF" w14:textId="77777777">
        <w:trPr>
          <w:trHeight w:val="227"/>
        </w:trPr>
        <w:tc>
          <w:tcPr>
            <w:tcW w:w="857" w:type="dxa"/>
            <w:noWrap/>
            <w:hideMark/>
          </w:tcPr>
          <w:p w14:paraId="22BD3C0C" w14:textId="77777777" w:rsidR="00610B4B" w:rsidRPr="00610B4B" w:rsidRDefault="00610B4B" w:rsidP="00610B4B">
            <w:pPr>
              <w:rPr>
                <w:sz w:val="12"/>
                <w:szCs w:val="12"/>
              </w:rPr>
            </w:pPr>
            <w:r w:rsidRPr="00610B4B">
              <w:rPr>
                <w:sz w:val="12"/>
                <w:szCs w:val="12"/>
              </w:rPr>
              <w:t>NT</w:t>
            </w:r>
          </w:p>
        </w:tc>
        <w:tc>
          <w:tcPr>
            <w:tcW w:w="2257" w:type="dxa"/>
            <w:noWrap/>
            <w:hideMark/>
          </w:tcPr>
          <w:p w14:paraId="50B551FB" w14:textId="09797499" w:rsidR="00610B4B" w:rsidRPr="00610B4B" w:rsidRDefault="00610B4B" w:rsidP="00610B4B">
            <w:pPr>
              <w:rPr>
                <w:sz w:val="12"/>
                <w:szCs w:val="12"/>
              </w:rPr>
            </w:pPr>
            <w:r w:rsidRPr="00610B4B">
              <w:rPr>
                <w:sz w:val="12"/>
                <w:szCs w:val="12"/>
              </w:rPr>
              <w:t>175%</w:t>
            </w:r>
          </w:p>
        </w:tc>
        <w:tc>
          <w:tcPr>
            <w:tcW w:w="2126" w:type="dxa"/>
            <w:noWrap/>
            <w:hideMark/>
          </w:tcPr>
          <w:p w14:paraId="5716D7CF" w14:textId="6A74A2AA" w:rsidR="00610B4B" w:rsidRPr="00610B4B" w:rsidRDefault="00610B4B" w:rsidP="00610B4B">
            <w:pPr>
              <w:rPr>
                <w:sz w:val="12"/>
                <w:szCs w:val="12"/>
              </w:rPr>
            </w:pPr>
            <w:r w:rsidRPr="00610B4B">
              <w:rPr>
                <w:sz w:val="12"/>
                <w:szCs w:val="12"/>
              </w:rPr>
              <w:t>73%</w:t>
            </w:r>
          </w:p>
        </w:tc>
      </w:tr>
      <w:tr w:rsidR="00610B4B" w:rsidRPr="00BB5B01" w14:paraId="35F8DCCF" w14:textId="77777777">
        <w:trPr>
          <w:trHeight w:val="227"/>
        </w:trPr>
        <w:tc>
          <w:tcPr>
            <w:tcW w:w="857" w:type="dxa"/>
            <w:noWrap/>
            <w:hideMark/>
          </w:tcPr>
          <w:p w14:paraId="24CA9769" w14:textId="77777777" w:rsidR="00610B4B" w:rsidRPr="00610B4B" w:rsidRDefault="00610B4B" w:rsidP="00610B4B">
            <w:pPr>
              <w:rPr>
                <w:sz w:val="12"/>
                <w:szCs w:val="12"/>
              </w:rPr>
            </w:pPr>
            <w:r w:rsidRPr="00610B4B">
              <w:rPr>
                <w:sz w:val="12"/>
                <w:szCs w:val="12"/>
              </w:rPr>
              <w:t>ACT</w:t>
            </w:r>
          </w:p>
        </w:tc>
        <w:tc>
          <w:tcPr>
            <w:tcW w:w="2257" w:type="dxa"/>
            <w:noWrap/>
            <w:hideMark/>
          </w:tcPr>
          <w:p w14:paraId="0B1F4EAC" w14:textId="679625BD" w:rsidR="00610B4B" w:rsidRPr="00610B4B" w:rsidRDefault="00610B4B" w:rsidP="00610B4B">
            <w:pPr>
              <w:rPr>
                <w:sz w:val="12"/>
                <w:szCs w:val="12"/>
              </w:rPr>
            </w:pPr>
            <w:r w:rsidRPr="00610B4B">
              <w:rPr>
                <w:sz w:val="12"/>
                <w:szCs w:val="12"/>
              </w:rPr>
              <w:t>317%</w:t>
            </w:r>
          </w:p>
        </w:tc>
        <w:tc>
          <w:tcPr>
            <w:tcW w:w="2126" w:type="dxa"/>
            <w:noWrap/>
            <w:hideMark/>
          </w:tcPr>
          <w:p w14:paraId="4B19C073" w14:textId="3AE4D1D8" w:rsidR="00610B4B" w:rsidRPr="00610B4B" w:rsidRDefault="00610B4B" w:rsidP="00610B4B">
            <w:pPr>
              <w:rPr>
                <w:sz w:val="12"/>
                <w:szCs w:val="12"/>
              </w:rPr>
            </w:pPr>
            <w:r w:rsidRPr="00610B4B">
              <w:rPr>
                <w:sz w:val="12"/>
                <w:szCs w:val="12"/>
              </w:rPr>
              <w:t>44%</w:t>
            </w:r>
          </w:p>
        </w:tc>
      </w:tr>
    </w:tbl>
    <w:p w14:paraId="5C027ED8" w14:textId="77777777" w:rsidR="00BB5B01" w:rsidRDefault="00BB5B01" w:rsidP="00406B06">
      <w:pPr>
        <w:rPr>
          <w:lang w:val="en-US"/>
        </w:rPr>
      </w:pPr>
    </w:p>
    <w:p w14:paraId="752350C9" w14:textId="28E461D3" w:rsidR="00BB5B01" w:rsidRPr="00406B06" w:rsidRDefault="00BB5B01" w:rsidP="00406B06">
      <w:pPr>
        <w:rPr>
          <w:lang w:val="en-US"/>
        </w:rPr>
      </w:pPr>
    </w:p>
    <w:p w14:paraId="487046CD" w14:textId="106F1FF7" w:rsidR="00386683" w:rsidRDefault="00386683" w:rsidP="008B2387">
      <w:pPr>
        <w:pStyle w:val="Source"/>
      </w:pPr>
    </w:p>
    <w:p w14:paraId="029CBDF0" w14:textId="77777777" w:rsidR="00610B4B" w:rsidRDefault="00610B4B" w:rsidP="00610B4B"/>
    <w:p w14:paraId="7B2843C2" w14:textId="77777777" w:rsidR="00610B4B" w:rsidRDefault="00610B4B" w:rsidP="00610B4B"/>
    <w:p w14:paraId="21152B33" w14:textId="77777777" w:rsidR="00610B4B" w:rsidRDefault="00610B4B" w:rsidP="00610B4B"/>
    <w:p w14:paraId="4F9DF6AE" w14:textId="77777777" w:rsidR="00610B4B" w:rsidRPr="00610B4B" w:rsidRDefault="00610B4B" w:rsidP="00610B4B"/>
    <w:p w14:paraId="7F785EF4" w14:textId="7FE6EB34" w:rsidR="00610B4B" w:rsidRPr="00610B4B" w:rsidRDefault="00386683" w:rsidP="009E4064">
      <w:pPr>
        <w:pStyle w:val="Source"/>
        <w:spacing w:after="240"/>
      </w:pPr>
      <w:r>
        <w:t>S</w:t>
      </w:r>
      <w:r w:rsidRPr="00724C86">
        <w:t>ource:</w:t>
      </w:r>
      <w:r w:rsidRPr="00B7001D">
        <w:rPr>
          <w:rStyle w:val="BodycopyChar"/>
        </w:rPr>
        <w:t xml:space="preserve"> </w:t>
      </w:r>
      <w:r w:rsidRPr="72D744D6">
        <w:t xml:space="preserve">Jobs and Skills Australia, Internet Vacancy Index, </w:t>
      </w:r>
      <w:r w:rsidRPr="00D359EB">
        <w:t>March 2024</w:t>
      </w:r>
    </w:p>
    <w:p w14:paraId="7011A75C" w14:textId="6907CB51" w:rsidR="00FF698B" w:rsidRPr="00557B66" w:rsidRDefault="00386683" w:rsidP="00557B66">
      <w:pPr>
        <w:pStyle w:val="Bodycopy"/>
      </w:pPr>
      <w:r w:rsidRPr="00557B66">
        <w:t xml:space="preserve">Plausible explanations of this growth in VET teacher vacancies include the creation of new VET teacher jobs in areas of high enrolments; flow on effects from fee-free TAFE initiatives at the state level; turnover at particular providers due to dissatisfaction with working conditions and the replacement of those exiting the occupation (e.g. due to a job change, or training reaccreditation in line with changing RTO standards or retirement considering the more mature profile of </w:t>
      </w:r>
      <w:r w:rsidR="00CC6D50">
        <w:t>VET teachers</w:t>
      </w:r>
      <w:r w:rsidRPr="00557B66">
        <w:t>). Very strong demand for workers in vocational fields where the occupation is also on the skills shortage list (e.g. Electricians) or</w:t>
      </w:r>
      <w:r w:rsidR="000024D3" w:rsidRPr="00557B66">
        <w:t xml:space="preserve"> where the</w:t>
      </w:r>
      <w:r w:rsidR="00610B4B" w:rsidRPr="00557B66">
        <w:t xml:space="preserve"> </w:t>
      </w:r>
      <w:r w:rsidR="000024D3" w:rsidRPr="00557B66">
        <w:t>workforce</w:t>
      </w:r>
      <w:r w:rsidRPr="00557B66">
        <w:t xml:space="preserve"> is nearing retirement age (e.g. adult literacy and numeracy specialists) is also a factor.</w:t>
      </w:r>
      <w:r w:rsidR="00FF698B" w:rsidRPr="00557B66">
        <w:rPr>
          <w:vertAlign w:val="superscript"/>
        </w:rPr>
        <w:footnoteReference w:id="10"/>
      </w:r>
      <w:r w:rsidR="00FF698B" w:rsidRPr="00557B66">
        <w:rPr>
          <w:vertAlign w:val="superscript"/>
        </w:rPr>
        <w:t xml:space="preserve"> </w:t>
      </w:r>
    </w:p>
    <w:p w14:paraId="704E6F74" w14:textId="77777777" w:rsidR="00FF698B" w:rsidRPr="00E2644C" w:rsidRDefault="00FF698B" w:rsidP="00E16D4F">
      <w:pPr>
        <w:pStyle w:val="Bodycopy"/>
      </w:pPr>
      <w:r w:rsidRPr="00E2644C">
        <w:lastRenderedPageBreak/>
        <w:t>Some of the top ten qualifications by enrolments as discussed in Chapter 1 have experienced significantly above average rates of growth since 2018. These include:</w:t>
      </w:r>
    </w:p>
    <w:p w14:paraId="0C1698E0" w14:textId="77777777" w:rsidR="00FF698B" w:rsidRDefault="00FF698B" w:rsidP="00D04786">
      <w:pPr>
        <w:pStyle w:val="ListBullet"/>
      </w:pPr>
      <w:r>
        <w:t>Certificate III in Early Childhood Education and Care (up 40%)</w:t>
      </w:r>
    </w:p>
    <w:p w14:paraId="59F373DC" w14:textId="77777777" w:rsidR="00FF698B" w:rsidRDefault="00FF698B" w:rsidP="00D04786">
      <w:pPr>
        <w:pStyle w:val="ListBullet"/>
      </w:pPr>
      <w:r>
        <w:t>Certificate III in Business (up 33%)</w:t>
      </w:r>
    </w:p>
    <w:p w14:paraId="6BB09862" w14:textId="77777777" w:rsidR="00FF698B" w:rsidRDefault="00FF698B" w:rsidP="00D04786">
      <w:pPr>
        <w:pStyle w:val="ListBullet"/>
      </w:pPr>
      <w:r>
        <w:t>Certificate III in Individual Support (up 26%)</w:t>
      </w:r>
    </w:p>
    <w:p w14:paraId="70D2E328" w14:textId="77777777" w:rsidR="00FF698B" w:rsidRDefault="00FF698B" w:rsidP="00D04786">
      <w:pPr>
        <w:pStyle w:val="ListBullet"/>
      </w:pPr>
      <w:r>
        <w:t>Certificate III in Carpentry (up 20%).</w:t>
      </w:r>
    </w:p>
    <w:p w14:paraId="65616399" w14:textId="77777777" w:rsidR="00FF698B" w:rsidRDefault="00FF698B" w:rsidP="00E16D4F">
      <w:pPr>
        <w:pStyle w:val="Bodycopy"/>
        <w:rPr>
          <w:color w:val="auto"/>
        </w:rPr>
      </w:pPr>
      <w:r>
        <w:t>It is reasonable to conclude given the enrolment growth for these qualifications that new VET teacher, trainer and assessor jobs have been created in these areas</w:t>
      </w:r>
      <w:r w:rsidRPr="00F220EA">
        <w:rPr>
          <w:color w:val="auto"/>
        </w:rPr>
        <w:t xml:space="preserve">. </w:t>
      </w:r>
    </w:p>
    <w:p w14:paraId="56A07813" w14:textId="5919EC5B" w:rsidR="00127236" w:rsidRDefault="00FF698B" w:rsidP="00557B66">
      <w:pPr>
        <w:pStyle w:val="Bodycopy"/>
      </w:pPr>
      <w:r>
        <w:t xml:space="preserve">The growth in advertisements for other occupations spread across all education sectors including VET was generally lower than that of </w:t>
      </w:r>
      <w:r w:rsidR="00CC6D50">
        <w:t>VET teachers</w:t>
      </w:r>
      <w:r>
        <w:t xml:space="preserve">. For example, Education Advisers and Reviewers and Training and Development Professionals saw an increase of 87.4% and 79.6% respectively between February 2014 and February 2024, compared to </w:t>
      </w:r>
      <w:r w:rsidR="00CC6D50">
        <w:t>VET teachers</w:t>
      </w:r>
      <w:r>
        <w:t xml:space="preserve"> at 201.4%. </w:t>
      </w:r>
    </w:p>
    <w:p w14:paraId="73417C57" w14:textId="1EE913C6" w:rsidR="00AA4225" w:rsidRDefault="00FF698B" w:rsidP="00557B66">
      <w:pPr>
        <w:pStyle w:val="Bodycopy"/>
      </w:pPr>
      <w:r>
        <w:t xml:space="preserve">Teachers in other education sectors outgrew </w:t>
      </w:r>
      <w:r w:rsidR="00CC6D50">
        <w:t>VET teachers</w:t>
      </w:r>
      <w:r>
        <w:t xml:space="preserve">, with advertisements for </w:t>
      </w:r>
      <w:r w:rsidR="00F13473">
        <w:t>p</w:t>
      </w:r>
      <w:r>
        <w:t xml:space="preserve">rimary and </w:t>
      </w:r>
      <w:r w:rsidR="00F13473">
        <w:t>s</w:t>
      </w:r>
      <w:r>
        <w:t xml:space="preserve">econdary </w:t>
      </w:r>
      <w:r w:rsidR="00F13473">
        <w:t>s</w:t>
      </w:r>
      <w:r>
        <w:t xml:space="preserve">chool </w:t>
      </w:r>
      <w:r w:rsidR="00F13473">
        <w:t>t</w:t>
      </w:r>
      <w:r>
        <w:t xml:space="preserve">eachers increasing over 500% in the same period.  Early </w:t>
      </w:r>
      <w:r w:rsidR="00F13473">
        <w:t>c</w:t>
      </w:r>
      <w:r>
        <w:t>hildhood (</w:t>
      </w:r>
      <w:r w:rsidR="00F13473">
        <w:t>p</w:t>
      </w:r>
      <w:r>
        <w:t xml:space="preserve">re-primary </w:t>
      </w:r>
      <w:r w:rsidR="00F13473">
        <w:t>s</w:t>
      </w:r>
      <w:r>
        <w:t xml:space="preserve">chool </w:t>
      </w:r>
      <w:r w:rsidR="00F13473">
        <w:t>t</w:t>
      </w:r>
      <w:r>
        <w:t xml:space="preserve">eachers) had similar growth to </w:t>
      </w:r>
      <w:r w:rsidR="00CC6D50">
        <w:t>VET teachers</w:t>
      </w:r>
      <w:r>
        <w:t xml:space="preserve"> but interestingly has been on the skills shortage list for far longer.  See </w:t>
      </w:r>
      <w:hyperlink w:anchor="Figure_4_4" w:history="1">
        <w:r w:rsidRPr="00564816">
          <w:rPr>
            <w:rStyle w:val="Hyperlink"/>
          </w:rPr>
          <w:t>Figure 4.4</w:t>
        </w:r>
      </w:hyperlink>
      <w:r>
        <w:t xml:space="preserve">.  </w:t>
      </w:r>
    </w:p>
    <w:p w14:paraId="27FC8FD1" w14:textId="29D36F45" w:rsidR="00FF698B" w:rsidRDefault="00445322" w:rsidP="00785DAC">
      <w:pPr>
        <w:pStyle w:val="Caption"/>
        <w:keepNext/>
        <w:spacing w:after="240"/>
      </w:pPr>
      <w:bookmarkStart w:id="195" w:name="Figure_4_4"/>
      <w:r>
        <w:rPr>
          <w:noProof/>
          <w:sz w:val="12"/>
          <w:szCs w:val="12"/>
        </w:rPr>
        <w:drawing>
          <wp:anchor distT="0" distB="0" distL="114300" distR="114300" simplePos="0" relativeHeight="251658256" behindDoc="0" locked="0" layoutInCell="1" allowOverlap="1" wp14:anchorId="492859C4" wp14:editId="6BAD9945">
            <wp:simplePos x="0" y="0"/>
            <wp:positionH relativeFrom="margin">
              <wp:posOffset>-2215</wp:posOffset>
            </wp:positionH>
            <wp:positionV relativeFrom="paragraph">
              <wp:posOffset>338913</wp:posOffset>
            </wp:positionV>
            <wp:extent cx="5652000" cy="4397963"/>
            <wp:effectExtent l="19050" t="19050" r="25400" b="22225"/>
            <wp:wrapNone/>
            <wp:docPr id="1265631243"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631243" name="Picture 9">
                      <a:extLst>
                        <a:ext uri="{C183D7F6-B498-43B3-948B-1728B52AA6E4}">
                          <adec:decorative xmlns:adec="http://schemas.microsoft.com/office/drawing/2017/decorative" val="1"/>
                        </a:ext>
                      </a:extLst>
                    </pic:cNvPr>
                    <pic:cNvPicPr/>
                  </pic:nvPicPr>
                  <pic:blipFill rotWithShape="1">
                    <a:blip r:embed="rId62" cstate="print">
                      <a:extLst>
                        <a:ext uri="{28A0092B-C50C-407E-A947-70E740481C1C}">
                          <a14:useLocalDpi xmlns:a14="http://schemas.microsoft.com/office/drawing/2010/main" val="0"/>
                        </a:ext>
                      </a:extLst>
                    </a:blip>
                    <a:srcRect l="-1463" r="-6981"/>
                    <a:stretch/>
                  </pic:blipFill>
                  <pic:spPr bwMode="auto">
                    <a:xfrm>
                      <a:off x="0" y="0"/>
                      <a:ext cx="5652000" cy="4397963"/>
                    </a:xfrm>
                    <a:prstGeom prst="rect">
                      <a:avLst/>
                    </a:prstGeom>
                    <a:solidFill>
                      <a:schemeClr val="bg1"/>
                    </a:solidFill>
                    <a:ln w="635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698B">
        <w:t xml:space="preserve">Figure </w:t>
      </w:r>
      <w:r w:rsidR="006558DC">
        <w:fldChar w:fldCharType="begin"/>
      </w:r>
      <w:r w:rsidR="006558DC">
        <w:instrText xml:space="preserve"> STYLEREF 1 \s </w:instrText>
      </w:r>
      <w:r w:rsidR="006558DC">
        <w:fldChar w:fldCharType="separate"/>
      </w:r>
      <w:r w:rsidR="00E7704E">
        <w:rPr>
          <w:noProof/>
        </w:rPr>
        <w:t>4</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4</w:t>
      </w:r>
      <w:r w:rsidR="006558DC">
        <w:fldChar w:fldCharType="end"/>
      </w:r>
      <w:r w:rsidR="00FF698B">
        <w:t xml:space="preserve"> Growth in job advertisements from February 2014 - February 2024 by occupation</w:t>
      </w:r>
    </w:p>
    <w:bookmarkEnd w:id="195"/>
    <w:p w14:paraId="0E144C44" w14:textId="5EC0E9BA" w:rsidR="00A81A42" w:rsidRPr="00A81A42" w:rsidRDefault="00A81A42" w:rsidP="00A81A42">
      <w:pPr>
        <w:rPr>
          <w:sz w:val="12"/>
          <w:szCs w:val="12"/>
          <w:lang w:val="en-US"/>
        </w:rPr>
      </w:pPr>
      <w:r w:rsidRPr="00A81A42">
        <w:rPr>
          <w:sz w:val="12"/>
          <w:szCs w:val="12"/>
          <w:lang w:val="en-US"/>
        </w:rPr>
        <w:t>Primary School Teachers - 577.8%</w:t>
      </w:r>
    </w:p>
    <w:p w14:paraId="3BBE7D08" w14:textId="59EAC9A1" w:rsidR="00A81A42" w:rsidRPr="00A81A42" w:rsidRDefault="00A81A42" w:rsidP="00A81A42">
      <w:pPr>
        <w:rPr>
          <w:sz w:val="12"/>
          <w:szCs w:val="12"/>
          <w:lang w:val="en-US"/>
        </w:rPr>
      </w:pPr>
      <w:r w:rsidRPr="00A81A42">
        <w:rPr>
          <w:sz w:val="12"/>
          <w:szCs w:val="12"/>
          <w:lang w:val="en-US"/>
        </w:rPr>
        <w:t>Secondary School Teachers - 511.2%</w:t>
      </w:r>
    </w:p>
    <w:p w14:paraId="15CF7BD1" w14:textId="528F3E74" w:rsidR="00A81A42" w:rsidRPr="00A81A42" w:rsidRDefault="00A81A42" w:rsidP="00A81A42">
      <w:pPr>
        <w:rPr>
          <w:sz w:val="12"/>
          <w:szCs w:val="12"/>
          <w:lang w:val="en-US"/>
        </w:rPr>
      </w:pPr>
      <w:r w:rsidRPr="00A81A42">
        <w:rPr>
          <w:sz w:val="12"/>
          <w:szCs w:val="12"/>
          <w:lang w:val="en-US"/>
        </w:rPr>
        <w:t>Other Education Managers - 211.5%</w:t>
      </w:r>
    </w:p>
    <w:p w14:paraId="53CDC795" w14:textId="2C253EE3" w:rsidR="00A81A42" w:rsidRPr="00A81A42" w:rsidRDefault="00A81A42" w:rsidP="00A81A42">
      <w:pPr>
        <w:rPr>
          <w:sz w:val="12"/>
          <w:szCs w:val="12"/>
          <w:lang w:val="en-US"/>
        </w:rPr>
      </w:pPr>
      <w:r w:rsidRPr="00A81A42">
        <w:rPr>
          <w:sz w:val="12"/>
          <w:szCs w:val="12"/>
          <w:lang w:val="en-US"/>
        </w:rPr>
        <w:t>Early Childhood (Pre-primary School) Teachers - 210.2%</w:t>
      </w:r>
    </w:p>
    <w:p w14:paraId="186E83FC" w14:textId="77BD8F65" w:rsidR="00A81A42" w:rsidRPr="00A81A42" w:rsidRDefault="00CC6D50" w:rsidP="00A81A42">
      <w:pPr>
        <w:rPr>
          <w:sz w:val="12"/>
          <w:szCs w:val="12"/>
          <w:lang w:val="en-US"/>
        </w:rPr>
      </w:pPr>
      <w:r>
        <w:rPr>
          <w:sz w:val="12"/>
          <w:szCs w:val="12"/>
          <w:lang w:val="en-US"/>
        </w:rPr>
        <w:t>VET teachers</w:t>
      </w:r>
      <w:r w:rsidR="00A81A42" w:rsidRPr="00A81A42">
        <w:rPr>
          <w:sz w:val="12"/>
          <w:szCs w:val="12"/>
          <w:lang w:val="en-US"/>
        </w:rPr>
        <w:t xml:space="preserve"> - 201.4%</w:t>
      </w:r>
    </w:p>
    <w:p w14:paraId="62CA20C1" w14:textId="6DC6B089" w:rsidR="00A81A42" w:rsidRPr="00A81A42" w:rsidRDefault="00A81A42" w:rsidP="00A81A42">
      <w:pPr>
        <w:rPr>
          <w:sz w:val="12"/>
          <w:szCs w:val="12"/>
          <w:lang w:val="en-US"/>
        </w:rPr>
      </w:pPr>
      <w:r w:rsidRPr="00A81A42">
        <w:rPr>
          <w:sz w:val="12"/>
          <w:szCs w:val="12"/>
          <w:lang w:val="en-US"/>
        </w:rPr>
        <w:t>University Lecturers and Tutors - 143.7%</w:t>
      </w:r>
    </w:p>
    <w:p w14:paraId="7F576D84" w14:textId="1B280077" w:rsidR="00A81A42" w:rsidRPr="00A81A42" w:rsidRDefault="00A81A42" w:rsidP="00A81A42">
      <w:pPr>
        <w:rPr>
          <w:sz w:val="12"/>
          <w:szCs w:val="12"/>
          <w:lang w:val="en-US"/>
        </w:rPr>
      </w:pPr>
      <w:r w:rsidRPr="00A81A42">
        <w:rPr>
          <w:sz w:val="12"/>
          <w:szCs w:val="12"/>
          <w:lang w:val="en-US"/>
        </w:rPr>
        <w:t>Education Advisers and Reviewers - 87.4%</w:t>
      </w:r>
    </w:p>
    <w:p w14:paraId="01EB31B0" w14:textId="54688A6D" w:rsidR="00A81A42" w:rsidRDefault="00A81A42" w:rsidP="00A81A42">
      <w:pPr>
        <w:rPr>
          <w:sz w:val="12"/>
          <w:szCs w:val="12"/>
          <w:lang w:val="en-US"/>
        </w:rPr>
      </w:pPr>
      <w:r w:rsidRPr="00A81A42">
        <w:rPr>
          <w:sz w:val="12"/>
          <w:szCs w:val="12"/>
          <w:lang w:val="en-US"/>
        </w:rPr>
        <w:t>Training and Development Professionals - 79.6%</w:t>
      </w:r>
    </w:p>
    <w:p w14:paraId="523783A6" w14:textId="584C83D7" w:rsidR="00AB1944" w:rsidRPr="00A81A42" w:rsidRDefault="00AB1944" w:rsidP="00A81A42">
      <w:pPr>
        <w:rPr>
          <w:sz w:val="12"/>
          <w:szCs w:val="12"/>
          <w:lang w:val="en-US"/>
        </w:rPr>
      </w:pPr>
    </w:p>
    <w:p w14:paraId="1B147E42" w14:textId="77777777" w:rsidR="00A81A42" w:rsidRDefault="00A81A42" w:rsidP="00A81A42">
      <w:pPr>
        <w:rPr>
          <w:lang w:val="en-US"/>
        </w:rPr>
      </w:pPr>
    </w:p>
    <w:p w14:paraId="63211FAC" w14:textId="77777777" w:rsidR="00AA4225" w:rsidRDefault="00AA4225" w:rsidP="00A81A42">
      <w:pPr>
        <w:rPr>
          <w:lang w:val="en-US"/>
        </w:rPr>
      </w:pPr>
    </w:p>
    <w:p w14:paraId="5982EA80" w14:textId="77777777" w:rsidR="00AA4225" w:rsidRDefault="00AA4225" w:rsidP="00A81A42">
      <w:pPr>
        <w:rPr>
          <w:lang w:val="en-US"/>
        </w:rPr>
      </w:pPr>
    </w:p>
    <w:p w14:paraId="3E94B974" w14:textId="77777777" w:rsidR="00AA4225" w:rsidRDefault="00AA4225" w:rsidP="00A81A42">
      <w:pPr>
        <w:rPr>
          <w:lang w:val="en-US"/>
        </w:rPr>
      </w:pPr>
    </w:p>
    <w:p w14:paraId="69A02F77" w14:textId="77777777" w:rsidR="00AA4225" w:rsidRDefault="00AA4225" w:rsidP="00A81A42">
      <w:pPr>
        <w:rPr>
          <w:lang w:val="en-US"/>
        </w:rPr>
      </w:pPr>
    </w:p>
    <w:p w14:paraId="46D4D0A2" w14:textId="77777777" w:rsidR="00AA4225" w:rsidRDefault="00AA4225" w:rsidP="00A81A42">
      <w:pPr>
        <w:rPr>
          <w:lang w:val="en-US"/>
        </w:rPr>
      </w:pPr>
    </w:p>
    <w:p w14:paraId="635EFB3E" w14:textId="77777777" w:rsidR="00AA4225" w:rsidRDefault="00AA4225" w:rsidP="00A81A42">
      <w:pPr>
        <w:rPr>
          <w:lang w:val="en-US"/>
        </w:rPr>
      </w:pPr>
    </w:p>
    <w:p w14:paraId="255A28B8" w14:textId="77777777" w:rsidR="00AA4225" w:rsidRDefault="00AA4225" w:rsidP="00A81A42">
      <w:pPr>
        <w:rPr>
          <w:lang w:val="en-US"/>
        </w:rPr>
      </w:pPr>
    </w:p>
    <w:p w14:paraId="4ADE5D30" w14:textId="77777777" w:rsidR="00AA4225" w:rsidRPr="00A81A42" w:rsidRDefault="00AA4225" w:rsidP="00A81A42">
      <w:pPr>
        <w:rPr>
          <w:lang w:val="en-US"/>
        </w:rPr>
      </w:pPr>
    </w:p>
    <w:p w14:paraId="1F260118" w14:textId="57C737D8" w:rsidR="00FF698B" w:rsidRDefault="00FF698B" w:rsidP="00E16D4F">
      <w:pPr>
        <w:pStyle w:val="Bodycopy"/>
      </w:pPr>
    </w:p>
    <w:p w14:paraId="1004CA17" w14:textId="69EC0ABC" w:rsidR="00FF698B" w:rsidRDefault="00FF698B" w:rsidP="008B2387">
      <w:pPr>
        <w:pStyle w:val="Source"/>
      </w:pPr>
      <w:r>
        <w:t>Source:</w:t>
      </w:r>
      <w:r w:rsidRPr="00B7001D">
        <w:rPr>
          <w:rStyle w:val="BodycopyChar"/>
        </w:rPr>
        <w:t xml:space="preserve"> </w:t>
      </w:r>
      <w:r>
        <w:t>Jobs and Skills Australia, Internet Vacancy Index, March 2024</w:t>
      </w:r>
      <w:r w:rsidR="007142B3">
        <w:t>.</w:t>
      </w:r>
    </w:p>
    <w:p w14:paraId="3E872297" w14:textId="3C0D97D9" w:rsidR="00FF698B" w:rsidRPr="007D61A4" w:rsidRDefault="00FF698B" w:rsidP="070D62CA">
      <w:pPr>
        <w:pStyle w:val="Caption"/>
        <w:rPr>
          <w:rStyle w:val="SubtleEmphasis"/>
          <w:b w:val="0"/>
          <w:bCs/>
          <w:i w:val="0"/>
          <w:iCs w:val="0"/>
        </w:rPr>
      </w:pPr>
      <w:r>
        <w:lastRenderedPageBreak/>
        <w:t xml:space="preserve">Box 4.1 </w:t>
      </w:r>
      <w:r w:rsidR="006F7208" w:rsidRPr="007D61A4">
        <w:rPr>
          <w:bCs/>
        </w:rPr>
        <w:t>LinkedIn</w:t>
      </w:r>
      <w:r w:rsidRPr="007D61A4">
        <w:rPr>
          <w:bCs/>
        </w:rPr>
        <w:t xml:space="preserve"> </w:t>
      </w:r>
      <w:r w:rsidR="001F318A">
        <w:rPr>
          <w:bCs/>
        </w:rPr>
        <w:t>d</w:t>
      </w:r>
      <w:r w:rsidRPr="007D61A4">
        <w:rPr>
          <w:bCs/>
        </w:rPr>
        <w:t xml:space="preserve">ata </w:t>
      </w:r>
      <w:r w:rsidR="001F318A">
        <w:rPr>
          <w:bCs/>
        </w:rPr>
        <w:t>s</w:t>
      </w:r>
      <w:r w:rsidRPr="007D61A4">
        <w:rPr>
          <w:bCs/>
        </w:rPr>
        <w:t xml:space="preserve">hows </w:t>
      </w:r>
      <w:r w:rsidR="001F318A">
        <w:rPr>
          <w:bCs/>
        </w:rPr>
        <w:t>e</w:t>
      </w:r>
      <w:r w:rsidRPr="007D61A4">
        <w:rPr>
          <w:bCs/>
        </w:rPr>
        <w:t xml:space="preserve">merging </w:t>
      </w:r>
      <w:r w:rsidR="001F318A">
        <w:rPr>
          <w:bCs/>
        </w:rPr>
        <w:t>j</w:t>
      </w:r>
      <w:r w:rsidRPr="007D61A4">
        <w:rPr>
          <w:bCs/>
        </w:rPr>
        <w:t xml:space="preserve">obs </w:t>
      </w:r>
      <w:r w:rsidR="001F318A">
        <w:rPr>
          <w:bCs/>
        </w:rPr>
        <w:t>l</w:t>
      </w:r>
      <w:r w:rsidRPr="007D61A4">
        <w:rPr>
          <w:bCs/>
        </w:rPr>
        <w:t xml:space="preserve">ike </w:t>
      </w:r>
      <w:r w:rsidR="00E80CA3">
        <w:rPr>
          <w:bCs/>
        </w:rPr>
        <w:t>L</w:t>
      </w:r>
      <w:r w:rsidRPr="007D61A4">
        <w:rPr>
          <w:bCs/>
        </w:rPr>
        <w:t xml:space="preserve">earning </w:t>
      </w:r>
      <w:r w:rsidR="00E80CA3">
        <w:rPr>
          <w:bCs/>
        </w:rPr>
        <w:t>S</w:t>
      </w:r>
      <w:r w:rsidRPr="007D61A4">
        <w:rPr>
          <w:bCs/>
        </w:rPr>
        <w:t xml:space="preserve">pecialist are </w:t>
      </w:r>
      <w:r w:rsidR="001F318A">
        <w:rPr>
          <w:bCs/>
        </w:rPr>
        <w:t>g</w:t>
      </w:r>
      <w:r w:rsidRPr="007D61A4">
        <w:rPr>
          <w:bCs/>
        </w:rPr>
        <w:t xml:space="preserve">rowing </w:t>
      </w:r>
      <w:r w:rsidR="001F318A">
        <w:rPr>
          <w:bCs/>
        </w:rPr>
        <w:t>f</w:t>
      </w:r>
      <w:r w:rsidRPr="007D61A4">
        <w:rPr>
          <w:bCs/>
        </w:rPr>
        <w:t>ast</w:t>
      </w:r>
    </w:p>
    <w:p w14:paraId="6146E181" w14:textId="6BF7BAD7" w:rsidR="00FF698B" w:rsidRPr="00783C3E" w:rsidRDefault="00FF698B" w:rsidP="00433C60">
      <w:pPr>
        <w:pStyle w:val="Breakoutbox"/>
        <w:pBdr>
          <w:top w:val="single" w:sz="36" w:space="5" w:color="EEF1F6"/>
          <w:bottom w:val="single" w:sz="36" w:space="5" w:color="EEF1F6"/>
          <w:right w:val="single" w:sz="36" w:space="10" w:color="EEF1F6"/>
        </w:pBdr>
      </w:pPr>
      <w:r w:rsidRPr="00783C3E">
        <w:rPr>
          <w:rStyle w:val="SubtleEmphasis"/>
          <w:i w:val="0"/>
          <w:iCs w:val="0"/>
          <w:color w:val="000000" w:themeColor="text1"/>
        </w:rPr>
        <w:t xml:space="preserve">LinkedIn Talent Insights is a database based on the professional networking site’s </w:t>
      </w:r>
      <w:r w:rsidR="00AF7E8E">
        <w:rPr>
          <w:rStyle w:val="SubtleEmphasis"/>
          <w:i w:val="0"/>
          <w:iCs w:val="0"/>
          <w:color w:val="000000" w:themeColor="text1"/>
        </w:rPr>
        <w:br/>
        <w:t>1 b</w:t>
      </w:r>
      <w:r w:rsidRPr="00783C3E">
        <w:rPr>
          <w:rStyle w:val="SubtleEmphasis"/>
          <w:i w:val="0"/>
          <w:iCs w:val="0"/>
          <w:color w:val="000000" w:themeColor="text1"/>
        </w:rPr>
        <w:t xml:space="preserve">illion members worldwide and provides ‘real-time’ insights on skills, employers, job titles and industries. The database has some shortcomings when compared with survey or administrative data </w:t>
      </w:r>
      <w:r w:rsidR="0000395E">
        <w:rPr>
          <w:rStyle w:val="SubtleEmphasis"/>
          <w:i w:val="0"/>
          <w:iCs w:val="0"/>
          <w:color w:val="000000" w:themeColor="text1"/>
        </w:rPr>
        <w:t>–</w:t>
      </w:r>
      <w:r w:rsidRPr="00783C3E">
        <w:rPr>
          <w:rStyle w:val="SubtleEmphasis"/>
          <w:i w:val="0"/>
          <w:iCs w:val="0"/>
          <w:color w:val="000000" w:themeColor="text1"/>
        </w:rPr>
        <w:t xml:space="preserve"> it is skewed towards professional roles and is self-reported. However, it is a useful tool which provides insight into common job titles, skills and areas of growth or decline within the industry including for the purposes of this study, especially in relation to public TAFE providers.</w:t>
      </w:r>
    </w:p>
    <w:p w14:paraId="77460C38" w14:textId="5CB90DEC" w:rsidR="00FF698B" w:rsidRPr="00783C3E" w:rsidRDefault="00FF698B" w:rsidP="00433C60">
      <w:pPr>
        <w:pStyle w:val="Breakoutbox"/>
        <w:pBdr>
          <w:top w:val="single" w:sz="36" w:space="5" w:color="EEF1F6"/>
          <w:bottom w:val="single" w:sz="36" w:space="5" w:color="EEF1F6"/>
          <w:right w:val="single" w:sz="36" w:space="10" w:color="EEF1F6"/>
        </w:pBdr>
      </w:pPr>
      <w:r w:rsidRPr="00783C3E">
        <w:rPr>
          <w:rStyle w:val="SubtleEmphasis"/>
          <w:i w:val="0"/>
          <w:iCs w:val="0"/>
          <w:color w:val="000000" w:themeColor="text1"/>
        </w:rPr>
        <w:t>Out of the 2</w:t>
      </w:r>
      <w:r w:rsidR="000B0EF5">
        <w:rPr>
          <w:rStyle w:val="SubtleEmphasis"/>
          <w:i w:val="0"/>
          <w:iCs w:val="0"/>
          <w:color w:val="000000" w:themeColor="text1"/>
        </w:rPr>
        <w:t>3</w:t>
      </w:r>
      <w:r w:rsidRPr="00783C3E">
        <w:rPr>
          <w:rStyle w:val="SubtleEmphasis"/>
          <w:i w:val="0"/>
          <w:iCs w:val="0"/>
          <w:color w:val="000000" w:themeColor="text1"/>
        </w:rPr>
        <w:t xml:space="preserve"> public TAFE providers operating in Australia, 17 of them have a current LinkedIn company page. In 2023, there are over 22,000 LinkedIn members based in Australia working for a public TAFE provider. Whilst LinkedIn has some limitations and should not be considered a quasi-workforce estimate this is a good sample of the TAFE </w:t>
      </w:r>
      <w:r w:rsidR="004B52FB">
        <w:rPr>
          <w:rStyle w:val="SubtleEmphasis"/>
          <w:i w:val="0"/>
          <w:iCs w:val="0"/>
          <w:color w:val="000000" w:themeColor="text1"/>
        </w:rPr>
        <w:t>w</w:t>
      </w:r>
      <w:r w:rsidRPr="00783C3E">
        <w:rPr>
          <w:rStyle w:val="SubtleEmphasis"/>
          <w:i w:val="0"/>
          <w:iCs w:val="0"/>
          <w:color w:val="000000" w:themeColor="text1"/>
        </w:rPr>
        <w:t>orkforce and stands at 65% of the 38,000 FTE reported by TAFE</w:t>
      </w:r>
      <w:r w:rsidR="00C73030" w:rsidRPr="00783C3E">
        <w:rPr>
          <w:rStyle w:val="SubtleEmphasis"/>
          <w:i w:val="0"/>
          <w:iCs w:val="0"/>
          <w:color w:val="000000" w:themeColor="text1"/>
        </w:rPr>
        <w:t>s</w:t>
      </w:r>
      <w:r w:rsidRPr="00783C3E">
        <w:rPr>
          <w:rStyle w:val="SubtleEmphasis"/>
          <w:i w:val="0"/>
          <w:iCs w:val="0"/>
          <w:color w:val="000000" w:themeColor="text1"/>
        </w:rPr>
        <w:t xml:space="preserve"> from this JSA study. Over 45% of the LinkedIn talent pool is TAFE NSW which is closely aligned with their workforce estimate of almost 16,000. </w:t>
      </w:r>
    </w:p>
    <w:p w14:paraId="554FB1EF" w14:textId="77777777" w:rsidR="00FF698B" w:rsidRPr="00783C3E" w:rsidRDefault="00FF698B" w:rsidP="00433C60">
      <w:pPr>
        <w:pStyle w:val="Breakoutbox"/>
        <w:pBdr>
          <w:top w:val="single" w:sz="36" w:space="5" w:color="EEF1F6"/>
          <w:bottom w:val="single" w:sz="36" w:space="5" w:color="EEF1F6"/>
          <w:right w:val="single" w:sz="36" w:space="10" w:color="EEF1F6"/>
        </w:pBdr>
      </w:pPr>
      <w:r w:rsidRPr="00783C3E">
        <w:rPr>
          <w:rStyle w:val="SubtleEmphasis"/>
          <w:i w:val="0"/>
          <w:iCs w:val="0"/>
          <w:color w:val="000000" w:themeColor="text1"/>
        </w:rPr>
        <w:t xml:space="preserve">Almost 43% of the professionals in this talent pool have a job title within the Teach, Train and Assess segment of the VET workforce, however many job titles reported fall under a trade or profession such as plumber, veterinarian or registered nurse which could be reflective of members who both teach and work in their chosen industry. Other common job titles include librarian, administrative assistant, education manager and support officer. </w:t>
      </w:r>
    </w:p>
    <w:p w14:paraId="6D6A05BF" w14:textId="77777777" w:rsidR="00FF698B" w:rsidRPr="00783C3E" w:rsidRDefault="00FF698B" w:rsidP="00433C60">
      <w:pPr>
        <w:pStyle w:val="Breakoutbox"/>
        <w:pBdr>
          <w:top w:val="single" w:sz="36" w:space="5" w:color="EEF1F6"/>
          <w:bottom w:val="single" w:sz="36" w:space="5" w:color="EEF1F6"/>
          <w:right w:val="single" w:sz="36" w:space="10" w:color="EEF1F6"/>
        </w:pBdr>
      </w:pPr>
      <w:r w:rsidRPr="00783C3E">
        <w:rPr>
          <w:rStyle w:val="SubtleEmphasis"/>
          <w:i w:val="0"/>
          <w:iCs w:val="0"/>
          <w:color w:val="000000" w:themeColor="text1"/>
        </w:rPr>
        <w:t>While traditional VET job titles are most common, emerging job titles are growing strongly. For example, the job title of Learning Specialist grew by over 200% in the last 12 months and learning Support roles are up: Education Administrator (up 44%), Customer Service Representative (up 35%), Assistant (up 31%) and Education Services Coordinator (up 25%)</w:t>
      </w:r>
    </w:p>
    <w:p w14:paraId="176B6E1F" w14:textId="77777777" w:rsidR="00FF698B" w:rsidRPr="00783C3E" w:rsidRDefault="00FF698B" w:rsidP="00433C60">
      <w:pPr>
        <w:pStyle w:val="Breakoutbox"/>
        <w:pBdr>
          <w:top w:val="single" w:sz="36" w:space="5" w:color="EEF1F6"/>
          <w:bottom w:val="single" w:sz="36" w:space="5" w:color="EEF1F6"/>
          <w:right w:val="single" w:sz="36" w:space="10" w:color="EEF1F6"/>
        </w:pBdr>
      </w:pPr>
      <w:r w:rsidRPr="00783C3E">
        <w:rPr>
          <w:rStyle w:val="SubtleEmphasis"/>
          <w:i w:val="0"/>
          <w:iCs w:val="0"/>
          <w:color w:val="000000" w:themeColor="text1"/>
        </w:rPr>
        <w:t xml:space="preserve">The most common skills among these professionals are staff development, adult education, eLearning, curriculum development and leadership development, however skills outside of teaching, training and assessment are more broadly on the rise. For example, technical skills such as business analysis and soft skills such as customer service have grown over 10% in the last 12 months and, skills in quality assurance have grown by 9%. </w:t>
      </w:r>
    </w:p>
    <w:p w14:paraId="0F6C46F3" w14:textId="74E85672" w:rsidR="00FF698B" w:rsidRPr="00783C3E" w:rsidRDefault="00FF698B" w:rsidP="00433C60">
      <w:pPr>
        <w:pStyle w:val="Breakoutbox"/>
        <w:pBdr>
          <w:top w:val="single" w:sz="36" w:space="5" w:color="EEF1F6"/>
          <w:bottom w:val="single" w:sz="36" w:space="5" w:color="EEF1F6"/>
          <w:right w:val="single" w:sz="36" w:space="10" w:color="EEF1F6"/>
        </w:pBdr>
        <w:rPr>
          <w:rStyle w:val="SubtleEmphasis"/>
          <w:i w:val="0"/>
          <w:iCs w:val="0"/>
          <w:color w:val="000000" w:themeColor="text1"/>
        </w:rPr>
      </w:pPr>
      <w:r w:rsidRPr="00783C3E">
        <w:rPr>
          <w:rStyle w:val="SubtleEmphasis"/>
          <w:i w:val="0"/>
          <w:iCs w:val="0"/>
          <w:color w:val="000000" w:themeColor="text1"/>
        </w:rPr>
        <w:t xml:space="preserve">Thirty-five large private providers (based on students and qualification enrolments) were also identified as having a company profile on LinkedIn. ‘Teacher’ is the most common profession amongst these private providers but titles and skills are more diverse than those among public providers. </w:t>
      </w:r>
    </w:p>
    <w:p w14:paraId="47EA87C8" w14:textId="77777777" w:rsidR="00FF698B" w:rsidRPr="00584FC2" w:rsidRDefault="00FF698B" w:rsidP="00433C60">
      <w:pPr>
        <w:pStyle w:val="Breakoutbox"/>
        <w:pBdr>
          <w:top w:val="single" w:sz="36" w:space="5" w:color="EEF1F6"/>
          <w:bottom w:val="single" w:sz="36" w:space="5" w:color="EEF1F6"/>
          <w:right w:val="single" w:sz="36" w:space="10" w:color="EEF1F6"/>
        </w:pBdr>
        <w:rPr>
          <w:b/>
          <w:bCs/>
        </w:rPr>
      </w:pPr>
      <w:r w:rsidRPr="00584FC2">
        <w:rPr>
          <w:rStyle w:val="BookTitle"/>
          <w:b w:val="0"/>
          <w:bCs w:val="0"/>
          <w:spacing w:val="0"/>
        </w:rPr>
        <w:t>LinkedIn Talent Insights data is derived by aggregating profile data voluntarily submitted by LinkedIn members. As such, LinkedIn cannot guarantee the accuracy of LinkedIn Talent Insights data.</w:t>
      </w:r>
    </w:p>
    <w:p w14:paraId="2B94D835" w14:textId="77777777" w:rsidR="00FF698B" w:rsidRDefault="00FF698B" w:rsidP="00386683">
      <w:r>
        <w:br w:type="page"/>
      </w:r>
    </w:p>
    <w:p w14:paraId="083723A0" w14:textId="77777777" w:rsidR="00FF698B" w:rsidRPr="00BA5056" w:rsidRDefault="00FF698B" w:rsidP="00386683">
      <w:pPr>
        <w:pStyle w:val="Heading3"/>
      </w:pPr>
      <w:bookmarkStart w:id="196" w:name="_Toc1278660838"/>
      <w:r>
        <w:lastRenderedPageBreak/>
        <w:t>Supply</w:t>
      </w:r>
      <w:bookmarkEnd w:id="196"/>
    </w:p>
    <w:p w14:paraId="465E77B5" w14:textId="1D82EEDC" w:rsidR="00FF698B" w:rsidRPr="00B7001D" w:rsidRDefault="00FF698B" w:rsidP="00E16D4F">
      <w:pPr>
        <w:pStyle w:val="Bodycopy"/>
      </w:pPr>
      <w:r>
        <w:t xml:space="preserve">The SPL, a yearly publication produced by JSA, has listed </w:t>
      </w:r>
      <w:r w:rsidR="00CC6D50">
        <w:t>VET teachers</w:t>
      </w:r>
      <w:r>
        <w:t xml:space="preserve"> in shortage nationally and in every jurisdiction in both 2022 and 2023. </w:t>
      </w:r>
      <w:r w:rsidRPr="00B7001D">
        <w:t>These shortages are particularly acute for teachers, trainers and assessors in occupations that are also on the SPL, particularly building and engineering trades. This is consistent with findings from the JSA Clean Energy Workforce Capacity Study</w:t>
      </w:r>
      <w:r w:rsidR="000D2260">
        <w:t>.</w:t>
      </w:r>
      <w:r w:rsidR="002B0248">
        <w:rPr>
          <w:rStyle w:val="EndnoteReference"/>
        </w:rPr>
        <w:endnoteReference w:id="73"/>
      </w:r>
    </w:p>
    <w:p w14:paraId="312338A4" w14:textId="5D8100B6" w:rsidR="00FF698B" w:rsidRPr="00635021" w:rsidRDefault="00FF698B" w:rsidP="00E16D4F">
      <w:pPr>
        <w:pStyle w:val="Bodycopy"/>
        <w:rPr>
          <w:shd w:val="clear" w:color="auto" w:fill="FFFFFF"/>
        </w:rPr>
      </w:pPr>
      <w:r>
        <w:t xml:space="preserve">The Survey of Employers who have Recently Advertised (SERA) measures fill rates for job openings and gives insights into the supply side of the labour market like online job advertisement datasets do for demand. Whilst it is important to recognise that difficulties in recruiting </w:t>
      </w:r>
      <w:r w:rsidR="00CC6D50">
        <w:t>VET teachers</w:t>
      </w:r>
      <w:r>
        <w:t xml:space="preserve"> will play out differently in different contexts, recent SERA results do indicate that across the period from January 2021 to August 2023, the fill rate for </w:t>
      </w:r>
      <w:r w:rsidR="00CC6D50">
        <w:t>VET teachers</w:t>
      </w:r>
      <w:r>
        <w:t xml:space="preserve"> was low at 50%. Relative to educators in other parts of Australia’s education system, this fill rate is comparable only to Early Childhood Teachers, also on the SPL since 2022. See </w:t>
      </w:r>
      <w:hyperlink w:anchor="Table_4_1" w:history="1">
        <w:r w:rsidR="00E25F54" w:rsidRPr="00E20E5E">
          <w:rPr>
            <w:rStyle w:val="Hyperlink"/>
          </w:rPr>
          <w:t xml:space="preserve">Table </w:t>
        </w:r>
        <w:r w:rsidRPr="00E20E5E">
          <w:rPr>
            <w:rStyle w:val="Hyperlink"/>
          </w:rPr>
          <w:t>4.1</w:t>
        </w:r>
      </w:hyperlink>
      <w:r>
        <w:t xml:space="preserve"> for a comparison to other education occupations where there are far more suitable applicants per vacancy and thus a steadier workforce supply. </w:t>
      </w:r>
    </w:p>
    <w:p w14:paraId="2F40B5E9" w14:textId="4E407EB6" w:rsidR="00FF698B" w:rsidRDefault="00FF698B" w:rsidP="00386683">
      <w:pPr>
        <w:pStyle w:val="Caption"/>
        <w:keepNext/>
      </w:pPr>
      <w:bookmarkStart w:id="197" w:name="Table_4_1"/>
      <w:r w:rsidRPr="00E25F54">
        <w:t xml:space="preserve">Table </w:t>
      </w:r>
      <w:r w:rsidRPr="00E25F54">
        <w:fldChar w:fldCharType="begin"/>
      </w:r>
      <w:r w:rsidRPr="00E25F54">
        <w:instrText xml:space="preserve"> STYLEREF 1 \s </w:instrText>
      </w:r>
      <w:r w:rsidRPr="00E25F54">
        <w:fldChar w:fldCharType="separate"/>
      </w:r>
      <w:r w:rsidR="00E7704E" w:rsidRPr="00E25F54">
        <w:rPr>
          <w:noProof/>
        </w:rPr>
        <w:t>4</w:t>
      </w:r>
      <w:r w:rsidRPr="00E25F54">
        <w:fldChar w:fldCharType="end"/>
      </w:r>
      <w:r w:rsidRPr="00E25F54">
        <w:t>.</w:t>
      </w:r>
      <w:r w:rsidRPr="00E25F54">
        <w:fldChar w:fldCharType="begin"/>
      </w:r>
      <w:r w:rsidRPr="00E25F54">
        <w:instrText xml:space="preserve"> SEQ Table \* ARABIC \s 1 </w:instrText>
      </w:r>
      <w:r w:rsidRPr="00E25F54">
        <w:fldChar w:fldCharType="separate"/>
      </w:r>
      <w:r w:rsidR="00E7704E" w:rsidRPr="00E25F54">
        <w:rPr>
          <w:noProof/>
        </w:rPr>
        <w:t>1</w:t>
      </w:r>
      <w:r w:rsidRPr="00E25F54">
        <w:fldChar w:fldCharType="end"/>
      </w:r>
      <w:r w:rsidRPr="00E25F54">
        <w:t xml:space="preserve"> Vacancy data by selected education occupations</w:t>
      </w:r>
    </w:p>
    <w:tbl>
      <w:tblPr>
        <w:tblStyle w:val="JSATable1"/>
        <w:tblW w:w="8902" w:type="dxa"/>
        <w:tblLayout w:type="fixed"/>
        <w:tblLook w:val="0020" w:firstRow="1" w:lastRow="0" w:firstColumn="0" w:lastColumn="0" w:noHBand="0" w:noVBand="0"/>
        <w:tblCaption w:val="Table 4.1 "/>
        <w:tblDescription w:val="Vacancy data by selected education occupations"/>
      </w:tblPr>
      <w:tblGrid>
        <w:gridCol w:w="3552"/>
        <w:gridCol w:w="1692"/>
        <w:gridCol w:w="1797"/>
        <w:gridCol w:w="1861"/>
      </w:tblGrid>
      <w:tr w:rsidR="00123DE4" w:rsidRPr="009B7AE4" w14:paraId="7C5A135F" w14:textId="77777777" w:rsidTr="004119FB">
        <w:trPr>
          <w:cnfStyle w:val="100000000000" w:firstRow="1" w:lastRow="0" w:firstColumn="0" w:lastColumn="0" w:oddVBand="0" w:evenVBand="0" w:oddHBand="0" w:evenHBand="0" w:firstRowFirstColumn="0" w:firstRowLastColumn="0" w:lastRowFirstColumn="0" w:lastRowLastColumn="0"/>
          <w:trHeight w:val="1126"/>
        </w:trPr>
        <w:tc>
          <w:tcPr>
            <w:cnfStyle w:val="000010000000" w:firstRow="0" w:lastRow="0" w:firstColumn="0" w:lastColumn="0" w:oddVBand="1" w:evenVBand="0" w:oddHBand="0" w:evenHBand="0" w:firstRowFirstColumn="0" w:firstRowLastColumn="0" w:lastRowFirstColumn="0" w:lastRowLastColumn="0"/>
            <w:tcW w:w="3616" w:type="dxa"/>
          </w:tcPr>
          <w:bookmarkEnd w:id="197"/>
          <w:p w14:paraId="608F6650" w14:textId="77777777" w:rsidR="00FF698B" w:rsidRPr="00580D55" w:rsidRDefault="00FF698B" w:rsidP="004119FB">
            <w:pPr>
              <w:pStyle w:val="Tableheader"/>
              <w:ind w:left="227"/>
              <w:jc w:val="left"/>
            </w:pPr>
            <w:r w:rsidRPr="00580D55">
              <w:t>ANZSCO Occupation</w:t>
            </w:r>
          </w:p>
        </w:tc>
        <w:tc>
          <w:tcPr>
            <w:cnfStyle w:val="000001000000" w:firstRow="0" w:lastRow="0" w:firstColumn="0" w:lastColumn="0" w:oddVBand="0" w:evenVBand="1" w:oddHBand="0" w:evenHBand="0" w:firstRowFirstColumn="0" w:firstRowLastColumn="0" w:lastRowFirstColumn="0" w:lastRowLastColumn="0"/>
            <w:tcW w:w="1722" w:type="dxa"/>
          </w:tcPr>
          <w:p w14:paraId="7854ED84" w14:textId="19B4A77A" w:rsidR="00FF698B" w:rsidRPr="00580D55" w:rsidRDefault="00FF698B" w:rsidP="00783C3E">
            <w:pPr>
              <w:pStyle w:val="Tableheader"/>
            </w:pPr>
            <w:r w:rsidRPr="00580D55">
              <w:t xml:space="preserve">Vacancy </w:t>
            </w:r>
            <w:r w:rsidR="00783C3E">
              <w:br/>
            </w:r>
            <w:r w:rsidRPr="00580D55">
              <w:t>fill rate</w:t>
            </w:r>
          </w:p>
        </w:tc>
        <w:tc>
          <w:tcPr>
            <w:cnfStyle w:val="000010000000" w:firstRow="0" w:lastRow="0" w:firstColumn="0" w:lastColumn="0" w:oddVBand="1" w:evenVBand="0" w:oddHBand="0" w:evenHBand="0" w:firstRowFirstColumn="0" w:firstRowLastColumn="0" w:lastRowFirstColumn="0" w:lastRowLastColumn="0"/>
            <w:tcW w:w="1829" w:type="dxa"/>
          </w:tcPr>
          <w:p w14:paraId="6D28D4B7" w14:textId="4289B5DB" w:rsidR="00FF698B" w:rsidRPr="00580D55" w:rsidRDefault="00FF698B" w:rsidP="00783C3E">
            <w:pPr>
              <w:pStyle w:val="Tableheader"/>
            </w:pPr>
            <w:r w:rsidRPr="00580D55">
              <w:t xml:space="preserve">Applicants </w:t>
            </w:r>
            <w:r w:rsidR="00783C3E">
              <w:br/>
            </w:r>
            <w:r w:rsidRPr="00580D55">
              <w:t>per vacancy</w:t>
            </w:r>
          </w:p>
        </w:tc>
        <w:tc>
          <w:tcPr>
            <w:cnfStyle w:val="000001000000" w:firstRow="0" w:lastRow="0" w:firstColumn="0" w:lastColumn="0" w:oddVBand="0" w:evenVBand="1" w:oddHBand="0" w:evenHBand="0" w:firstRowFirstColumn="0" w:firstRowLastColumn="0" w:lastRowFirstColumn="0" w:lastRowLastColumn="0"/>
            <w:tcW w:w="1894" w:type="dxa"/>
          </w:tcPr>
          <w:p w14:paraId="527562BF" w14:textId="047F4F76" w:rsidR="00FF698B" w:rsidRPr="00580D55" w:rsidRDefault="00FF698B" w:rsidP="00783C3E">
            <w:pPr>
              <w:pStyle w:val="Tableheader"/>
            </w:pPr>
            <w:r w:rsidRPr="00580D55">
              <w:t xml:space="preserve">Suitable </w:t>
            </w:r>
            <w:r w:rsidR="00123DE4">
              <w:br/>
            </w:r>
            <w:r w:rsidRPr="00580D55">
              <w:t xml:space="preserve">applicants </w:t>
            </w:r>
            <w:r w:rsidR="00783C3E">
              <w:br/>
            </w:r>
            <w:r w:rsidRPr="00580D55">
              <w:t>per vacancy</w:t>
            </w:r>
          </w:p>
        </w:tc>
      </w:tr>
      <w:tr w:rsidR="00FF698B" w:rsidRPr="005F3B78" w14:paraId="7F16DF82" w14:textId="77777777" w:rsidTr="004119FB">
        <w:trPr>
          <w:cnfStyle w:val="000000100000" w:firstRow="0" w:lastRow="0" w:firstColumn="0" w:lastColumn="0" w:oddVBand="0" w:evenVBand="0" w:oddHBand="1" w:evenHBand="0" w:firstRowFirstColumn="0" w:firstRowLastColumn="0" w:lastRowFirstColumn="0" w:lastRowLastColumn="0"/>
          <w:trHeight w:val="567"/>
        </w:trPr>
        <w:tc>
          <w:tcPr>
            <w:cnfStyle w:val="000010000000" w:firstRow="0" w:lastRow="0" w:firstColumn="0" w:lastColumn="0" w:oddVBand="1" w:evenVBand="0" w:oddHBand="0" w:evenHBand="0" w:firstRowFirstColumn="0" w:firstRowLastColumn="0" w:lastRowFirstColumn="0" w:lastRowLastColumn="0"/>
            <w:tcW w:w="3616" w:type="dxa"/>
            <w:vAlign w:val="center"/>
          </w:tcPr>
          <w:p w14:paraId="26A6297C" w14:textId="77777777" w:rsidR="00FF698B" w:rsidRPr="00580D55" w:rsidRDefault="00FF698B" w:rsidP="004119FB">
            <w:pPr>
              <w:pStyle w:val="Tablebodycopy"/>
              <w:ind w:left="227"/>
              <w:rPr>
                <w:rFonts w:eastAsia="Times New Roman"/>
                <w:color w:val="000000"/>
                <w:lang w:eastAsia="en-AU"/>
              </w:rPr>
            </w:pPr>
            <w:r w:rsidRPr="00580D55">
              <w:t>Vocational Education Teacher</w:t>
            </w:r>
          </w:p>
        </w:tc>
        <w:tc>
          <w:tcPr>
            <w:cnfStyle w:val="000001000000" w:firstRow="0" w:lastRow="0" w:firstColumn="0" w:lastColumn="0" w:oddVBand="0" w:evenVBand="1" w:oddHBand="0" w:evenHBand="0" w:firstRowFirstColumn="0" w:firstRowLastColumn="0" w:lastRowFirstColumn="0" w:lastRowLastColumn="0"/>
            <w:tcW w:w="1722" w:type="dxa"/>
            <w:vAlign w:val="center"/>
          </w:tcPr>
          <w:p w14:paraId="4F924B32" w14:textId="77777777" w:rsidR="00FF698B" w:rsidRPr="00580D55" w:rsidRDefault="00FF698B" w:rsidP="004119FB">
            <w:pPr>
              <w:pStyle w:val="Tablebodycopy"/>
              <w:jc w:val="center"/>
              <w:rPr>
                <w:rFonts w:eastAsia="Times New Roman"/>
                <w:color w:val="000000"/>
                <w:lang w:eastAsia="en-AU"/>
              </w:rPr>
            </w:pPr>
            <w:r w:rsidRPr="00580D55">
              <w:t>50%</w:t>
            </w:r>
          </w:p>
        </w:tc>
        <w:tc>
          <w:tcPr>
            <w:cnfStyle w:val="000010000000" w:firstRow="0" w:lastRow="0" w:firstColumn="0" w:lastColumn="0" w:oddVBand="1" w:evenVBand="0" w:oddHBand="0" w:evenHBand="0" w:firstRowFirstColumn="0" w:firstRowLastColumn="0" w:lastRowFirstColumn="0" w:lastRowLastColumn="0"/>
            <w:tcW w:w="1829" w:type="dxa"/>
            <w:vAlign w:val="center"/>
          </w:tcPr>
          <w:p w14:paraId="3A5B8C24" w14:textId="77777777" w:rsidR="00FF698B" w:rsidRPr="00580D55" w:rsidRDefault="00FF698B" w:rsidP="004119FB">
            <w:pPr>
              <w:pStyle w:val="Tablebodycopy"/>
              <w:jc w:val="center"/>
              <w:rPr>
                <w:rFonts w:eastAsia="Times New Roman"/>
                <w:color w:val="000000"/>
                <w:lang w:eastAsia="en-AU"/>
              </w:rPr>
            </w:pPr>
            <w:r w:rsidRPr="00580D55">
              <w:t>5.09</w:t>
            </w:r>
          </w:p>
        </w:tc>
        <w:tc>
          <w:tcPr>
            <w:cnfStyle w:val="000001000000" w:firstRow="0" w:lastRow="0" w:firstColumn="0" w:lastColumn="0" w:oddVBand="0" w:evenVBand="1" w:oddHBand="0" w:evenHBand="0" w:firstRowFirstColumn="0" w:firstRowLastColumn="0" w:lastRowFirstColumn="0" w:lastRowLastColumn="0"/>
            <w:tcW w:w="1894" w:type="dxa"/>
            <w:vAlign w:val="center"/>
          </w:tcPr>
          <w:p w14:paraId="651C05C9" w14:textId="77777777" w:rsidR="00FF698B" w:rsidRPr="00580D55" w:rsidRDefault="00FF698B" w:rsidP="004119FB">
            <w:pPr>
              <w:pStyle w:val="Tablebodycopy"/>
              <w:jc w:val="center"/>
              <w:rPr>
                <w:rFonts w:eastAsia="Times New Roman"/>
                <w:color w:val="000000"/>
                <w:lang w:eastAsia="en-AU"/>
              </w:rPr>
            </w:pPr>
            <w:r w:rsidRPr="00580D55">
              <w:t>1.23</w:t>
            </w:r>
          </w:p>
        </w:tc>
      </w:tr>
      <w:tr w:rsidR="00123DE4" w:rsidRPr="005F3B78" w14:paraId="0FF83DD8" w14:textId="77777777" w:rsidTr="004119FB">
        <w:trPr>
          <w:cnfStyle w:val="000000010000" w:firstRow="0" w:lastRow="0" w:firstColumn="0" w:lastColumn="0" w:oddVBand="0" w:evenVBand="0" w:oddHBand="0" w:evenHBand="1" w:firstRowFirstColumn="0" w:firstRowLastColumn="0" w:lastRowFirstColumn="0" w:lastRowLastColumn="0"/>
          <w:trHeight w:val="567"/>
        </w:trPr>
        <w:tc>
          <w:tcPr>
            <w:cnfStyle w:val="000010000000" w:firstRow="0" w:lastRow="0" w:firstColumn="0" w:lastColumn="0" w:oddVBand="1" w:evenVBand="0" w:oddHBand="0" w:evenHBand="0" w:firstRowFirstColumn="0" w:firstRowLastColumn="0" w:lastRowFirstColumn="0" w:lastRowLastColumn="0"/>
            <w:tcW w:w="3616" w:type="dxa"/>
            <w:vAlign w:val="center"/>
          </w:tcPr>
          <w:p w14:paraId="2B898938" w14:textId="77777777" w:rsidR="00FF698B" w:rsidRPr="00580D55" w:rsidRDefault="00FF698B" w:rsidP="004119FB">
            <w:pPr>
              <w:pStyle w:val="Tablebodycopy"/>
              <w:ind w:left="227"/>
              <w:rPr>
                <w:rFonts w:eastAsia="Times New Roman"/>
                <w:color w:val="000000"/>
                <w:lang w:eastAsia="en-AU"/>
              </w:rPr>
            </w:pPr>
            <w:r w:rsidRPr="00580D55">
              <w:t>University Lecturer</w:t>
            </w:r>
          </w:p>
        </w:tc>
        <w:tc>
          <w:tcPr>
            <w:cnfStyle w:val="000001000000" w:firstRow="0" w:lastRow="0" w:firstColumn="0" w:lastColumn="0" w:oddVBand="0" w:evenVBand="1" w:oddHBand="0" w:evenHBand="0" w:firstRowFirstColumn="0" w:firstRowLastColumn="0" w:lastRowFirstColumn="0" w:lastRowLastColumn="0"/>
            <w:tcW w:w="1722" w:type="dxa"/>
            <w:vAlign w:val="center"/>
          </w:tcPr>
          <w:p w14:paraId="56620115" w14:textId="77777777" w:rsidR="00FF698B" w:rsidRPr="00580D55" w:rsidRDefault="00FF698B" w:rsidP="004119FB">
            <w:pPr>
              <w:pStyle w:val="Tablebodycopy"/>
              <w:jc w:val="center"/>
              <w:rPr>
                <w:rFonts w:eastAsia="Times New Roman"/>
                <w:color w:val="000000"/>
                <w:lang w:eastAsia="en-AU"/>
              </w:rPr>
            </w:pPr>
            <w:r w:rsidRPr="00580D55">
              <w:t>81%</w:t>
            </w:r>
          </w:p>
        </w:tc>
        <w:tc>
          <w:tcPr>
            <w:cnfStyle w:val="000010000000" w:firstRow="0" w:lastRow="0" w:firstColumn="0" w:lastColumn="0" w:oddVBand="1" w:evenVBand="0" w:oddHBand="0" w:evenHBand="0" w:firstRowFirstColumn="0" w:firstRowLastColumn="0" w:lastRowFirstColumn="0" w:lastRowLastColumn="0"/>
            <w:tcW w:w="1829" w:type="dxa"/>
            <w:vAlign w:val="center"/>
          </w:tcPr>
          <w:p w14:paraId="08D0775F" w14:textId="77777777" w:rsidR="00FF698B" w:rsidRPr="00580D55" w:rsidRDefault="00FF698B" w:rsidP="004119FB">
            <w:pPr>
              <w:pStyle w:val="Tablebodycopy"/>
              <w:jc w:val="center"/>
              <w:rPr>
                <w:rFonts w:eastAsia="Times New Roman"/>
                <w:color w:val="000000"/>
                <w:lang w:eastAsia="en-AU"/>
              </w:rPr>
            </w:pPr>
            <w:r w:rsidRPr="00580D55">
              <w:t>14.19</w:t>
            </w:r>
          </w:p>
        </w:tc>
        <w:tc>
          <w:tcPr>
            <w:cnfStyle w:val="000001000000" w:firstRow="0" w:lastRow="0" w:firstColumn="0" w:lastColumn="0" w:oddVBand="0" w:evenVBand="1" w:oddHBand="0" w:evenHBand="0" w:firstRowFirstColumn="0" w:firstRowLastColumn="0" w:lastRowFirstColumn="0" w:lastRowLastColumn="0"/>
            <w:tcW w:w="1894" w:type="dxa"/>
            <w:vAlign w:val="center"/>
          </w:tcPr>
          <w:p w14:paraId="40802AD7" w14:textId="77777777" w:rsidR="00FF698B" w:rsidRPr="00580D55" w:rsidRDefault="00FF698B" w:rsidP="004119FB">
            <w:pPr>
              <w:pStyle w:val="Tablebodycopy"/>
              <w:jc w:val="center"/>
              <w:rPr>
                <w:rFonts w:eastAsia="Times New Roman"/>
                <w:color w:val="000000"/>
                <w:lang w:eastAsia="en-AU"/>
              </w:rPr>
            </w:pPr>
            <w:r w:rsidRPr="00580D55">
              <w:t>2.93</w:t>
            </w:r>
          </w:p>
        </w:tc>
      </w:tr>
      <w:tr w:rsidR="00FF698B" w:rsidRPr="005F3B78" w14:paraId="168F2A84" w14:textId="77777777" w:rsidTr="004119FB">
        <w:trPr>
          <w:cnfStyle w:val="000000100000" w:firstRow="0" w:lastRow="0" w:firstColumn="0" w:lastColumn="0" w:oddVBand="0" w:evenVBand="0" w:oddHBand="1" w:evenHBand="0" w:firstRowFirstColumn="0" w:firstRowLastColumn="0" w:lastRowFirstColumn="0" w:lastRowLastColumn="0"/>
          <w:trHeight w:val="567"/>
        </w:trPr>
        <w:tc>
          <w:tcPr>
            <w:cnfStyle w:val="000010000000" w:firstRow="0" w:lastRow="0" w:firstColumn="0" w:lastColumn="0" w:oddVBand="1" w:evenVBand="0" w:oddHBand="0" w:evenHBand="0" w:firstRowFirstColumn="0" w:firstRowLastColumn="0" w:lastRowFirstColumn="0" w:lastRowLastColumn="0"/>
            <w:tcW w:w="3616" w:type="dxa"/>
            <w:vAlign w:val="center"/>
          </w:tcPr>
          <w:p w14:paraId="416942BD" w14:textId="77777777" w:rsidR="00FF698B" w:rsidRPr="00580D55" w:rsidRDefault="00FF698B" w:rsidP="004119FB">
            <w:pPr>
              <w:pStyle w:val="Tablebodycopy"/>
              <w:ind w:left="227"/>
              <w:rPr>
                <w:rFonts w:eastAsia="Times New Roman"/>
                <w:color w:val="000000"/>
                <w:lang w:eastAsia="en-AU"/>
              </w:rPr>
            </w:pPr>
            <w:r w:rsidRPr="00580D55">
              <w:t>Secondary School Teacher</w:t>
            </w:r>
          </w:p>
        </w:tc>
        <w:tc>
          <w:tcPr>
            <w:cnfStyle w:val="000001000000" w:firstRow="0" w:lastRow="0" w:firstColumn="0" w:lastColumn="0" w:oddVBand="0" w:evenVBand="1" w:oddHBand="0" w:evenHBand="0" w:firstRowFirstColumn="0" w:firstRowLastColumn="0" w:lastRowFirstColumn="0" w:lastRowLastColumn="0"/>
            <w:tcW w:w="1722" w:type="dxa"/>
            <w:vAlign w:val="center"/>
          </w:tcPr>
          <w:p w14:paraId="7E321A22" w14:textId="77777777" w:rsidR="00FF698B" w:rsidRPr="00580D55" w:rsidRDefault="00FF698B" w:rsidP="004119FB">
            <w:pPr>
              <w:pStyle w:val="Tablebodycopy"/>
              <w:jc w:val="center"/>
              <w:rPr>
                <w:rFonts w:eastAsia="Times New Roman"/>
                <w:color w:val="000000"/>
                <w:lang w:eastAsia="en-AU"/>
              </w:rPr>
            </w:pPr>
            <w:r w:rsidRPr="00580D55">
              <w:t>75%</w:t>
            </w:r>
          </w:p>
        </w:tc>
        <w:tc>
          <w:tcPr>
            <w:cnfStyle w:val="000010000000" w:firstRow="0" w:lastRow="0" w:firstColumn="0" w:lastColumn="0" w:oddVBand="1" w:evenVBand="0" w:oddHBand="0" w:evenHBand="0" w:firstRowFirstColumn="0" w:firstRowLastColumn="0" w:lastRowFirstColumn="0" w:lastRowLastColumn="0"/>
            <w:tcW w:w="1829" w:type="dxa"/>
            <w:vAlign w:val="center"/>
          </w:tcPr>
          <w:p w14:paraId="63218382" w14:textId="77777777" w:rsidR="00FF698B" w:rsidRPr="00580D55" w:rsidRDefault="00FF698B" w:rsidP="004119FB">
            <w:pPr>
              <w:pStyle w:val="Tablebodycopy"/>
              <w:jc w:val="center"/>
              <w:rPr>
                <w:rFonts w:eastAsia="Times New Roman"/>
                <w:color w:val="000000"/>
                <w:lang w:eastAsia="en-AU"/>
              </w:rPr>
            </w:pPr>
            <w:r w:rsidRPr="00580D55">
              <w:t>6.17</w:t>
            </w:r>
          </w:p>
        </w:tc>
        <w:tc>
          <w:tcPr>
            <w:cnfStyle w:val="000001000000" w:firstRow="0" w:lastRow="0" w:firstColumn="0" w:lastColumn="0" w:oddVBand="0" w:evenVBand="1" w:oddHBand="0" w:evenHBand="0" w:firstRowFirstColumn="0" w:firstRowLastColumn="0" w:lastRowFirstColumn="0" w:lastRowLastColumn="0"/>
            <w:tcW w:w="1894" w:type="dxa"/>
            <w:vAlign w:val="center"/>
          </w:tcPr>
          <w:p w14:paraId="17BF077E" w14:textId="77777777" w:rsidR="00FF698B" w:rsidRPr="00580D55" w:rsidRDefault="00FF698B" w:rsidP="004119FB">
            <w:pPr>
              <w:pStyle w:val="Tablebodycopy"/>
              <w:jc w:val="center"/>
              <w:rPr>
                <w:rFonts w:eastAsia="Times New Roman"/>
                <w:color w:val="000000"/>
                <w:lang w:eastAsia="en-AU"/>
              </w:rPr>
            </w:pPr>
            <w:r w:rsidRPr="00580D55">
              <w:t>1.72</w:t>
            </w:r>
          </w:p>
        </w:tc>
      </w:tr>
      <w:tr w:rsidR="00123DE4" w:rsidRPr="005F3B78" w14:paraId="45C59E70" w14:textId="77777777" w:rsidTr="00EC21C8">
        <w:trPr>
          <w:cnfStyle w:val="000000010000" w:firstRow="0" w:lastRow="0" w:firstColumn="0" w:lastColumn="0" w:oddVBand="0" w:evenVBand="0" w:oddHBand="0" w:evenHBand="1" w:firstRowFirstColumn="0" w:firstRowLastColumn="0" w:lastRowFirstColumn="0" w:lastRowLastColumn="0"/>
          <w:trHeight w:val="567"/>
        </w:trPr>
        <w:tc>
          <w:tcPr>
            <w:cnfStyle w:val="000010000000" w:firstRow="0" w:lastRow="0" w:firstColumn="0" w:lastColumn="0" w:oddVBand="1" w:evenVBand="0" w:oddHBand="0" w:evenHBand="0" w:firstRowFirstColumn="0" w:firstRowLastColumn="0" w:lastRowFirstColumn="0" w:lastRowLastColumn="0"/>
            <w:tcW w:w="3616" w:type="dxa"/>
            <w:tcBorders>
              <w:bottom w:val="nil"/>
            </w:tcBorders>
            <w:vAlign w:val="center"/>
          </w:tcPr>
          <w:p w14:paraId="0D5ED735" w14:textId="77777777" w:rsidR="00FF698B" w:rsidRPr="00580D55" w:rsidRDefault="00FF698B" w:rsidP="004119FB">
            <w:pPr>
              <w:pStyle w:val="Tablebodycopy"/>
              <w:ind w:left="227"/>
              <w:rPr>
                <w:rFonts w:eastAsia="Times New Roman"/>
                <w:color w:val="000000"/>
                <w:lang w:eastAsia="en-AU"/>
              </w:rPr>
            </w:pPr>
            <w:r w:rsidRPr="00580D55">
              <w:t>Primary School Teacher</w:t>
            </w:r>
          </w:p>
        </w:tc>
        <w:tc>
          <w:tcPr>
            <w:cnfStyle w:val="000001000000" w:firstRow="0" w:lastRow="0" w:firstColumn="0" w:lastColumn="0" w:oddVBand="0" w:evenVBand="1" w:oddHBand="0" w:evenHBand="0" w:firstRowFirstColumn="0" w:firstRowLastColumn="0" w:lastRowFirstColumn="0" w:lastRowLastColumn="0"/>
            <w:tcW w:w="1722" w:type="dxa"/>
            <w:tcBorders>
              <w:bottom w:val="nil"/>
            </w:tcBorders>
            <w:vAlign w:val="center"/>
          </w:tcPr>
          <w:p w14:paraId="0A72CA26" w14:textId="77777777" w:rsidR="00FF698B" w:rsidRPr="00580D55" w:rsidRDefault="00FF698B" w:rsidP="004119FB">
            <w:pPr>
              <w:pStyle w:val="Tablebodycopy"/>
              <w:jc w:val="center"/>
              <w:rPr>
                <w:rFonts w:eastAsia="Times New Roman"/>
                <w:color w:val="000000"/>
                <w:lang w:eastAsia="en-AU"/>
              </w:rPr>
            </w:pPr>
            <w:r w:rsidRPr="00580D55">
              <w:t>74%</w:t>
            </w:r>
          </w:p>
        </w:tc>
        <w:tc>
          <w:tcPr>
            <w:cnfStyle w:val="000010000000" w:firstRow="0" w:lastRow="0" w:firstColumn="0" w:lastColumn="0" w:oddVBand="1" w:evenVBand="0" w:oddHBand="0" w:evenHBand="0" w:firstRowFirstColumn="0" w:firstRowLastColumn="0" w:lastRowFirstColumn="0" w:lastRowLastColumn="0"/>
            <w:tcW w:w="1829" w:type="dxa"/>
            <w:tcBorders>
              <w:bottom w:val="nil"/>
            </w:tcBorders>
            <w:vAlign w:val="center"/>
          </w:tcPr>
          <w:p w14:paraId="70C1C8A0" w14:textId="77777777" w:rsidR="00FF698B" w:rsidRPr="00580D55" w:rsidRDefault="00FF698B" w:rsidP="004119FB">
            <w:pPr>
              <w:pStyle w:val="Tablebodycopy"/>
              <w:jc w:val="center"/>
              <w:rPr>
                <w:rFonts w:eastAsia="Times New Roman"/>
                <w:color w:val="000000"/>
                <w:lang w:eastAsia="en-AU"/>
              </w:rPr>
            </w:pPr>
            <w:r w:rsidRPr="00580D55">
              <w:t>8.49</w:t>
            </w:r>
          </w:p>
        </w:tc>
        <w:tc>
          <w:tcPr>
            <w:cnfStyle w:val="000001000000" w:firstRow="0" w:lastRow="0" w:firstColumn="0" w:lastColumn="0" w:oddVBand="0" w:evenVBand="1" w:oddHBand="0" w:evenHBand="0" w:firstRowFirstColumn="0" w:firstRowLastColumn="0" w:lastRowFirstColumn="0" w:lastRowLastColumn="0"/>
            <w:tcW w:w="1894" w:type="dxa"/>
            <w:tcBorders>
              <w:bottom w:val="nil"/>
            </w:tcBorders>
            <w:vAlign w:val="center"/>
          </w:tcPr>
          <w:p w14:paraId="553AA480" w14:textId="77777777" w:rsidR="00FF698B" w:rsidRPr="00580D55" w:rsidRDefault="00FF698B" w:rsidP="004119FB">
            <w:pPr>
              <w:pStyle w:val="Tablebodycopy"/>
              <w:jc w:val="center"/>
              <w:rPr>
                <w:rFonts w:eastAsia="Times New Roman"/>
                <w:color w:val="000000"/>
                <w:lang w:eastAsia="en-AU"/>
              </w:rPr>
            </w:pPr>
            <w:r w:rsidRPr="00580D55">
              <w:t>3.19</w:t>
            </w:r>
          </w:p>
        </w:tc>
      </w:tr>
      <w:tr w:rsidR="00FF698B" w:rsidRPr="005F3B78" w14:paraId="596EE6ED" w14:textId="77777777" w:rsidTr="00EC21C8">
        <w:trPr>
          <w:cnfStyle w:val="000000100000" w:firstRow="0" w:lastRow="0" w:firstColumn="0" w:lastColumn="0" w:oddVBand="0" w:evenVBand="0" w:oddHBand="1" w:evenHBand="0" w:firstRowFirstColumn="0" w:firstRowLastColumn="0" w:lastRowFirstColumn="0" w:lastRowLastColumn="0"/>
          <w:trHeight w:val="796"/>
        </w:trPr>
        <w:tc>
          <w:tcPr>
            <w:cnfStyle w:val="000010000000" w:firstRow="0" w:lastRow="0" w:firstColumn="0" w:lastColumn="0" w:oddVBand="1" w:evenVBand="0" w:oddHBand="0" w:evenHBand="0" w:firstRowFirstColumn="0" w:firstRowLastColumn="0" w:lastRowFirstColumn="0" w:lastRowLastColumn="0"/>
            <w:tcW w:w="3616" w:type="dxa"/>
            <w:tcBorders>
              <w:bottom w:val="single" w:sz="8" w:space="0" w:color="2F005F"/>
            </w:tcBorders>
            <w:vAlign w:val="center"/>
          </w:tcPr>
          <w:p w14:paraId="495C03A8" w14:textId="757AD661" w:rsidR="00FF698B" w:rsidRPr="00580D55" w:rsidRDefault="00FF698B" w:rsidP="004119FB">
            <w:pPr>
              <w:pStyle w:val="Tablebodycopy"/>
              <w:ind w:left="227"/>
              <w:rPr>
                <w:rFonts w:eastAsia="Times New Roman"/>
                <w:color w:val="000000"/>
                <w:lang w:eastAsia="en-AU"/>
              </w:rPr>
            </w:pPr>
            <w:r w:rsidRPr="00580D55">
              <w:t xml:space="preserve">Early Childhood </w:t>
            </w:r>
            <w:r w:rsidR="00123DE4">
              <w:br/>
            </w:r>
            <w:r w:rsidRPr="00580D55">
              <w:t>(Pre-primary School) Teacher</w:t>
            </w:r>
          </w:p>
        </w:tc>
        <w:tc>
          <w:tcPr>
            <w:cnfStyle w:val="000001000000" w:firstRow="0" w:lastRow="0" w:firstColumn="0" w:lastColumn="0" w:oddVBand="0" w:evenVBand="1" w:oddHBand="0" w:evenHBand="0" w:firstRowFirstColumn="0" w:firstRowLastColumn="0" w:lastRowFirstColumn="0" w:lastRowLastColumn="0"/>
            <w:tcW w:w="1722" w:type="dxa"/>
            <w:tcBorders>
              <w:bottom w:val="single" w:sz="8" w:space="0" w:color="2F005F"/>
            </w:tcBorders>
            <w:vAlign w:val="center"/>
          </w:tcPr>
          <w:p w14:paraId="6A051D1E" w14:textId="77777777" w:rsidR="00FF698B" w:rsidRPr="00580D55" w:rsidRDefault="00FF698B" w:rsidP="004119FB">
            <w:pPr>
              <w:pStyle w:val="Tablebodycopy"/>
              <w:jc w:val="center"/>
              <w:rPr>
                <w:rFonts w:eastAsia="Times New Roman"/>
                <w:color w:val="000000"/>
                <w:lang w:eastAsia="en-AU"/>
              </w:rPr>
            </w:pPr>
            <w:r w:rsidRPr="00580D55">
              <w:t>50%</w:t>
            </w:r>
          </w:p>
        </w:tc>
        <w:tc>
          <w:tcPr>
            <w:cnfStyle w:val="000010000000" w:firstRow="0" w:lastRow="0" w:firstColumn="0" w:lastColumn="0" w:oddVBand="1" w:evenVBand="0" w:oddHBand="0" w:evenHBand="0" w:firstRowFirstColumn="0" w:firstRowLastColumn="0" w:lastRowFirstColumn="0" w:lastRowLastColumn="0"/>
            <w:tcW w:w="1829" w:type="dxa"/>
            <w:tcBorders>
              <w:bottom w:val="single" w:sz="8" w:space="0" w:color="2F005F"/>
            </w:tcBorders>
            <w:vAlign w:val="center"/>
          </w:tcPr>
          <w:p w14:paraId="613B06FA" w14:textId="77777777" w:rsidR="00FF698B" w:rsidRPr="00580D55" w:rsidRDefault="00FF698B" w:rsidP="004119FB">
            <w:pPr>
              <w:pStyle w:val="Tablebodycopy"/>
              <w:jc w:val="center"/>
              <w:rPr>
                <w:rFonts w:eastAsia="Times New Roman"/>
                <w:color w:val="000000"/>
                <w:lang w:eastAsia="en-AU"/>
              </w:rPr>
            </w:pPr>
            <w:r w:rsidRPr="00580D55">
              <w:t>5.81</w:t>
            </w:r>
          </w:p>
        </w:tc>
        <w:tc>
          <w:tcPr>
            <w:cnfStyle w:val="000001000000" w:firstRow="0" w:lastRow="0" w:firstColumn="0" w:lastColumn="0" w:oddVBand="0" w:evenVBand="1" w:oddHBand="0" w:evenHBand="0" w:firstRowFirstColumn="0" w:firstRowLastColumn="0" w:lastRowFirstColumn="0" w:lastRowLastColumn="0"/>
            <w:tcW w:w="1894" w:type="dxa"/>
            <w:tcBorders>
              <w:bottom w:val="single" w:sz="8" w:space="0" w:color="2F005F"/>
            </w:tcBorders>
            <w:vAlign w:val="center"/>
          </w:tcPr>
          <w:p w14:paraId="3087810F" w14:textId="77777777" w:rsidR="00FF698B" w:rsidRPr="00580D55" w:rsidRDefault="00FF698B" w:rsidP="004119FB">
            <w:pPr>
              <w:pStyle w:val="Tablebodycopy"/>
              <w:jc w:val="center"/>
              <w:rPr>
                <w:rFonts w:eastAsia="Times New Roman"/>
                <w:color w:val="000000"/>
                <w:lang w:eastAsia="en-AU"/>
              </w:rPr>
            </w:pPr>
            <w:r w:rsidRPr="00580D55">
              <w:t>1.42</w:t>
            </w:r>
          </w:p>
        </w:tc>
      </w:tr>
    </w:tbl>
    <w:p w14:paraId="0E9E0112" w14:textId="76E11DCA" w:rsidR="00FF698B" w:rsidRDefault="00FF698B" w:rsidP="008B2387">
      <w:pPr>
        <w:pStyle w:val="Source"/>
      </w:pPr>
      <w:r w:rsidRPr="00123DE4">
        <w:t xml:space="preserve">Source: Jobs and Skills Australia, Survey of Employers who have Recently Advertised (SERA), </w:t>
      </w:r>
      <w:r w:rsidR="00123DE4">
        <w:br/>
      </w:r>
      <w:r w:rsidRPr="00123DE4">
        <w:t>January 2021-August 2023</w:t>
      </w:r>
    </w:p>
    <w:p w14:paraId="0A87F9BE" w14:textId="77777777" w:rsidR="00123DE4" w:rsidRPr="00123DE4" w:rsidRDefault="00123DE4" w:rsidP="00123DE4"/>
    <w:p w14:paraId="6F4513A3" w14:textId="45E4E17F" w:rsidR="00123DE4" w:rsidRDefault="00FF698B" w:rsidP="00E16D4F">
      <w:pPr>
        <w:pStyle w:val="Bodycopy"/>
      </w:pPr>
      <w:r>
        <w:t xml:space="preserve">As with other occupations, geographical mismatches may generate recruitment difficulties even if supply and demand for </w:t>
      </w:r>
      <w:r w:rsidR="00CC6D50">
        <w:t>VET teachers</w:t>
      </w:r>
      <w:r>
        <w:t xml:space="preserve"> was balanced at the national level. However, unlike most occupations, the dual qualified nature of the VET teacher workforce adds a further complication to any supply and demand analysis. </w:t>
      </w:r>
    </w:p>
    <w:p w14:paraId="5E9BC363" w14:textId="23181E09" w:rsidR="00FF698B" w:rsidRDefault="00FF698B" w:rsidP="00E16D4F">
      <w:pPr>
        <w:pStyle w:val="Bodycopy"/>
        <w:rPr>
          <w:color w:val="auto"/>
        </w:rPr>
      </w:pPr>
      <w:r>
        <w:t xml:space="preserve">For example, a prospective VET teacher qualified to teach a Certificate IV in Building and Construction is unlikely to be suitable to fill a vacancy to teach Certificate III in Individual Support. It is also clear that industry practitioners often weigh up the value proposition of a VET teaching role relative to their industry pay and conditions. </w:t>
      </w:r>
      <w:r w:rsidRPr="2376A6CC">
        <w:rPr>
          <w:color w:val="auto"/>
        </w:rPr>
        <w:t xml:space="preserve">These recruitment and retention issues are discussed in the last section of the chapter.  </w:t>
      </w:r>
    </w:p>
    <w:p w14:paraId="18A3A17B" w14:textId="77777777" w:rsidR="00FF698B" w:rsidRDefault="00FF698B" w:rsidP="00386683">
      <w:pPr>
        <w:rPr>
          <w:rFonts w:eastAsiaTheme="majorEastAsia" w:cstheme="majorBidi"/>
          <w:b/>
          <w:sz w:val="32"/>
          <w:szCs w:val="26"/>
        </w:rPr>
      </w:pPr>
      <w:bookmarkStart w:id="198" w:name="_Toc915551022"/>
      <w:r>
        <w:br w:type="page"/>
      </w:r>
    </w:p>
    <w:p w14:paraId="5876B077" w14:textId="77777777" w:rsidR="00FF698B" w:rsidRDefault="00FF698B" w:rsidP="00386683">
      <w:pPr>
        <w:pStyle w:val="Heading2"/>
        <w:rPr>
          <w:color w:val="auto"/>
        </w:rPr>
      </w:pPr>
      <w:bookmarkStart w:id="199" w:name="_Toc563051507"/>
      <w:bookmarkStart w:id="200" w:name="_Toc176770992"/>
      <w:r>
        <w:lastRenderedPageBreak/>
        <w:t>Tr</w:t>
      </w:r>
      <w:bookmarkEnd w:id="198"/>
      <w:r>
        <w:t>aining pipeline</w:t>
      </w:r>
      <w:bookmarkEnd w:id="199"/>
      <w:bookmarkEnd w:id="200"/>
      <w:r>
        <w:t xml:space="preserve"> </w:t>
      </w:r>
    </w:p>
    <w:p w14:paraId="5C5CBBB1" w14:textId="6C9F7BBD" w:rsidR="00FF698B" w:rsidRDefault="00FF698B" w:rsidP="00E16D4F">
      <w:pPr>
        <w:pStyle w:val="Bodycopy"/>
      </w:pPr>
      <w:r>
        <w:t xml:space="preserve">This section examines the supply of potential </w:t>
      </w:r>
      <w:r w:rsidR="00CC6D50">
        <w:t>VET teachers</w:t>
      </w:r>
      <w:r>
        <w:t xml:space="preserve">, trainers, and assessors through the lens of the key VET teaching credentials outlined in Chapter 3. Both commencements and completions in these qualifications have fallen significantly since 2016. To explore why, we analyse the training motivations, student sentiments and occupational outcomes of VET teaching qualification graduates demonstrating that most people undertaking the key VET teaching credential are doing it as a current requirement of their job. This means the shrinking training pipeline may not as significantly impact workforce supply but does raise questions around the relevance of the Certificate IV TAE. We also find that occupationally, after VET and secondary teachers or training and development professionals, most people doing the qualification are involved in workplace training in health, policy, and emergency services. This section also considers the diversity of workers flowing from the training pipeline and identifies areas where this does not reflect the VET student community or the Australian population more broadly. </w:t>
      </w:r>
    </w:p>
    <w:p w14:paraId="6C9955CE" w14:textId="77777777" w:rsidR="00FF698B" w:rsidRDefault="00FF698B" w:rsidP="00386683">
      <w:pPr>
        <w:pStyle w:val="Heading3"/>
      </w:pPr>
      <w:r>
        <w:t>A shrinking training pipeline?</w:t>
      </w:r>
    </w:p>
    <w:p w14:paraId="517DBE3D" w14:textId="216BA546" w:rsidR="00FF698B" w:rsidRPr="0090469A" w:rsidRDefault="00FF698B" w:rsidP="0090469A">
      <w:pPr>
        <w:pStyle w:val="Bodycopy"/>
      </w:pPr>
      <w:r w:rsidRPr="0090469A">
        <w:t xml:space="preserve">Chapter 3 identified that the training pipeline for </w:t>
      </w:r>
      <w:r w:rsidR="00CC6D50">
        <w:t>VET teachers</w:t>
      </w:r>
      <w:r w:rsidRPr="0090469A">
        <w:t xml:space="preserve">, trainers and assessors consists principally of graduates of the Certificate IV TAE. However, our forthcoming analysis shows that only around one in four of these graduates might flow into traditional teaching roles. The training pipeline for graduates of relevant skill sets </w:t>
      </w:r>
      <w:r w:rsidR="0000395E">
        <w:t>–</w:t>
      </w:r>
      <w:r w:rsidRPr="0090469A">
        <w:t xml:space="preserve"> which only supports teaching under supervision – has been low (despite an exponential increase) but has still had little influence on the quantum of the training pipeline. Likewise, Diploma and above level qualifications have also had a low impact.</w:t>
      </w:r>
    </w:p>
    <w:p w14:paraId="5FF8147B" w14:textId="604AABA8" w:rsidR="00FF698B" w:rsidRPr="0090469A" w:rsidRDefault="00FF698B" w:rsidP="0090469A">
      <w:pPr>
        <w:pStyle w:val="Bodycopy"/>
      </w:pPr>
      <w:r w:rsidRPr="0090469A">
        <w:t>As outlined in our job profiles discussion, Diploma and above qualifications are often targeted at career progression and maintaining skills currency for existing workers rather than entry to the profession. For example, 85.4% of 2022 graduates of the Diploma of VET/Diploma of Training Design and Development are unlikely to be new to the VET workforce. Qualifications delivered in the higher education sector are more difficult to identify and quantify but the data that we can access indicates an almost insignificant impact on the training pipeline.</w:t>
      </w:r>
    </w:p>
    <w:p w14:paraId="0B06B0D3" w14:textId="7C023A46" w:rsidR="00386683" w:rsidRPr="0090469A" w:rsidRDefault="00FF698B" w:rsidP="0090469A">
      <w:pPr>
        <w:pStyle w:val="Bodycopy"/>
      </w:pPr>
      <w:r w:rsidRPr="0090469A">
        <w:t>The Certificate IV TAE also supports delivery of structured VET in workplaces not just in RTOs and this is likely why less than half (47.8%) of 2022 Certificate IV TAE graduates were teachers (whether VET or other teachers), and/or working in education. Almost the same proportion (43.1%) were neither teachers nor stated they worked in education. Examples of occupations (after training) in this cohort include fire fighters, ambulance officers, beauty therapists, prison officers and occupational health and safety advisers. These workers are likely expert practitioners in their respective occupations, delivering VET in workplaces. This would in fact place them within the intended audience for the qualification, though their roles may involve mainly training, or only occasional training responsibilities.</w:t>
      </w:r>
      <w:r w:rsidRPr="0090469A">
        <w:rPr>
          <w:vertAlign w:val="superscript"/>
        </w:rPr>
        <w:footnoteReference w:id="11"/>
      </w:r>
      <w:r w:rsidRPr="0090469A">
        <w:rPr>
          <w:vertAlign w:val="superscript"/>
        </w:rPr>
        <w:t xml:space="preserve"> </w:t>
      </w:r>
      <w:bookmarkStart w:id="201" w:name="_Toc624174781"/>
      <w:r w:rsidR="00E20E5E">
        <w:rPr>
          <w:u w:val="single"/>
        </w:rPr>
        <w:fldChar w:fldCharType="begin"/>
      </w:r>
      <w:r w:rsidR="00E20E5E">
        <w:rPr>
          <w:u w:val="single"/>
        </w:rPr>
        <w:instrText>HYPERLINK  \l "Table_4_2"</w:instrText>
      </w:r>
      <w:r w:rsidR="00E20E5E">
        <w:rPr>
          <w:u w:val="single"/>
        </w:rPr>
      </w:r>
      <w:r w:rsidR="00E20E5E">
        <w:rPr>
          <w:u w:val="single"/>
        </w:rPr>
        <w:fldChar w:fldCharType="separate"/>
      </w:r>
      <w:r w:rsidR="00386683" w:rsidRPr="00E20E5E">
        <w:rPr>
          <w:rStyle w:val="Hyperlink"/>
        </w:rPr>
        <w:t>Table 4.2</w:t>
      </w:r>
      <w:r w:rsidR="00E20E5E">
        <w:rPr>
          <w:u w:val="single"/>
        </w:rPr>
        <w:fldChar w:fldCharType="end"/>
      </w:r>
      <w:r w:rsidR="00386683" w:rsidRPr="0090469A">
        <w:t xml:space="preserve"> provides an overview of the known number of completions in the VET training pipeline. </w:t>
      </w:r>
    </w:p>
    <w:p w14:paraId="75A4A7E0" w14:textId="0902F361" w:rsidR="00386683" w:rsidRPr="00A54E11" w:rsidRDefault="00386683" w:rsidP="00386683">
      <w:pPr>
        <w:pStyle w:val="Caption"/>
        <w:rPr>
          <w:rFonts w:asciiTheme="minorHAnsi" w:hAnsiTheme="minorHAnsi"/>
          <w:color w:val="auto"/>
        </w:rPr>
      </w:pPr>
      <w:bookmarkStart w:id="202" w:name="Table_4_2"/>
      <w:r>
        <w:lastRenderedPageBreak/>
        <w:t xml:space="preserve">Table </w:t>
      </w:r>
      <w:r w:rsidR="004B692A">
        <w:fldChar w:fldCharType="begin"/>
      </w:r>
      <w:r w:rsidR="004B692A">
        <w:instrText xml:space="preserve"> STYLEREF 1 \s </w:instrText>
      </w:r>
      <w:r w:rsidR="004B692A">
        <w:fldChar w:fldCharType="separate"/>
      </w:r>
      <w:r w:rsidR="00E7704E">
        <w:rPr>
          <w:noProof/>
        </w:rPr>
        <w:t>4</w:t>
      </w:r>
      <w:r w:rsidR="004B692A">
        <w:fldChar w:fldCharType="end"/>
      </w:r>
      <w:r w:rsidR="004B692A">
        <w:t>.</w:t>
      </w:r>
      <w:r w:rsidR="004B692A">
        <w:fldChar w:fldCharType="begin"/>
      </w:r>
      <w:r w:rsidR="004B692A">
        <w:instrText xml:space="preserve"> SEQ Table \* ARABIC \s 1 </w:instrText>
      </w:r>
      <w:r w:rsidR="004B692A">
        <w:fldChar w:fldCharType="separate"/>
      </w:r>
      <w:r w:rsidR="00E7704E">
        <w:rPr>
          <w:noProof/>
        </w:rPr>
        <w:t>2</w:t>
      </w:r>
      <w:r w:rsidR="004B692A">
        <w:fldChar w:fldCharType="end"/>
      </w:r>
      <w:r w:rsidRPr="00E2713F">
        <w:t xml:space="preserve"> </w:t>
      </w:r>
      <w:r>
        <w:t>C</w:t>
      </w:r>
      <w:r w:rsidRPr="72D744D6">
        <w:t xml:space="preserve">ompletions in VET teacher, trainer and assessor pipeline and related training. </w:t>
      </w:r>
    </w:p>
    <w:bookmarkEnd w:id="202"/>
    <w:tbl>
      <w:tblPr>
        <w:tblStyle w:val="JSATable1"/>
        <w:tblW w:w="8945" w:type="dxa"/>
        <w:tblLayout w:type="fixed"/>
        <w:tblLook w:val="04A0" w:firstRow="1" w:lastRow="0" w:firstColumn="1" w:lastColumn="0" w:noHBand="0" w:noVBand="1"/>
      </w:tblPr>
      <w:tblGrid>
        <w:gridCol w:w="3458"/>
        <w:gridCol w:w="684"/>
        <w:gridCol w:w="845"/>
        <w:gridCol w:w="737"/>
        <w:gridCol w:w="794"/>
        <w:gridCol w:w="737"/>
        <w:gridCol w:w="845"/>
        <w:gridCol w:w="845"/>
      </w:tblGrid>
      <w:tr w:rsidR="00386683" w14:paraId="77AC9FCE" w14:textId="77777777" w:rsidTr="00096D65">
        <w:trPr>
          <w:cnfStyle w:val="100000000000" w:firstRow="1" w:lastRow="0" w:firstColumn="0" w:lastColumn="0" w:oddVBand="0" w:evenVBand="0" w:oddHBand="0" w:evenHBand="0" w:firstRowFirstColumn="0" w:firstRowLastColumn="0" w:lastRowFirstColumn="0" w:lastRowLastColumn="0"/>
          <w:trHeight w:val="546"/>
        </w:trPr>
        <w:tc>
          <w:tcPr>
            <w:cnfStyle w:val="001000000100" w:firstRow="0" w:lastRow="0" w:firstColumn="1" w:lastColumn="0" w:oddVBand="0" w:evenVBand="0" w:oddHBand="0" w:evenHBand="0" w:firstRowFirstColumn="1" w:firstRowLastColumn="0" w:lastRowFirstColumn="0" w:lastRowLastColumn="0"/>
            <w:tcW w:w="3458" w:type="dxa"/>
          </w:tcPr>
          <w:p w14:paraId="48C9286C" w14:textId="77777777" w:rsidR="00386683" w:rsidRDefault="00386683" w:rsidP="00096D65">
            <w:pPr>
              <w:pStyle w:val="Tableheader"/>
              <w:ind w:left="142"/>
            </w:pPr>
          </w:p>
        </w:tc>
        <w:tc>
          <w:tcPr>
            <w:tcW w:w="684" w:type="dxa"/>
          </w:tcPr>
          <w:p w14:paraId="68208E60" w14:textId="77777777" w:rsidR="00386683" w:rsidRDefault="00386683" w:rsidP="00096D65">
            <w:pPr>
              <w:pStyle w:val="Tableheader"/>
              <w:cnfStyle w:val="100000000000" w:firstRow="1" w:lastRow="0" w:firstColumn="0" w:lastColumn="0" w:oddVBand="0" w:evenVBand="0" w:oddHBand="0" w:evenHBand="0" w:firstRowFirstColumn="0" w:firstRowLastColumn="0" w:lastRowFirstColumn="0" w:lastRowLastColumn="0"/>
            </w:pPr>
            <w:r w:rsidRPr="43BF1CBB">
              <w:t>2016</w:t>
            </w:r>
          </w:p>
        </w:tc>
        <w:tc>
          <w:tcPr>
            <w:tcW w:w="845" w:type="dxa"/>
          </w:tcPr>
          <w:p w14:paraId="4402DC3B" w14:textId="77777777" w:rsidR="00386683" w:rsidRDefault="00386683" w:rsidP="00096D65">
            <w:pPr>
              <w:pStyle w:val="Tableheader"/>
              <w:cnfStyle w:val="100000000000" w:firstRow="1" w:lastRow="0" w:firstColumn="0" w:lastColumn="0" w:oddVBand="0" w:evenVBand="0" w:oddHBand="0" w:evenHBand="0" w:firstRowFirstColumn="0" w:firstRowLastColumn="0" w:lastRowFirstColumn="0" w:lastRowLastColumn="0"/>
            </w:pPr>
            <w:r w:rsidRPr="43BF1CBB">
              <w:t>2017</w:t>
            </w:r>
          </w:p>
        </w:tc>
        <w:tc>
          <w:tcPr>
            <w:tcW w:w="737" w:type="dxa"/>
          </w:tcPr>
          <w:p w14:paraId="3CC797BA" w14:textId="77777777" w:rsidR="00386683" w:rsidRDefault="00386683" w:rsidP="00096D65">
            <w:pPr>
              <w:pStyle w:val="Tableheader"/>
              <w:cnfStyle w:val="100000000000" w:firstRow="1" w:lastRow="0" w:firstColumn="0" w:lastColumn="0" w:oddVBand="0" w:evenVBand="0" w:oddHBand="0" w:evenHBand="0" w:firstRowFirstColumn="0" w:firstRowLastColumn="0" w:lastRowFirstColumn="0" w:lastRowLastColumn="0"/>
            </w:pPr>
            <w:r w:rsidRPr="43BF1CBB">
              <w:t>2018</w:t>
            </w:r>
          </w:p>
        </w:tc>
        <w:tc>
          <w:tcPr>
            <w:tcW w:w="794" w:type="dxa"/>
          </w:tcPr>
          <w:p w14:paraId="5014A1AC" w14:textId="77777777" w:rsidR="00386683" w:rsidRDefault="00386683" w:rsidP="00096D65">
            <w:pPr>
              <w:pStyle w:val="Tableheader"/>
              <w:cnfStyle w:val="100000000000" w:firstRow="1" w:lastRow="0" w:firstColumn="0" w:lastColumn="0" w:oddVBand="0" w:evenVBand="0" w:oddHBand="0" w:evenHBand="0" w:firstRowFirstColumn="0" w:firstRowLastColumn="0" w:lastRowFirstColumn="0" w:lastRowLastColumn="0"/>
            </w:pPr>
            <w:r w:rsidRPr="43BF1CBB">
              <w:t>2019</w:t>
            </w:r>
          </w:p>
        </w:tc>
        <w:tc>
          <w:tcPr>
            <w:tcW w:w="737" w:type="dxa"/>
          </w:tcPr>
          <w:p w14:paraId="428B1AED" w14:textId="77777777" w:rsidR="00386683" w:rsidRDefault="00386683" w:rsidP="00096D65">
            <w:pPr>
              <w:pStyle w:val="Tableheader"/>
              <w:cnfStyle w:val="100000000000" w:firstRow="1" w:lastRow="0" w:firstColumn="0" w:lastColumn="0" w:oddVBand="0" w:evenVBand="0" w:oddHBand="0" w:evenHBand="0" w:firstRowFirstColumn="0" w:firstRowLastColumn="0" w:lastRowFirstColumn="0" w:lastRowLastColumn="0"/>
            </w:pPr>
            <w:r w:rsidRPr="43BF1CBB">
              <w:t>2020</w:t>
            </w:r>
          </w:p>
        </w:tc>
        <w:tc>
          <w:tcPr>
            <w:tcW w:w="845" w:type="dxa"/>
          </w:tcPr>
          <w:p w14:paraId="6D94CEF6" w14:textId="77777777" w:rsidR="00386683" w:rsidRDefault="00386683" w:rsidP="00096D65">
            <w:pPr>
              <w:pStyle w:val="Tableheader"/>
              <w:cnfStyle w:val="100000000000" w:firstRow="1" w:lastRow="0" w:firstColumn="0" w:lastColumn="0" w:oddVBand="0" w:evenVBand="0" w:oddHBand="0" w:evenHBand="0" w:firstRowFirstColumn="0" w:firstRowLastColumn="0" w:lastRowFirstColumn="0" w:lastRowLastColumn="0"/>
            </w:pPr>
            <w:r w:rsidRPr="43BF1CBB">
              <w:t>2021</w:t>
            </w:r>
          </w:p>
        </w:tc>
        <w:tc>
          <w:tcPr>
            <w:tcW w:w="845" w:type="dxa"/>
          </w:tcPr>
          <w:p w14:paraId="00D49D8B" w14:textId="77777777" w:rsidR="00386683" w:rsidRDefault="00386683" w:rsidP="00096D65">
            <w:pPr>
              <w:pStyle w:val="Tableheader"/>
              <w:cnfStyle w:val="100000000000" w:firstRow="1" w:lastRow="0" w:firstColumn="0" w:lastColumn="0" w:oddVBand="0" w:evenVBand="0" w:oddHBand="0" w:evenHBand="0" w:firstRowFirstColumn="0" w:firstRowLastColumn="0" w:lastRowFirstColumn="0" w:lastRowLastColumn="0"/>
            </w:pPr>
            <w:r w:rsidRPr="43BF1CBB">
              <w:t>2022</w:t>
            </w:r>
            <w:r>
              <w:rPr>
                <w:vertAlign w:val="superscript"/>
              </w:rPr>
              <w:t>a</w:t>
            </w:r>
          </w:p>
        </w:tc>
      </w:tr>
      <w:tr w:rsidR="00386683" w14:paraId="5D56228C" w14:textId="77777777" w:rsidTr="00096D65">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3458" w:type="dxa"/>
            <w:vAlign w:val="center"/>
          </w:tcPr>
          <w:p w14:paraId="347B9886" w14:textId="04680D5A" w:rsidR="00386683" w:rsidRPr="43BF1CBB" w:rsidRDefault="00386683" w:rsidP="00096D65">
            <w:pPr>
              <w:pStyle w:val="Tablebodycopy"/>
              <w:ind w:left="142"/>
              <w:rPr>
                <w:sz w:val="18"/>
                <w:szCs w:val="18"/>
              </w:rPr>
            </w:pPr>
            <w:r w:rsidRPr="00FF7F6E">
              <w:t>Certificate IV in Training and Assessment</w:t>
            </w:r>
          </w:p>
        </w:tc>
        <w:tc>
          <w:tcPr>
            <w:tcW w:w="684" w:type="dxa"/>
            <w:vAlign w:val="center"/>
          </w:tcPr>
          <w:p w14:paraId="04972746" w14:textId="77777777" w:rsidR="00386683" w:rsidRPr="0017023B"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pPr>
            <w:r w:rsidRPr="0017023B">
              <w:t>21,635</w:t>
            </w:r>
          </w:p>
        </w:tc>
        <w:tc>
          <w:tcPr>
            <w:tcW w:w="845" w:type="dxa"/>
            <w:vAlign w:val="center"/>
          </w:tcPr>
          <w:p w14:paraId="35CA4CB2" w14:textId="77777777" w:rsidR="00386683" w:rsidRPr="0017023B"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pPr>
            <w:r w:rsidRPr="0017023B">
              <w:t>20,065</w:t>
            </w:r>
          </w:p>
        </w:tc>
        <w:tc>
          <w:tcPr>
            <w:tcW w:w="737" w:type="dxa"/>
            <w:vAlign w:val="center"/>
          </w:tcPr>
          <w:p w14:paraId="2CED1F35" w14:textId="77777777" w:rsidR="00386683" w:rsidRPr="0017023B"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pPr>
            <w:r w:rsidRPr="0017023B">
              <w:t>9,972</w:t>
            </w:r>
          </w:p>
        </w:tc>
        <w:tc>
          <w:tcPr>
            <w:tcW w:w="794" w:type="dxa"/>
            <w:vAlign w:val="center"/>
          </w:tcPr>
          <w:p w14:paraId="1FD3063A" w14:textId="77777777" w:rsidR="00386683" w:rsidRPr="0017023B"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pPr>
            <w:r w:rsidRPr="0017023B">
              <w:t>34,235</w:t>
            </w:r>
          </w:p>
        </w:tc>
        <w:tc>
          <w:tcPr>
            <w:tcW w:w="737" w:type="dxa"/>
            <w:vAlign w:val="center"/>
          </w:tcPr>
          <w:p w14:paraId="7DA2ADF7" w14:textId="77777777" w:rsidR="00386683" w:rsidRPr="0017023B"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pPr>
            <w:r w:rsidRPr="0017023B">
              <w:t>16,730</w:t>
            </w:r>
          </w:p>
        </w:tc>
        <w:tc>
          <w:tcPr>
            <w:tcW w:w="845" w:type="dxa"/>
            <w:vAlign w:val="center"/>
          </w:tcPr>
          <w:p w14:paraId="64F8E732" w14:textId="77777777" w:rsidR="00386683" w:rsidRPr="0017023B"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pPr>
            <w:r w:rsidRPr="0017023B">
              <w:t>16,469</w:t>
            </w:r>
          </w:p>
        </w:tc>
        <w:tc>
          <w:tcPr>
            <w:tcW w:w="845" w:type="dxa"/>
            <w:vAlign w:val="center"/>
          </w:tcPr>
          <w:p w14:paraId="3BCA5CC7" w14:textId="77777777" w:rsidR="00386683" w:rsidRPr="0017023B"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pPr>
            <w:r w:rsidRPr="0017023B">
              <w:t>15,609</w:t>
            </w:r>
          </w:p>
        </w:tc>
      </w:tr>
      <w:tr w:rsidR="00386683" w14:paraId="0CCA535D" w14:textId="77777777" w:rsidTr="00096D65">
        <w:trPr>
          <w:cnfStyle w:val="000000010000" w:firstRow="0" w:lastRow="0" w:firstColumn="0" w:lastColumn="0" w:oddVBand="0" w:evenVBand="0" w:oddHBand="0" w:evenHBand="1"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3458" w:type="dxa"/>
            <w:vAlign w:val="center"/>
          </w:tcPr>
          <w:p w14:paraId="4C78300C" w14:textId="1EC21C0C" w:rsidR="00386683" w:rsidRPr="43BF1CBB" w:rsidRDefault="00386683" w:rsidP="00096D65">
            <w:pPr>
              <w:pStyle w:val="Tablebodycopy"/>
              <w:ind w:left="142"/>
              <w:rPr>
                <w:sz w:val="18"/>
                <w:szCs w:val="18"/>
              </w:rPr>
            </w:pPr>
            <w:r w:rsidRPr="00FF7F6E">
              <w:t xml:space="preserve">Diplomas and above in TAE </w:t>
            </w:r>
            <w:r w:rsidR="00096D65">
              <w:br/>
            </w:r>
            <w:r w:rsidRPr="00FF7F6E">
              <w:t>training package</w:t>
            </w:r>
          </w:p>
        </w:tc>
        <w:tc>
          <w:tcPr>
            <w:tcW w:w="684" w:type="dxa"/>
            <w:vAlign w:val="center"/>
          </w:tcPr>
          <w:p w14:paraId="39D8185F" w14:textId="77777777" w:rsidR="00386683" w:rsidRPr="0017023B"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pPr>
            <w:r w:rsidRPr="0017023B">
              <w:t>1,747</w:t>
            </w:r>
          </w:p>
        </w:tc>
        <w:tc>
          <w:tcPr>
            <w:tcW w:w="845" w:type="dxa"/>
            <w:vAlign w:val="center"/>
          </w:tcPr>
          <w:p w14:paraId="322BD073" w14:textId="77777777" w:rsidR="00386683" w:rsidRPr="0017023B"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pPr>
            <w:r w:rsidRPr="0017023B">
              <w:t>1,963</w:t>
            </w:r>
          </w:p>
        </w:tc>
        <w:tc>
          <w:tcPr>
            <w:tcW w:w="737" w:type="dxa"/>
            <w:vAlign w:val="center"/>
          </w:tcPr>
          <w:p w14:paraId="55E8A0BF" w14:textId="77777777" w:rsidR="00386683" w:rsidRPr="0017023B"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pPr>
            <w:r w:rsidRPr="0017023B">
              <w:t>803</w:t>
            </w:r>
          </w:p>
        </w:tc>
        <w:tc>
          <w:tcPr>
            <w:tcW w:w="794" w:type="dxa"/>
            <w:vAlign w:val="center"/>
          </w:tcPr>
          <w:p w14:paraId="586B987A" w14:textId="77777777" w:rsidR="00386683" w:rsidRPr="0017023B"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pPr>
            <w:r w:rsidRPr="0017023B">
              <w:t>1,213</w:t>
            </w:r>
          </w:p>
        </w:tc>
        <w:tc>
          <w:tcPr>
            <w:tcW w:w="737" w:type="dxa"/>
            <w:vAlign w:val="center"/>
          </w:tcPr>
          <w:p w14:paraId="32C55909" w14:textId="77777777" w:rsidR="00386683" w:rsidRPr="0017023B"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pPr>
            <w:r w:rsidRPr="0017023B">
              <w:t>1,179</w:t>
            </w:r>
          </w:p>
        </w:tc>
        <w:tc>
          <w:tcPr>
            <w:tcW w:w="845" w:type="dxa"/>
            <w:vAlign w:val="center"/>
          </w:tcPr>
          <w:p w14:paraId="57F58A81" w14:textId="77777777" w:rsidR="00386683" w:rsidRPr="0017023B"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pPr>
            <w:r w:rsidRPr="0017023B">
              <w:t>945</w:t>
            </w:r>
          </w:p>
        </w:tc>
        <w:tc>
          <w:tcPr>
            <w:tcW w:w="845" w:type="dxa"/>
            <w:vAlign w:val="center"/>
          </w:tcPr>
          <w:p w14:paraId="01CF67B6" w14:textId="77777777" w:rsidR="00386683" w:rsidRPr="0017023B"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pPr>
            <w:r w:rsidRPr="0017023B">
              <w:t>917</w:t>
            </w:r>
          </w:p>
        </w:tc>
      </w:tr>
      <w:tr w:rsidR="00386683" w14:paraId="19FC9F46" w14:textId="77777777" w:rsidTr="00EC21C8">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3458" w:type="dxa"/>
            <w:tcBorders>
              <w:bottom w:val="nil"/>
            </w:tcBorders>
            <w:vAlign w:val="center"/>
          </w:tcPr>
          <w:p w14:paraId="48ECCAA3" w14:textId="77777777" w:rsidR="00386683" w:rsidRDefault="00386683" w:rsidP="00096D65">
            <w:pPr>
              <w:pStyle w:val="Tablebodycopy"/>
              <w:ind w:left="142"/>
              <w:rPr>
                <w:sz w:val="18"/>
                <w:szCs w:val="18"/>
              </w:rPr>
            </w:pPr>
            <w:r w:rsidRPr="00FF7F6E">
              <w:t>Other VET qualifications in Adult Education at Diploma and above</w:t>
            </w:r>
            <w:r>
              <w:t xml:space="preserve"> </w:t>
            </w:r>
            <w:r>
              <w:rPr>
                <w:vertAlign w:val="superscript"/>
              </w:rPr>
              <w:t>b</w:t>
            </w:r>
          </w:p>
        </w:tc>
        <w:tc>
          <w:tcPr>
            <w:tcW w:w="684" w:type="dxa"/>
            <w:tcBorders>
              <w:bottom w:val="nil"/>
            </w:tcBorders>
            <w:vAlign w:val="center"/>
          </w:tcPr>
          <w:p w14:paraId="3F26B45C" w14:textId="77777777" w:rsidR="00386683" w:rsidRPr="0017023B"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pPr>
            <w:r w:rsidRPr="0017023B">
              <w:t>242</w:t>
            </w:r>
          </w:p>
        </w:tc>
        <w:tc>
          <w:tcPr>
            <w:tcW w:w="845" w:type="dxa"/>
            <w:tcBorders>
              <w:bottom w:val="nil"/>
            </w:tcBorders>
            <w:vAlign w:val="center"/>
          </w:tcPr>
          <w:p w14:paraId="4AE20038" w14:textId="77777777" w:rsidR="00386683" w:rsidRPr="0017023B"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pPr>
            <w:r w:rsidRPr="0017023B">
              <w:t>300</w:t>
            </w:r>
          </w:p>
        </w:tc>
        <w:tc>
          <w:tcPr>
            <w:tcW w:w="737" w:type="dxa"/>
            <w:tcBorders>
              <w:bottom w:val="nil"/>
            </w:tcBorders>
            <w:vAlign w:val="center"/>
          </w:tcPr>
          <w:p w14:paraId="5B2F332B" w14:textId="77777777" w:rsidR="00386683" w:rsidRPr="0017023B"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pPr>
            <w:r w:rsidRPr="0017023B">
              <w:t>254</w:t>
            </w:r>
          </w:p>
        </w:tc>
        <w:tc>
          <w:tcPr>
            <w:tcW w:w="794" w:type="dxa"/>
            <w:tcBorders>
              <w:bottom w:val="nil"/>
            </w:tcBorders>
            <w:vAlign w:val="center"/>
          </w:tcPr>
          <w:p w14:paraId="3CCAD5C2" w14:textId="77777777" w:rsidR="00386683" w:rsidRPr="0017023B"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pPr>
            <w:r w:rsidRPr="0017023B">
              <w:t>294</w:t>
            </w:r>
          </w:p>
        </w:tc>
        <w:tc>
          <w:tcPr>
            <w:tcW w:w="737" w:type="dxa"/>
            <w:tcBorders>
              <w:bottom w:val="nil"/>
            </w:tcBorders>
            <w:vAlign w:val="center"/>
          </w:tcPr>
          <w:p w14:paraId="4C7744D9" w14:textId="77777777" w:rsidR="00386683" w:rsidRPr="0017023B"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pPr>
            <w:r w:rsidRPr="0017023B">
              <w:t>524</w:t>
            </w:r>
          </w:p>
        </w:tc>
        <w:tc>
          <w:tcPr>
            <w:tcW w:w="845" w:type="dxa"/>
            <w:tcBorders>
              <w:bottom w:val="nil"/>
            </w:tcBorders>
            <w:vAlign w:val="center"/>
          </w:tcPr>
          <w:p w14:paraId="16991CB7" w14:textId="77777777" w:rsidR="00386683" w:rsidRPr="0017023B"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pPr>
            <w:r w:rsidRPr="0017023B">
              <w:t>1,155</w:t>
            </w:r>
          </w:p>
        </w:tc>
        <w:tc>
          <w:tcPr>
            <w:tcW w:w="845" w:type="dxa"/>
            <w:tcBorders>
              <w:bottom w:val="nil"/>
            </w:tcBorders>
            <w:vAlign w:val="center"/>
          </w:tcPr>
          <w:p w14:paraId="0AEF50D5" w14:textId="77777777" w:rsidR="00386683" w:rsidRPr="0017023B"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pPr>
            <w:r w:rsidRPr="0017023B">
              <w:t>1,603</w:t>
            </w:r>
          </w:p>
        </w:tc>
      </w:tr>
      <w:tr w:rsidR="00386683" w14:paraId="3851C24C" w14:textId="77777777" w:rsidTr="00EC21C8">
        <w:trPr>
          <w:cnfStyle w:val="000000010000" w:firstRow="0" w:lastRow="0" w:firstColumn="0" w:lastColumn="0" w:oddVBand="0" w:evenVBand="0" w:oddHBand="0" w:evenHBand="1"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3458" w:type="dxa"/>
            <w:tcBorders>
              <w:bottom w:val="single" w:sz="8" w:space="0" w:color="2F005F"/>
            </w:tcBorders>
            <w:vAlign w:val="center"/>
          </w:tcPr>
          <w:p w14:paraId="0B76F422" w14:textId="77777777" w:rsidR="00386683" w:rsidRPr="43BF1CBB" w:rsidRDefault="00386683" w:rsidP="00096D65">
            <w:pPr>
              <w:pStyle w:val="Tablebodycopy"/>
              <w:ind w:left="142"/>
              <w:rPr>
                <w:sz w:val="18"/>
                <w:szCs w:val="18"/>
              </w:rPr>
            </w:pPr>
            <w:r w:rsidRPr="00A82B7E">
              <w:t>Specified skill sets that support delivery of VET under supervision</w:t>
            </w:r>
            <w:r>
              <w:t xml:space="preserve"> </w:t>
            </w:r>
            <w:r>
              <w:rPr>
                <w:vertAlign w:val="superscript"/>
              </w:rPr>
              <w:t>c</w:t>
            </w:r>
          </w:p>
        </w:tc>
        <w:tc>
          <w:tcPr>
            <w:tcW w:w="684" w:type="dxa"/>
            <w:tcBorders>
              <w:bottom w:val="single" w:sz="8" w:space="0" w:color="2F005F"/>
            </w:tcBorders>
            <w:vAlign w:val="center"/>
          </w:tcPr>
          <w:p w14:paraId="6D807C90" w14:textId="77777777" w:rsidR="00386683" w:rsidRPr="0017023B"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pPr>
            <w:r w:rsidRPr="0017023B">
              <w:t>205</w:t>
            </w:r>
          </w:p>
        </w:tc>
        <w:tc>
          <w:tcPr>
            <w:tcW w:w="845" w:type="dxa"/>
            <w:tcBorders>
              <w:bottom w:val="single" w:sz="8" w:space="0" w:color="2F005F"/>
            </w:tcBorders>
            <w:vAlign w:val="center"/>
          </w:tcPr>
          <w:p w14:paraId="753793B3" w14:textId="77777777" w:rsidR="00386683" w:rsidRPr="0017023B"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pPr>
            <w:r w:rsidRPr="0017023B">
              <w:t>223</w:t>
            </w:r>
          </w:p>
        </w:tc>
        <w:tc>
          <w:tcPr>
            <w:tcW w:w="737" w:type="dxa"/>
            <w:tcBorders>
              <w:bottom w:val="single" w:sz="8" w:space="0" w:color="2F005F"/>
            </w:tcBorders>
            <w:vAlign w:val="center"/>
          </w:tcPr>
          <w:p w14:paraId="702A2FBD" w14:textId="77777777" w:rsidR="00386683" w:rsidRPr="0017023B"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pPr>
            <w:r w:rsidRPr="0017023B">
              <w:t>658</w:t>
            </w:r>
          </w:p>
        </w:tc>
        <w:tc>
          <w:tcPr>
            <w:tcW w:w="794" w:type="dxa"/>
            <w:tcBorders>
              <w:bottom w:val="single" w:sz="8" w:space="0" w:color="2F005F"/>
            </w:tcBorders>
            <w:vAlign w:val="center"/>
          </w:tcPr>
          <w:p w14:paraId="1D764D4A" w14:textId="77777777" w:rsidR="00386683" w:rsidRPr="0017023B"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pPr>
            <w:r w:rsidRPr="0017023B">
              <w:t>967</w:t>
            </w:r>
          </w:p>
        </w:tc>
        <w:tc>
          <w:tcPr>
            <w:tcW w:w="737" w:type="dxa"/>
            <w:tcBorders>
              <w:bottom w:val="single" w:sz="8" w:space="0" w:color="2F005F"/>
            </w:tcBorders>
            <w:vAlign w:val="center"/>
          </w:tcPr>
          <w:p w14:paraId="5E7FCB73" w14:textId="77777777" w:rsidR="00386683" w:rsidRPr="0017023B"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pPr>
            <w:r w:rsidRPr="0017023B">
              <w:t>1,124</w:t>
            </w:r>
          </w:p>
        </w:tc>
        <w:tc>
          <w:tcPr>
            <w:tcW w:w="845" w:type="dxa"/>
            <w:tcBorders>
              <w:bottom w:val="single" w:sz="8" w:space="0" w:color="2F005F"/>
            </w:tcBorders>
            <w:vAlign w:val="center"/>
          </w:tcPr>
          <w:p w14:paraId="67ACE420" w14:textId="77777777" w:rsidR="00386683" w:rsidRPr="0017023B"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pPr>
            <w:r w:rsidRPr="0017023B">
              <w:t>1,371</w:t>
            </w:r>
          </w:p>
        </w:tc>
        <w:tc>
          <w:tcPr>
            <w:tcW w:w="845" w:type="dxa"/>
            <w:tcBorders>
              <w:bottom w:val="single" w:sz="8" w:space="0" w:color="2F005F"/>
            </w:tcBorders>
            <w:vAlign w:val="center"/>
          </w:tcPr>
          <w:p w14:paraId="6EB8884C" w14:textId="77777777" w:rsidR="00386683" w:rsidRPr="0017023B"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pPr>
            <w:r w:rsidRPr="0017023B">
              <w:t>1,685</w:t>
            </w:r>
          </w:p>
        </w:tc>
      </w:tr>
    </w:tbl>
    <w:p w14:paraId="3397ACA9" w14:textId="77777777" w:rsidR="00386683" w:rsidRDefault="00386683" w:rsidP="008B2387">
      <w:pPr>
        <w:pStyle w:val="Source"/>
      </w:pPr>
      <w:r w:rsidRPr="43BF1CBB">
        <w:t xml:space="preserve">Notes: </w:t>
      </w:r>
    </w:p>
    <w:p w14:paraId="5CC79B12" w14:textId="77777777" w:rsidR="00386683" w:rsidRDefault="00386683" w:rsidP="008B2387">
      <w:pPr>
        <w:pStyle w:val="Source"/>
      </w:pPr>
      <w:r>
        <w:t>(a)</w:t>
      </w:r>
      <w:r w:rsidRPr="43BF1CBB">
        <w:t xml:space="preserve"> 2022 </w:t>
      </w:r>
      <w:r>
        <w:t xml:space="preserve">qualification </w:t>
      </w:r>
      <w:r w:rsidRPr="43BF1CBB">
        <w:t>completions are preliminary and will increase when final data is published in August 2024.</w:t>
      </w:r>
    </w:p>
    <w:p w14:paraId="7094ECE9" w14:textId="77777777" w:rsidR="00386683" w:rsidRDefault="00386683" w:rsidP="008B2387">
      <w:pPr>
        <w:pStyle w:val="Source"/>
      </w:pPr>
      <w:r>
        <w:t xml:space="preserve">(b) Examples of other VET qualifications in Adult Education at Diploma and above include Graduate Diploma of Management (Learning) – from the BSB training package (1,101 completions in 2022), and Diploma of </w:t>
      </w:r>
      <w:r w:rsidRPr="0010762B">
        <w:t>TESOL (</w:t>
      </w:r>
      <w:r>
        <w:t xml:space="preserve">Teaching </w:t>
      </w:r>
      <w:r w:rsidRPr="0010762B">
        <w:t>English to Speakers of Other Languages</w:t>
      </w:r>
      <w:r>
        <w:t>) – a Nationally accredited qualification that was not part of any training package (63 completions in 2022).</w:t>
      </w:r>
    </w:p>
    <w:p w14:paraId="1C518BA6" w14:textId="639CEBB6" w:rsidR="00386683" w:rsidRDefault="00386683" w:rsidP="008B2387">
      <w:pPr>
        <w:pStyle w:val="Source"/>
      </w:pPr>
      <w:r>
        <w:t xml:space="preserve">(c) </w:t>
      </w:r>
      <w:r w:rsidRPr="43BF1CBB">
        <w:t xml:space="preserve">Includes: TAESS0008/TAESS000013 Enterprise Trainer </w:t>
      </w:r>
      <w:r w:rsidR="0000395E">
        <w:t>–</w:t>
      </w:r>
      <w:r w:rsidRPr="43BF1CBB">
        <w:t xml:space="preserve"> Mentoring, TAESS00007/TAESS00014 Enterprise Trainer </w:t>
      </w:r>
      <w:r w:rsidR="0000395E">
        <w:t>–</w:t>
      </w:r>
      <w:r w:rsidRPr="43BF1CBB">
        <w:t xml:space="preserve"> Presenting, TAESS000015 Enterprise Trainer and Assessor</w:t>
      </w:r>
      <w:r>
        <w:t xml:space="preserve"> </w:t>
      </w:r>
    </w:p>
    <w:p w14:paraId="2776CD69" w14:textId="06E4D9C8" w:rsidR="005F1325" w:rsidRPr="005F1325" w:rsidRDefault="00386683" w:rsidP="008B2387">
      <w:pPr>
        <w:pStyle w:val="Source"/>
      </w:pPr>
      <w:r w:rsidRPr="37953615">
        <w:t>Source:</w:t>
      </w:r>
      <w:r w:rsidRPr="37953615" w:rsidDel="00E2713F">
        <w:t xml:space="preserve">  </w:t>
      </w:r>
      <w:r w:rsidRPr="37953615">
        <w:t>VOCSTATS</w:t>
      </w:r>
      <w:r w:rsidR="00AA74ED">
        <w:t>,</w:t>
      </w:r>
      <w:r w:rsidRPr="37953615">
        <w:t xml:space="preserve"> 'Total VET students and courses' extracted in</w:t>
      </w:r>
      <w:r>
        <w:t xml:space="preserve"> </w:t>
      </w:r>
      <w:r w:rsidRPr="37953615">
        <w:t>December 2023, January 2024 and February 2024.</w:t>
      </w:r>
      <w:bookmarkEnd w:id="201"/>
    </w:p>
    <w:p w14:paraId="530E0F39" w14:textId="77777777" w:rsidR="009E4064" w:rsidRDefault="009E4064" w:rsidP="00E16D4F">
      <w:pPr>
        <w:pStyle w:val="Bodycopy"/>
      </w:pPr>
    </w:p>
    <w:p w14:paraId="352D9BF1" w14:textId="0D53631D" w:rsidR="00386683" w:rsidRPr="00A10F27" w:rsidRDefault="00386683" w:rsidP="00E16D4F">
      <w:pPr>
        <w:pStyle w:val="Bodycopy"/>
      </w:pPr>
      <w:r w:rsidRPr="00A10F27">
        <w:t xml:space="preserve">In 2021, commencements in the Certificate IV TAE </w:t>
      </w:r>
      <w:r w:rsidR="0000395E">
        <w:t>–</w:t>
      </w:r>
      <w:r w:rsidRPr="00A10F27">
        <w:t xml:space="preserve"> were 7,535 (or 22.1%) lower than in 2016 and completions had fallen by 5,166 (23.9%).</w:t>
      </w:r>
      <w:r w:rsidRPr="00A10F27">
        <w:rPr>
          <w:rStyle w:val="FootnoteReference"/>
        </w:rPr>
        <w:footnoteReference w:id="12"/>
      </w:r>
      <w:r w:rsidRPr="00A10F27">
        <w:rPr>
          <w:vertAlign w:val="superscript"/>
        </w:rPr>
        <w:t xml:space="preserve"> </w:t>
      </w:r>
      <w:r w:rsidRPr="00A10F27">
        <w:t xml:space="preserve">Although targeted at workers already in the VET workforce, commencements in Diplomas and above in the TAE training package also fell by 45.9% in the same period, to fewer than 1,000 in 2021. The stark declines in the training pipeline occurred during a period when VET student numbers increased, as did enrolments in qualifications like ECEC and the building and engineering trades support occupations, which like </w:t>
      </w:r>
      <w:r w:rsidR="00CC6D50">
        <w:t>VET teachers</w:t>
      </w:r>
      <w:r w:rsidRPr="00A10F27">
        <w:t xml:space="preserve"> are on the skills shortage list. </w:t>
      </w:r>
    </w:p>
    <w:p w14:paraId="31C44C63" w14:textId="3A9E79DC" w:rsidR="00386683" w:rsidRPr="00A10F27" w:rsidRDefault="00386683" w:rsidP="00E16D4F">
      <w:pPr>
        <w:pStyle w:val="Bodycopy"/>
      </w:pPr>
      <w:r w:rsidRPr="00A10F27">
        <w:t xml:space="preserve">In contrast to this shrinking supply, completions of skill sets allowing training and assessment to be delivered under supervision, while a comparatively small number overall, have increased exponentially over time </w:t>
      </w:r>
      <w:r w:rsidR="0000395E">
        <w:t>–</w:t>
      </w:r>
      <w:r w:rsidRPr="00A10F27">
        <w:t xml:space="preserve"> up 1,480, more than a sevenfold increase since 2016. Although skill set completion supports quick onboarding of new </w:t>
      </w:r>
      <w:r w:rsidR="00CC6D50">
        <w:t>VET teachers</w:t>
      </w:r>
      <w:r w:rsidRPr="00A10F27">
        <w:t xml:space="preserve">, these partly skilled teachers </w:t>
      </w:r>
      <w:r w:rsidR="0079026D">
        <w:t xml:space="preserve">are not </w:t>
      </w:r>
      <w:r w:rsidR="00E17BA4">
        <w:t xml:space="preserve">yet </w:t>
      </w:r>
      <w:r w:rsidR="00FF7DAB">
        <w:t xml:space="preserve">reliably </w:t>
      </w:r>
      <w:r w:rsidR="0079026D">
        <w:t>translating</w:t>
      </w:r>
      <w:r w:rsidRPr="00A10F27">
        <w:t xml:space="preserve"> to</w:t>
      </w:r>
      <w:r w:rsidR="0079026D">
        <w:t xml:space="preserve"> </w:t>
      </w:r>
      <w:r w:rsidR="0083255A">
        <w:t>more Certificate IV TAE enrolments and completions.</w:t>
      </w:r>
      <w:r w:rsidRPr="00A10F27">
        <w:t xml:space="preserve"> </w:t>
      </w:r>
    </w:p>
    <w:p w14:paraId="52B331A7" w14:textId="02895219" w:rsidR="00386683" w:rsidRPr="00A10F27" w:rsidRDefault="00386683" w:rsidP="00E16D4F">
      <w:pPr>
        <w:pStyle w:val="Bodycopy"/>
      </w:pPr>
      <w:r w:rsidRPr="00A10F27">
        <w:t xml:space="preserve">Department of Education data shows that the number of </w:t>
      </w:r>
      <w:r w:rsidR="00CC6D50">
        <w:t>VET teachers</w:t>
      </w:r>
      <w:r w:rsidRPr="00A10F27">
        <w:t xml:space="preserve"> undertaking initial teacher training in the Higher Education sector is </w:t>
      </w:r>
      <w:r w:rsidR="00AA74ED" w:rsidRPr="00AA74ED">
        <w:t xml:space="preserve">very small but, due to data classification </w:t>
      </w:r>
      <w:r w:rsidR="00AA74ED" w:rsidRPr="00AA74ED">
        <w:lastRenderedPageBreak/>
        <w:t>and other issues, these may be undercounts</w:t>
      </w:r>
      <w:r w:rsidRPr="00A10F27">
        <w:t xml:space="preserve">. </w:t>
      </w:r>
      <w:r w:rsidR="000B0EF5" w:rsidRPr="000B0EF5">
        <w:t xml:space="preserve">According to these counts, in 2021, </w:t>
      </w:r>
      <w:r w:rsidRPr="00A10F27">
        <w:t xml:space="preserve">227 students were enrolled in Teacher Education (Vocational Education and Training) undergraduate qualifications. The number of students enrolled in postgraduate VET teacher qualifications was </w:t>
      </w:r>
      <w:r w:rsidR="00961AE8">
        <w:t>not published</w:t>
      </w:r>
      <w:r w:rsidRPr="00A10F27">
        <w:t>.</w:t>
      </w:r>
      <w:r w:rsidR="002B0248">
        <w:rPr>
          <w:rStyle w:val="EndnoteReference"/>
        </w:rPr>
        <w:endnoteReference w:id="74"/>
      </w:r>
      <w:r w:rsidR="002B0248">
        <w:rPr>
          <w:vertAlign w:val="superscript"/>
        </w:rPr>
        <w:t xml:space="preserve">  </w:t>
      </w:r>
      <w:r w:rsidR="00AA74ED" w:rsidRPr="00AA74ED">
        <w:t>Work and consultation with the Australian Council of Deans of Education Vocational Education Group (ACDEVEG) may improve data collection in the future.</w:t>
      </w:r>
    </w:p>
    <w:p w14:paraId="3F84BCA5" w14:textId="77777777" w:rsidR="00386683" w:rsidRDefault="00386683" w:rsidP="00386683">
      <w:pPr>
        <w:pStyle w:val="Heading3"/>
      </w:pPr>
      <w:r>
        <w:t>What does the future VET workforce look based on the training pipeline?</w:t>
      </w:r>
    </w:p>
    <w:p w14:paraId="6D116046" w14:textId="77777777" w:rsidR="008B2387" w:rsidRDefault="00386683" w:rsidP="00E16D4F">
      <w:pPr>
        <w:pStyle w:val="Bodycopy"/>
      </w:pPr>
      <w:r w:rsidRPr="00A10F27">
        <w:t xml:space="preserve">This section discusses the impact of the training pipeline on VET workforce diversity, through demographic analysis of students commencing in, and graduating from, key VET teaching qualifications – Certificate IV TAE, Diploma of Vocational Education and Training, and Diploma of Training Design and Development. In short, the proportions of females and people living in regional and remote Australia who graduate from Certificate IV and Diploma TAEs are broadly consistent with or higher than their representation in the VET student and Australian populations. </w:t>
      </w:r>
    </w:p>
    <w:p w14:paraId="6245CBC6" w14:textId="27632017" w:rsidR="00386683" w:rsidRPr="00A10F27" w:rsidRDefault="00386683" w:rsidP="00E16D4F">
      <w:pPr>
        <w:pStyle w:val="Bodycopy"/>
      </w:pPr>
      <w:r w:rsidRPr="00A10F27">
        <w:t xml:space="preserve">However, the proportions of First Nations people, people with Disability and people speaking a language other than English at home are comparatively low (in some cases very low) against both measures. See </w:t>
      </w:r>
      <w:hyperlink w:anchor="Table_4_3" w:history="1">
        <w:r w:rsidRPr="00E20E5E">
          <w:rPr>
            <w:rStyle w:val="Hyperlink"/>
          </w:rPr>
          <w:t>Table 4.3</w:t>
        </w:r>
      </w:hyperlink>
      <w:r w:rsidRPr="00A10F27">
        <w:t xml:space="preserve"> for an overview.</w:t>
      </w:r>
      <w:r w:rsidRPr="00A10F27">
        <w:rPr>
          <w:rStyle w:val="FootnoteReference"/>
        </w:rPr>
        <w:footnoteReference w:id="13"/>
      </w:r>
      <w:r w:rsidRPr="00A10F27">
        <w:rPr>
          <w:rStyle w:val="FootnoteReference"/>
          <w:vertAlign w:val="baseline"/>
        </w:rPr>
        <w:t xml:space="preserve"> </w:t>
      </w:r>
      <w:r w:rsidR="00523E26">
        <w:t>A</w:t>
      </w:r>
      <w:r w:rsidRPr="00A10F27">
        <w:t xml:space="preserve"> lack of diversity in teaching staff may negatively impact student outcomes and perpetuate disadvantage, as incoming students are less likely to encounter people with whom they identify. Additionally, diverse teachers can themselves experience barriers such as instances of discrimination and requirements to undertake additional inclusion and emotion work.</w:t>
      </w:r>
      <w:r w:rsidR="00F05077">
        <w:rPr>
          <w:rStyle w:val="EndnoteReference"/>
        </w:rPr>
        <w:endnoteReference w:id="75"/>
      </w:r>
    </w:p>
    <w:p w14:paraId="2AA74FDC" w14:textId="77777777" w:rsidR="00386683" w:rsidRDefault="00386683" w:rsidP="002D4813">
      <w:pPr>
        <w:pStyle w:val="Heading4"/>
      </w:pPr>
      <w:r>
        <w:t xml:space="preserve">Cultural diversity </w:t>
      </w:r>
    </w:p>
    <w:p w14:paraId="6FAF7818" w14:textId="77777777" w:rsidR="00386683" w:rsidRPr="00A10F27" w:rsidRDefault="00386683" w:rsidP="00E16D4F">
      <w:pPr>
        <w:pStyle w:val="Bodycopy"/>
      </w:pPr>
      <w:r w:rsidRPr="00A10F27">
        <w:t xml:space="preserve">Chapter 2 identified the VET workforce was underrepresented amongst First Nations peoples compared to Australian workforce figures which is again reflected in the VET teacher training pipeline. While First Nations students make up 3.6% of VET students overall, they make up only 2.8% and 2.2% of Certificate IV TAE and Diploma commencements respectively, and only 2.0% and 1.3% of Cert IV TAE and Diploma completions. They do however make up a larger proportion of Skill Sets completions at 6.5%.  </w:t>
      </w:r>
    </w:p>
    <w:p w14:paraId="69B850F3" w14:textId="2E9A52F0" w:rsidR="006C5EFF" w:rsidRPr="000B0EF5" w:rsidRDefault="00386683" w:rsidP="000B0EF5">
      <w:pPr>
        <w:pStyle w:val="Bodycopy"/>
      </w:pPr>
      <w:r w:rsidRPr="00A10F27">
        <w:t xml:space="preserve">VET contributes significantly to English as a Second Language training in Australia, yet the proportion of students completing the VET teaching credentials who speak a language other than English at home is comparatively small. VET students generally are less likely to speak a language other than English at home compared to the Australian population (14.3% compared to 22.3%). This difference is more pronounced in VET teacher training where only 11.9% and 11.6% of Certificate IV and Diploma graduates speak a language other than English at home. </w:t>
      </w:r>
      <w:r w:rsidR="006C5EFF">
        <w:br w:type="page"/>
      </w:r>
    </w:p>
    <w:p w14:paraId="2BA8D989" w14:textId="45F882A2" w:rsidR="00386683" w:rsidRDefault="00386683" w:rsidP="002D4813">
      <w:pPr>
        <w:pStyle w:val="Heading4"/>
      </w:pPr>
      <w:r>
        <w:lastRenderedPageBreak/>
        <w:t>Key Demographics – Age, Gender, Disability</w:t>
      </w:r>
    </w:p>
    <w:p w14:paraId="07AE1904" w14:textId="77777777" w:rsidR="00386683" w:rsidRDefault="00386683" w:rsidP="008B2387">
      <w:pPr>
        <w:pStyle w:val="Bodycopy"/>
      </w:pPr>
      <w:r>
        <w:t xml:space="preserve">The proportion of training graduates aged over 50 years suggests the VET workforce will continue to age. In the Certificate IV TAE training pipeline, the proportion of graduates aged over 50 years increased by 2.2 % between 2015 and 2021 to 28.0%. This indicates that this pipeline may put further upward pressure on the age of the VET workforce. As noted in Chapter 2, </w:t>
      </w:r>
      <w:r w:rsidRPr="00B7001D">
        <w:t xml:space="preserve">46.5% </w:t>
      </w:r>
      <w:r>
        <w:t xml:space="preserve">of the VET the workforce is aged over 50 years. </w:t>
      </w:r>
    </w:p>
    <w:p w14:paraId="6DBFAEEE" w14:textId="77777777" w:rsidR="008B2387" w:rsidRDefault="00386683" w:rsidP="008B2387">
      <w:pPr>
        <w:pStyle w:val="Bodycopy"/>
      </w:pPr>
      <w:r>
        <w:t xml:space="preserve">Females are well-represented in the VET training pipeline. The female proportion of Certificate IV TAE (50.1%) or VET teaching diploma (53.1%) graduates is higher than the female proportion of VET students overall (46.6%) but like the female proportion of the Australian population (50.7%). </w:t>
      </w:r>
    </w:p>
    <w:p w14:paraId="3D02636E" w14:textId="71FE0CF6" w:rsidR="00386683" w:rsidRDefault="00386683" w:rsidP="008B2387">
      <w:pPr>
        <w:pStyle w:val="Bodycopy"/>
      </w:pPr>
      <w:r>
        <w:t xml:space="preserve">The skill sets training pipeline, however, is made up of far more males (70.3%) which could be an indicator of more masculinised vocations such as building and engineering trades using this qualification route into VET teaching. This may change with the March 2024 RTO Standards changes which allow more industry practitioners to teach ‘alongside’ </w:t>
      </w:r>
      <w:r w:rsidR="00CC6D50">
        <w:t>VET teachers</w:t>
      </w:r>
      <w:r>
        <w:t xml:space="preserve">. </w:t>
      </w:r>
    </w:p>
    <w:p w14:paraId="1FAD368C" w14:textId="4E4E3402" w:rsidR="00386683" w:rsidRDefault="00386683" w:rsidP="008B2387">
      <w:pPr>
        <w:pStyle w:val="Bodycopy"/>
      </w:pPr>
      <w:r>
        <w:t>The proportion of people with disability in VET teaching qualifications is about the same as among VET students broadly (3.9% in Certificate IV commencements and 4.4% in Diplomas, compared to 3.9% for all VET students), but still substantially lower than the Australian population (5.8%). However, people with disability are more underrepresented in completions (3.5% for Certificate IV and 3.4% for Diploma)</w:t>
      </w:r>
      <w:r w:rsidR="002B6D2F">
        <w:t xml:space="preserve">, affecting </w:t>
      </w:r>
      <w:r>
        <w:t xml:space="preserve">the </w:t>
      </w:r>
      <w:r w:rsidR="002066A9">
        <w:t>VET workforce</w:t>
      </w:r>
      <w:r w:rsidR="002066A9" w:rsidDel="002066A9">
        <w:t xml:space="preserve"> </w:t>
      </w:r>
      <w:r w:rsidR="002066A9">
        <w:t>pipeline</w:t>
      </w:r>
      <w:r>
        <w:t>.</w:t>
      </w:r>
      <w:r w:rsidR="008B2387">
        <w:br/>
      </w:r>
    </w:p>
    <w:p w14:paraId="53126C8E" w14:textId="10A52DA9" w:rsidR="00386683" w:rsidRDefault="00386683" w:rsidP="00386683">
      <w:pPr>
        <w:pStyle w:val="Caption"/>
        <w:keepNext/>
      </w:pPr>
      <w:bookmarkStart w:id="203" w:name="Table_4_3"/>
      <w:r>
        <w:t xml:space="preserve">Table </w:t>
      </w:r>
      <w:r w:rsidR="004B692A">
        <w:fldChar w:fldCharType="begin"/>
      </w:r>
      <w:r w:rsidR="004B692A">
        <w:instrText xml:space="preserve"> STYLEREF 1 \s </w:instrText>
      </w:r>
      <w:r w:rsidR="004B692A">
        <w:fldChar w:fldCharType="separate"/>
      </w:r>
      <w:r w:rsidR="00E7704E">
        <w:rPr>
          <w:noProof/>
        </w:rPr>
        <w:t>4</w:t>
      </w:r>
      <w:r w:rsidR="004B692A">
        <w:fldChar w:fldCharType="end"/>
      </w:r>
      <w:r w:rsidR="004B692A">
        <w:t>.</w:t>
      </w:r>
      <w:r w:rsidR="004B692A">
        <w:fldChar w:fldCharType="begin"/>
      </w:r>
      <w:r w:rsidR="004B692A">
        <w:instrText xml:space="preserve"> SEQ Table \* ARABIC \s 1 </w:instrText>
      </w:r>
      <w:r w:rsidR="004B692A">
        <w:fldChar w:fldCharType="separate"/>
      </w:r>
      <w:r w:rsidR="00E7704E">
        <w:rPr>
          <w:noProof/>
        </w:rPr>
        <w:t>3</w:t>
      </w:r>
      <w:r w:rsidR="004B692A">
        <w:fldChar w:fldCharType="end"/>
      </w:r>
      <w:r>
        <w:t xml:space="preserve"> Key diversity characteristics in VET teacher training qualifications, VET students and Australian population wide</w:t>
      </w:r>
    </w:p>
    <w:bookmarkEnd w:id="203"/>
    <w:tbl>
      <w:tblPr>
        <w:tblStyle w:val="JSATable1"/>
        <w:tblW w:w="9056" w:type="dxa"/>
        <w:tblLayout w:type="fixed"/>
        <w:tblLook w:val="04A0" w:firstRow="1" w:lastRow="0" w:firstColumn="1" w:lastColumn="0" w:noHBand="0" w:noVBand="1"/>
        <w:tblCaption w:val="Table 4.3 Key diversity characteristics in VET teacher training qualifications, VET students and Australian population wide"/>
      </w:tblPr>
      <w:tblGrid>
        <w:gridCol w:w="2410"/>
        <w:gridCol w:w="1559"/>
        <w:gridCol w:w="1560"/>
        <w:gridCol w:w="1275"/>
        <w:gridCol w:w="887"/>
        <w:gridCol w:w="1365"/>
      </w:tblGrid>
      <w:tr w:rsidR="00386683" w14:paraId="5BEC0FCD" w14:textId="77777777" w:rsidTr="00096D65">
        <w:trPr>
          <w:cnfStyle w:val="100000000000" w:firstRow="1" w:lastRow="0" w:firstColumn="0" w:lastColumn="0" w:oddVBand="0" w:evenVBand="0" w:oddHBand="0" w:evenHBand="0" w:firstRowFirstColumn="0" w:firstRowLastColumn="0" w:lastRowFirstColumn="0" w:lastRowLastColumn="0"/>
          <w:trHeight w:val="1239"/>
        </w:trPr>
        <w:tc>
          <w:tcPr>
            <w:cnfStyle w:val="001000000100" w:firstRow="0" w:lastRow="0" w:firstColumn="1" w:lastColumn="0" w:oddVBand="0" w:evenVBand="0" w:oddHBand="0" w:evenHBand="0" w:firstRowFirstColumn="1" w:firstRowLastColumn="0" w:lastRowFirstColumn="0" w:lastRowLastColumn="0"/>
            <w:tcW w:w="2410" w:type="dxa"/>
          </w:tcPr>
          <w:p w14:paraId="04DB594F" w14:textId="77777777" w:rsidR="00386683" w:rsidRDefault="00386683" w:rsidP="00B6693B">
            <w:pPr>
              <w:pStyle w:val="Tablebodycopy"/>
            </w:pPr>
          </w:p>
        </w:tc>
        <w:tc>
          <w:tcPr>
            <w:tcW w:w="1559" w:type="dxa"/>
          </w:tcPr>
          <w:p w14:paraId="6DFDD761" w14:textId="16622A0C" w:rsidR="00386683" w:rsidRPr="004F4C2D" w:rsidRDefault="00386683" w:rsidP="00096D65">
            <w:pPr>
              <w:pStyle w:val="Tableheader"/>
              <w:cnfStyle w:val="100000000000" w:firstRow="1" w:lastRow="0" w:firstColumn="0" w:lastColumn="0" w:oddVBand="0" w:evenVBand="0" w:oddHBand="0" w:evenHBand="0" w:firstRowFirstColumn="0" w:firstRowLastColumn="0" w:lastRowFirstColumn="0" w:lastRowLastColumn="0"/>
            </w:pPr>
            <w:r w:rsidRPr="004F4C2D">
              <w:t xml:space="preserve">Certificate IV </w:t>
            </w:r>
            <w:r w:rsidR="00096D65">
              <w:br/>
            </w:r>
            <w:r w:rsidRPr="004F4C2D">
              <w:t xml:space="preserve">TAE </w:t>
            </w:r>
            <w:r w:rsidR="00096D65">
              <w:br/>
            </w:r>
            <w:r w:rsidRPr="004F4C2D">
              <w:t>Completions</w:t>
            </w:r>
          </w:p>
        </w:tc>
        <w:tc>
          <w:tcPr>
            <w:tcW w:w="1560" w:type="dxa"/>
          </w:tcPr>
          <w:p w14:paraId="3E3CA078" w14:textId="5D9147FD" w:rsidR="00386683" w:rsidRPr="004F4C2D" w:rsidRDefault="00386683" w:rsidP="00096D65">
            <w:pPr>
              <w:pStyle w:val="Tableheader"/>
              <w:cnfStyle w:val="100000000000" w:firstRow="1" w:lastRow="0" w:firstColumn="0" w:lastColumn="0" w:oddVBand="0" w:evenVBand="0" w:oddHBand="0" w:evenHBand="0" w:firstRowFirstColumn="0" w:firstRowLastColumn="0" w:lastRowFirstColumn="0" w:lastRowLastColumn="0"/>
            </w:pPr>
            <w:r w:rsidRPr="004F4C2D">
              <w:t xml:space="preserve">VET Teaching Diploma </w:t>
            </w:r>
            <w:r w:rsidR="00096D65">
              <w:br/>
            </w:r>
            <w:r w:rsidRPr="004F4C2D">
              <w:t>Completions</w:t>
            </w:r>
          </w:p>
        </w:tc>
        <w:tc>
          <w:tcPr>
            <w:tcW w:w="1275" w:type="dxa"/>
          </w:tcPr>
          <w:p w14:paraId="36E4FBBA" w14:textId="40D4BF0C" w:rsidR="00386683" w:rsidRPr="004F4C2D" w:rsidRDefault="00386683" w:rsidP="00096D65">
            <w:pPr>
              <w:pStyle w:val="Tableheader"/>
              <w:cnfStyle w:val="100000000000" w:firstRow="1" w:lastRow="0" w:firstColumn="0" w:lastColumn="0" w:oddVBand="0" w:evenVBand="0" w:oddHBand="0" w:evenHBand="0" w:firstRowFirstColumn="0" w:firstRowLastColumn="0" w:lastRowFirstColumn="0" w:lastRowLastColumn="0"/>
            </w:pPr>
            <w:r w:rsidRPr="004F4C2D">
              <w:t xml:space="preserve">Skill Set* </w:t>
            </w:r>
            <w:r w:rsidR="00096D65">
              <w:br/>
            </w:r>
            <w:r w:rsidRPr="004F4C2D">
              <w:t xml:space="preserve">TAE </w:t>
            </w:r>
            <w:r w:rsidR="00096D65">
              <w:br/>
            </w:r>
            <w:r w:rsidRPr="004F4C2D">
              <w:t>Completions</w:t>
            </w:r>
          </w:p>
        </w:tc>
        <w:tc>
          <w:tcPr>
            <w:tcW w:w="887" w:type="dxa"/>
          </w:tcPr>
          <w:p w14:paraId="0999EA23" w14:textId="77777777" w:rsidR="00386683" w:rsidRPr="004F4C2D" w:rsidRDefault="00386683" w:rsidP="00096D65">
            <w:pPr>
              <w:pStyle w:val="Tableheader"/>
              <w:cnfStyle w:val="100000000000" w:firstRow="1" w:lastRow="0" w:firstColumn="0" w:lastColumn="0" w:oddVBand="0" w:evenVBand="0" w:oddHBand="0" w:evenHBand="0" w:firstRowFirstColumn="0" w:firstRowLastColumn="0" w:lastRowFirstColumn="0" w:lastRowLastColumn="0"/>
            </w:pPr>
            <w:r w:rsidRPr="004F4C2D">
              <w:t>All VET Students</w:t>
            </w:r>
          </w:p>
        </w:tc>
        <w:tc>
          <w:tcPr>
            <w:tcW w:w="1365" w:type="dxa"/>
          </w:tcPr>
          <w:p w14:paraId="70B7F2D7" w14:textId="77777777" w:rsidR="00386683" w:rsidRPr="004F4C2D" w:rsidRDefault="00386683" w:rsidP="00096D65">
            <w:pPr>
              <w:pStyle w:val="Tableheader"/>
              <w:cnfStyle w:val="100000000000" w:firstRow="1" w:lastRow="0" w:firstColumn="0" w:lastColumn="0" w:oddVBand="0" w:evenVBand="0" w:oddHBand="0" w:evenHBand="0" w:firstRowFirstColumn="0" w:firstRowLastColumn="0" w:lastRowFirstColumn="0" w:lastRowLastColumn="0"/>
            </w:pPr>
            <w:r w:rsidRPr="004F4C2D">
              <w:t>Australian Population</w:t>
            </w:r>
          </w:p>
        </w:tc>
      </w:tr>
      <w:tr w:rsidR="00386683" w14:paraId="254586E2" w14:textId="77777777" w:rsidTr="00096D65">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2410" w:type="dxa"/>
            <w:vAlign w:val="center"/>
          </w:tcPr>
          <w:p w14:paraId="0A270251" w14:textId="77777777" w:rsidR="00386683" w:rsidRDefault="00386683" w:rsidP="00096D65">
            <w:pPr>
              <w:pStyle w:val="Tablebodycopy"/>
            </w:pPr>
            <w:r>
              <w:t>Language Other than English spoken at home</w:t>
            </w:r>
          </w:p>
        </w:tc>
        <w:tc>
          <w:tcPr>
            <w:tcW w:w="1559" w:type="dxa"/>
            <w:vAlign w:val="center"/>
          </w:tcPr>
          <w:p w14:paraId="1590A4E9" w14:textId="77777777" w:rsidR="00386683"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rPr>
                <w:b/>
                <w:bCs/>
              </w:rPr>
            </w:pPr>
            <w:r w:rsidRPr="1C0E5456">
              <w:rPr>
                <w:b/>
                <w:bCs/>
              </w:rPr>
              <w:t>11.9%</w:t>
            </w:r>
          </w:p>
        </w:tc>
        <w:tc>
          <w:tcPr>
            <w:tcW w:w="1560" w:type="dxa"/>
            <w:vAlign w:val="center"/>
          </w:tcPr>
          <w:p w14:paraId="69133D0F" w14:textId="77777777" w:rsidR="00386683" w:rsidRPr="1C0E5456"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rPr>
                <w:b/>
                <w:bCs/>
              </w:rPr>
            </w:pPr>
            <w:r w:rsidRPr="1C0E5456">
              <w:rPr>
                <w:b/>
                <w:bCs/>
              </w:rPr>
              <w:t>11.6%</w:t>
            </w:r>
          </w:p>
        </w:tc>
        <w:tc>
          <w:tcPr>
            <w:tcW w:w="1275" w:type="dxa"/>
            <w:vAlign w:val="center"/>
          </w:tcPr>
          <w:p w14:paraId="221A4E0E" w14:textId="77777777" w:rsidR="00386683"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rPr>
                <w:b/>
                <w:bCs/>
              </w:rPr>
            </w:pPr>
            <w:r>
              <w:rPr>
                <w:b/>
                <w:bCs/>
              </w:rPr>
              <w:t>3.9%</w:t>
            </w:r>
          </w:p>
        </w:tc>
        <w:tc>
          <w:tcPr>
            <w:tcW w:w="887" w:type="dxa"/>
            <w:vAlign w:val="center"/>
          </w:tcPr>
          <w:p w14:paraId="66312E40" w14:textId="77777777" w:rsidR="00386683"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pPr>
            <w:r>
              <w:t>14.3%</w:t>
            </w:r>
          </w:p>
        </w:tc>
        <w:tc>
          <w:tcPr>
            <w:tcW w:w="1365" w:type="dxa"/>
            <w:vAlign w:val="center"/>
          </w:tcPr>
          <w:p w14:paraId="07C82BD0" w14:textId="77777777" w:rsidR="00386683"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pPr>
            <w:r>
              <w:t>22.3%</w:t>
            </w:r>
          </w:p>
        </w:tc>
      </w:tr>
      <w:tr w:rsidR="00386683" w14:paraId="1CAF76BA" w14:textId="77777777" w:rsidTr="00EC21C8">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2410" w:type="dxa"/>
            <w:tcBorders>
              <w:bottom w:val="nil"/>
            </w:tcBorders>
            <w:vAlign w:val="center"/>
          </w:tcPr>
          <w:p w14:paraId="7754480B" w14:textId="77777777" w:rsidR="00386683" w:rsidRDefault="00386683" w:rsidP="00096D65">
            <w:pPr>
              <w:pStyle w:val="Tablebodycopy"/>
            </w:pPr>
            <w:r>
              <w:t>First Nations</w:t>
            </w:r>
          </w:p>
        </w:tc>
        <w:tc>
          <w:tcPr>
            <w:tcW w:w="1559" w:type="dxa"/>
            <w:tcBorders>
              <w:bottom w:val="nil"/>
            </w:tcBorders>
            <w:vAlign w:val="center"/>
          </w:tcPr>
          <w:p w14:paraId="775CB3D2" w14:textId="77777777" w:rsidR="00386683" w:rsidRPr="1C0E5456"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rPr>
                <w:b/>
                <w:bCs/>
              </w:rPr>
            </w:pPr>
            <w:r w:rsidRPr="1C0E5456">
              <w:rPr>
                <w:b/>
                <w:bCs/>
              </w:rPr>
              <w:t>2.0%</w:t>
            </w:r>
          </w:p>
        </w:tc>
        <w:tc>
          <w:tcPr>
            <w:tcW w:w="1560" w:type="dxa"/>
            <w:tcBorders>
              <w:bottom w:val="nil"/>
            </w:tcBorders>
            <w:vAlign w:val="center"/>
          </w:tcPr>
          <w:p w14:paraId="3A6B79CC" w14:textId="77777777" w:rsidR="00386683" w:rsidRPr="1C0E5456"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rPr>
                <w:b/>
                <w:bCs/>
              </w:rPr>
            </w:pPr>
            <w:r w:rsidRPr="1C0E5456">
              <w:rPr>
                <w:b/>
                <w:bCs/>
              </w:rPr>
              <w:t>1.3%</w:t>
            </w:r>
          </w:p>
        </w:tc>
        <w:tc>
          <w:tcPr>
            <w:tcW w:w="1275" w:type="dxa"/>
            <w:tcBorders>
              <w:bottom w:val="nil"/>
            </w:tcBorders>
            <w:vAlign w:val="center"/>
          </w:tcPr>
          <w:p w14:paraId="482C6059" w14:textId="77777777" w:rsidR="00386683" w:rsidRPr="1C0E5456"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rPr>
                <w:b/>
                <w:bCs/>
              </w:rPr>
            </w:pPr>
            <w:r>
              <w:rPr>
                <w:b/>
                <w:bCs/>
              </w:rPr>
              <w:t>6.5%</w:t>
            </w:r>
          </w:p>
        </w:tc>
        <w:tc>
          <w:tcPr>
            <w:tcW w:w="887" w:type="dxa"/>
            <w:tcBorders>
              <w:bottom w:val="nil"/>
            </w:tcBorders>
            <w:vAlign w:val="center"/>
          </w:tcPr>
          <w:p w14:paraId="69791CFB" w14:textId="77777777" w:rsidR="00386683"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pPr>
            <w:r>
              <w:t>3.6%</w:t>
            </w:r>
          </w:p>
        </w:tc>
        <w:tc>
          <w:tcPr>
            <w:tcW w:w="1365" w:type="dxa"/>
            <w:tcBorders>
              <w:bottom w:val="nil"/>
            </w:tcBorders>
            <w:vAlign w:val="center"/>
          </w:tcPr>
          <w:p w14:paraId="6659C38A" w14:textId="77777777" w:rsidR="00386683" w:rsidRDefault="00386683" w:rsidP="00096D65">
            <w:pPr>
              <w:pStyle w:val="Tablebodycopy"/>
              <w:jc w:val="center"/>
              <w:cnfStyle w:val="000000010000" w:firstRow="0" w:lastRow="0" w:firstColumn="0" w:lastColumn="0" w:oddVBand="0" w:evenVBand="0" w:oddHBand="0" w:evenHBand="1" w:firstRowFirstColumn="0" w:firstRowLastColumn="0" w:lastRowFirstColumn="0" w:lastRowLastColumn="0"/>
            </w:pPr>
            <w:r>
              <w:t>3.8%</w:t>
            </w:r>
          </w:p>
        </w:tc>
      </w:tr>
      <w:tr w:rsidR="00386683" w14:paraId="228AEF75" w14:textId="77777777" w:rsidTr="00EC21C8">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2410" w:type="dxa"/>
            <w:tcBorders>
              <w:bottom w:val="single" w:sz="8" w:space="0" w:color="2F005F"/>
            </w:tcBorders>
            <w:vAlign w:val="center"/>
          </w:tcPr>
          <w:p w14:paraId="126A7F23" w14:textId="77777777" w:rsidR="00386683" w:rsidRDefault="00386683" w:rsidP="00096D65">
            <w:pPr>
              <w:pStyle w:val="Tablebodycopy"/>
            </w:pPr>
            <w:r>
              <w:t>With Disability</w:t>
            </w:r>
          </w:p>
        </w:tc>
        <w:tc>
          <w:tcPr>
            <w:tcW w:w="1559" w:type="dxa"/>
            <w:tcBorders>
              <w:bottom w:val="single" w:sz="8" w:space="0" w:color="2F005F"/>
            </w:tcBorders>
            <w:vAlign w:val="center"/>
          </w:tcPr>
          <w:p w14:paraId="1A9C12B8" w14:textId="77777777" w:rsidR="00386683"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rPr>
                <w:b/>
                <w:bCs/>
              </w:rPr>
            </w:pPr>
            <w:r w:rsidRPr="1C0E5456">
              <w:rPr>
                <w:b/>
                <w:bCs/>
              </w:rPr>
              <w:t>3.5%</w:t>
            </w:r>
          </w:p>
        </w:tc>
        <w:tc>
          <w:tcPr>
            <w:tcW w:w="1560" w:type="dxa"/>
            <w:tcBorders>
              <w:bottom w:val="single" w:sz="8" w:space="0" w:color="2F005F"/>
            </w:tcBorders>
            <w:vAlign w:val="center"/>
          </w:tcPr>
          <w:p w14:paraId="7086EEBD" w14:textId="77777777" w:rsidR="00386683" w:rsidRPr="1C0E5456"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rPr>
                <w:b/>
                <w:bCs/>
              </w:rPr>
            </w:pPr>
            <w:r w:rsidRPr="1C0E5456">
              <w:rPr>
                <w:b/>
                <w:bCs/>
              </w:rPr>
              <w:t>3.4%</w:t>
            </w:r>
          </w:p>
        </w:tc>
        <w:tc>
          <w:tcPr>
            <w:tcW w:w="1275" w:type="dxa"/>
            <w:tcBorders>
              <w:bottom w:val="single" w:sz="8" w:space="0" w:color="2F005F"/>
            </w:tcBorders>
            <w:vAlign w:val="center"/>
          </w:tcPr>
          <w:p w14:paraId="0381B6F5" w14:textId="77777777" w:rsidR="00386683"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rPr>
                <w:b/>
                <w:bCs/>
              </w:rPr>
            </w:pPr>
            <w:r>
              <w:rPr>
                <w:b/>
                <w:bCs/>
              </w:rPr>
              <w:t>3.6%</w:t>
            </w:r>
          </w:p>
        </w:tc>
        <w:tc>
          <w:tcPr>
            <w:tcW w:w="887" w:type="dxa"/>
            <w:tcBorders>
              <w:bottom w:val="single" w:sz="8" w:space="0" w:color="2F005F"/>
            </w:tcBorders>
            <w:vAlign w:val="center"/>
          </w:tcPr>
          <w:p w14:paraId="225496DE" w14:textId="77777777" w:rsidR="00386683"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pPr>
            <w:r>
              <w:t>3.9%</w:t>
            </w:r>
          </w:p>
        </w:tc>
        <w:tc>
          <w:tcPr>
            <w:tcW w:w="1365" w:type="dxa"/>
            <w:tcBorders>
              <w:bottom w:val="single" w:sz="8" w:space="0" w:color="2F005F"/>
            </w:tcBorders>
            <w:vAlign w:val="center"/>
          </w:tcPr>
          <w:p w14:paraId="222C8F87" w14:textId="77777777" w:rsidR="00386683" w:rsidRDefault="00386683" w:rsidP="00096D65">
            <w:pPr>
              <w:pStyle w:val="Tablebodycopy"/>
              <w:jc w:val="center"/>
              <w:cnfStyle w:val="000000100000" w:firstRow="0" w:lastRow="0" w:firstColumn="0" w:lastColumn="0" w:oddVBand="0" w:evenVBand="0" w:oddHBand="1" w:evenHBand="0" w:firstRowFirstColumn="0" w:firstRowLastColumn="0" w:lastRowFirstColumn="0" w:lastRowLastColumn="0"/>
            </w:pPr>
            <w:r>
              <w:t>5.8%</w:t>
            </w:r>
          </w:p>
        </w:tc>
      </w:tr>
    </w:tbl>
    <w:p w14:paraId="2C5B2F7C" w14:textId="648DF6BF" w:rsidR="00474E74" w:rsidRDefault="00386683" w:rsidP="008B2387">
      <w:pPr>
        <w:pStyle w:val="Source"/>
      </w:pPr>
      <w:r w:rsidRPr="005C6367">
        <w:t xml:space="preserve">Source: NCVER, VOCSTATS, 'Total VET students and courses' extracted </w:t>
      </w:r>
      <w:r w:rsidR="001A2CBE">
        <w:t xml:space="preserve">in January </w:t>
      </w:r>
      <w:r w:rsidRPr="005C6367">
        <w:t xml:space="preserve">2024. </w:t>
      </w:r>
      <w:r w:rsidR="00133DF1">
        <w:br/>
      </w:r>
      <w:r w:rsidR="0015456C" w:rsidRPr="005C6367">
        <w:t>*</w:t>
      </w:r>
      <w:r w:rsidRPr="005C6367">
        <w:t>Skill Sets as per RTO Standards</w:t>
      </w:r>
    </w:p>
    <w:p w14:paraId="10238E4E" w14:textId="77777777" w:rsidR="007142B3" w:rsidRDefault="007142B3">
      <w:pPr>
        <w:rPr>
          <w:b/>
          <w:sz w:val="20"/>
          <w:lang w:val="en-US"/>
        </w:rPr>
      </w:pPr>
      <w:r>
        <w:br w:type="page"/>
      </w:r>
    </w:p>
    <w:p w14:paraId="0524D0EB" w14:textId="0355DD9D" w:rsidR="00386683" w:rsidRPr="00CD0D4F" w:rsidRDefault="00386683" w:rsidP="00474E74">
      <w:pPr>
        <w:pStyle w:val="ChartandTablelabel"/>
      </w:pPr>
      <w:r w:rsidRPr="005D3504">
        <w:lastRenderedPageBreak/>
        <w:t>Box 4.2</w:t>
      </w:r>
      <w:r w:rsidR="00FB389B">
        <w:t xml:space="preserve"> </w:t>
      </w:r>
      <w:r w:rsidRPr="00CD0D4F">
        <w:t>Case study: Cert IV TAE taught in Auslan</w:t>
      </w:r>
    </w:p>
    <w:p w14:paraId="7C5348C9" w14:textId="29AC5610" w:rsidR="00E20B3A" w:rsidRPr="007142B3" w:rsidRDefault="00386683" w:rsidP="007142B3">
      <w:pPr>
        <w:pStyle w:val="Breakoutbox"/>
        <w:rPr>
          <w:vertAlign w:val="superscript"/>
        </w:rPr>
      </w:pPr>
      <w:r w:rsidRPr="00D93FDB">
        <w:t>deafConnectEd is a specialist centre located within Melbourne Polytechnic committed to the inclusion and successful outcomes of students who are deaf and hard of hearing (DHH) in post-secondary education</w:t>
      </w:r>
      <w:r w:rsidR="00F05077">
        <w:rPr>
          <w:sz w:val="18"/>
          <w:szCs w:val="18"/>
        </w:rPr>
        <w:t>.</w:t>
      </w:r>
      <w:r w:rsidR="00F05077">
        <w:rPr>
          <w:rStyle w:val="EndnoteReference"/>
          <w:sz w:val="18"/>
          <w:szCs w:val="18"/>
        </w:rPr>
        <w:endnoteReference w:id="76"/>
      </w:r>
      <w:r w:rsidRPr="00D93FDB">
        <w:t xml:space="preserve"> In 2019, Melbourne Polytechnic received a Victorian Department of Education and Training grant, in part, to tailor the Certificate IV in TAE to meet the needs of DHH people wanting to become accredited educators. The course is delivered primarily in Auslan by a Deaf instructor. In response to COVID, the course was adapted for online delivery and is accessible to </w:t>
      </w:r>
      <w:r w:rsidR="00422759" w:rsidRPr="00D93FDB">
        <w:t>students</w:t>
      </w:r>
      <w:r w:rsidRPr="00D93FDB">
        <w:t xml:space="preserve"> interstate.</w:t>
      </w:r>
      <w:r w:rsidR="00F05077">
        <w:rPr>
          <w:rStyle w:val="EndnoteReference"/>
        </w:rPr>
        <w:endnoteReference w:id="77"/>
      </w:r>
      <w:r w:rsidRPr="00D93FDB">
        <w:rPr>
          <w:vertAlign w:val="superscript"/>
        </w:rPr>
        <w:t xml:space="preserve"> </w:t>
      </w:r>
    </w:p>
    <w:p w14:paraId="7D44C578" w14:textId="44D6B7BB" w:rsidR="00386683" w:rsidRDefault="00386683" w:rsidP="002D4813">
      <w:pPr>
        <w:pStyle w:val="Heading4"/>
      </w:pPr>
      <w:r>
        <w:t>Geography</w:t>
      </w:r>
    </w:p>
    <w:p w14:paraId="20FEB98B" w14:textId="1F4D3F4A" w:rsidR="00133DF1" w:rsidRPr="007142B3" w:rsidRDefault="00386683" w:rsidP="00E16D4F">
      <w:pPr>
        <w:pStyle w:val="Bodycopy"/>
      </w:pPr>
      <w:r>
        <w:t>Proportionally, there are more graduates of the Certificate IV TAE from regional and remote Australia than students in VET courses or the Australian population</w:t>
      </w:r>
      <w:r w:rsidR="00A618AE">
        <w:t xml:space="preserve">, see </w:t>
      </w:r>
      <w:hyperlink w:anchor="Table_4_4" w:history="1">
        <w:r w:rsidR="00A618AE" w:rsidRPr="00E20E5E">
          <w:rPr>
            <w:rStyle w:val="Hyperlink"/>
          </w:rPr>
          <w:t>Table 4.4</w:t>
        </w:r>
      </w:hyperlink>
      <w:r>
        <w:t xml:space="preserve">. However, whereas students in regional Australia achieve VET teaching diplomas at rates a little higher than their representation in the VET student and Australian populations, a comparatively low proportion of VET teaching diploma graduates live in remote and very remote Australia and an even lower proportion of students who commence VET teaching diplomas live in remote Australia (1.1% compared to 1.8% of the Australian population and 2.2% of all VET students).  </w:t>
      </w:r>
    </w:p>
    <w:p w14:paraId="2A6EBC3D" w14:textId="4ED6775F" w:rsidR="00386683" w:rsidRDefault="00386683" w:rsidP="00386683">
      <w:pPr>
        <w:pStyle w:val="Caption"/>
        <w:keepNext/>
      </w:pPr>
      <w:bookmarkStart w:id="204" w:name="Table_4_4"/>
      <w:r>
        <w:t xml:space="preserve">Table </w:t>
      </w:r>
      <w:r w:rsidR="004B692A">
        <w:fldChar w:fldCharType="begin"/>
      </w:r>
      <w:r w:rsidR="004B692A">
        <w:instrText xml:space="preserve"> STYLEREF 1 \s </w:instrText>
      </w:r>
      <w:r w:rsidR="004B692A">
        <w:fldChar w:fldCharType="separate"/>
      </w:r>
      <w:r w:rsidR="00E7704E">
        <w:rPr>
          <w:noProof/>
        </w:rPr>
        <w:t>4</w:t>
      </w:r>
      <w:r w:rsidR="004B692A">
        <w:fldChar w:fldCharType="end"/>
      </w:r>
      <w:r w:rsidR="004B692A">
        <w:t>.</w:t>
      </w:r>
      <w:r w:rsidR="004B692A">
        <w:fldChar w:fldCharType="begin"/>
      </w:r>
      <w:r w:rsidR="004B692A">
        <w:instrText xml:space="preserve"> SEQ Table \* ARABIC \s 1 </w:instrText>
      </w:r>
      <w:r w:rsidR="004B692A">
        <w:fldChar w:fldCharType="separate"/>
      </w:r>
      <w:r w:rsidR="00E7704E">
        <w:rPr>
          <w:noProof/>
        </w:rPr>
        <w:t>4</w:t>
      </w:r>
      <w:r w:rsidR="004B692A">
        <w:fldChar w:fldCharType="end"/>
      </w:r>
      <w:r>
        <w:t xml:space="preserve"> Proportion of VET teacher training qualification students, VET students and Australian population wide living in regional and remote Australia </w:t>
      </w:r>
    </w:p>
    <w:bookmarkEnd w:id="204"/>
    <w:tbl>
      <w:tblPr>
        <w:tblStyle w:val="JSATable1"/>
        <w:tblW w:w="8902" w:type="dxa"/>
        <w:tblLayout w:type="fixed"/>
        <w:tblLook w:val="04A0" w:firstRow="1" w:lastRow="0" w:firstColumn="1" w:lastColumn="0" w:noHBand="0" w:noVBand="1"/>
      </w:tblPr>
      <w:tblGrid>
        <w:gridCol w:w="2563"/>
        <w:gridCol w:w="1585"/>
        <w:gridCol w:w="1585"/>
        <w:gridCol w:w="1584"/>
        <w:gridCol w:w="1585"/>
      </w:tblGrid>
      <w:tr w:rsidR="00386683" w:rsidRPr="006262F5" w14:paraId="34BEA858" w14:textId="77777777" w:rsidTr="007B5889">
        <w:trPr>
          <w:cnfStyle w:val="100000000000" w:firstRow="1" w:lastRow="0" w:firstColumn="0" w:lastColumn="0" w:oddVBand="0" w:evenVBand="0" w:oddHBand="0" w:evenHBand="0" w:firstRowFirstColumn="0" w:firstRowLastColumn="0" w:lastRowFirstColumn="0" w:lastRowLastColumn="0"/>
          <w:trHeight w:val="930"/>
        </w:trPr>
        <w:tc>
          <w:tcPr>
            <w:cnfStyle w:val="001000000100" w:firstRow="0" w:lastRow="0" w:firstColumn="1" w:lastColumn="0" w:oddVBand="0" w:evenVBand="0" w:oddHBand="0" w:evenHBand="0" w:firstRowFirstColumn="1" w:firstRowLastColumn="0" w:lastRowFirstColumn="0" w:lastRowLastColumn="0"/>
            <w:tcW w:w="2552" w:type="dxa"/>
            <w:noWrap/>
            <w:hideMark/>
          </w:tcPr>
          <w:p w14:paraId="753829DA" w14:textId="77777777" w:rsidR="00386683" w:rsidRPr="00EC2ED7" w:rsidRDefault="00386683" w:rsidP="00B6693B">
            <w:pPr>
              <w:pStyle w:val="Tablebodycopy"/>
              <w:rPr>
                <w:bCs/>
                <w:lang w:eastAsia="en-AU"/>
              </w:rPr>
            </w:pPr>
          </w:p>
        </w:tc>
        <w:tc>
          <w:tcPr>
            <w:tcW w:w="1578" w:type="dxa"/>
            <w:hideMark/>
          </w:tcPr>
          <w:p w14:paraId="06AA8B28" w14:textId="7C8FB615" w:rsidR="00386683" w:rsidRPr="00EC2ED7" w:rsidRDefault="00386683" w:rsidP="00E20B3A">
            <w:pPr>
              <w:pStyle w:val="Tableheader"/>
              <w:cnfStyle w:val="100000000000" w:firstRow="1" w:lastRow="0" w:firstColumn="0" w:lastColumn="0" w:oddVBand="0" w:evenVBand="0" w:oddHBand="0" w:evenHBand="0" w:firstRowFirstColumn="0" w:firstRowLastColumn="0" w:lastRowFirstColumn="0" w:lastRowLastColumn="0"/>
              <w:rPr>
                <w:bCs/>
              </w:rPr>
            </w:pPr>
            <w:r w:rsidRPr="00EC2ED7">
              <w:rPr>
                <w:bCs/>
              </w:rPr>
              <w:t xml:space="preserve">Certificate </w:t>
            </w:r>
            <w:r w:rsidR="00785DAC">
              <w:rPr>
                <w:bCs/>
              </w:rPr>
              <w:br/>
            </w:r>
            <w:r w:rsidRPr="00EC2ED7">
              <w:rPr>
                <w:bCs/>
              </w:rPr>
              <w:t>IV TAE Completions</w:t>
            </w:r>
          </w:p>
        </w:tc>
        <w:tc>
          <w:tcPr>
            <w:tcW w:w="1579" w:type="dxa"/>
            <w:hideMark/>
          </w:tcPr>
          <w:p w14:paraId="57A933DA" w14:textId="77777777" w:rsidR="00386683" w:rsidRPr="00EC2ED7" w:rsidRDefault="00386683" w:rsidP="00E20B3A">
            <w:pPr>
              <w:pStyle w:val="Tableheader"/>
              <w:cnfStyle w:val="100000000000" w:firstRow="1" w:lastRow="0" w:firstColumn="0" w:lastColumn="0" w:oddVBand="0" w:evenVBand="0" w:oddHBand="0" w:evenHBand="0" w:firstRowFirstColumn="0" w:firstRowLastColumn="0" w:lastRowFirstColumn="0" w:lastRowLastColumn="0"/>
              <w:rPr>
                <w:bCs/>
              </w:rPr>
            </w:pPr>
            <w:r w:rsidRPr="00EC2ED7">
              <w:rPr>
                <w:bCs/>
              </w:rPr>
              <w:t>VET Teaching Diploma Completions</w:t>
            </w:r>
          </w:p>
        </w:tc>
        <w:tc>
          <w:tcPr>
            <w:tcW w:w="1578" w:type="dxa"/>
            <w:noWrap/>
            <w:hideMark/>
          </w:tcPr>
          <w:p w14:paraId="1137267D" w14:textId="6AEC0BDB" w:rsidR="00386683" w:rsidRPr="00EC2ED7" w:rsidRDefault="00386683" w:rsidP="00E20B3A">
            <w:pPr>
              <w:pStyle w:val="Tableheader"/>
              <w:cnfStyle w:val="100000000000" w:firstRow="1" w:lastRow="0" w:firstColumn="0" w:lastColumn="0" w:oddVBand="0" w:evenVBand="0" w:oddHBand="0" w:evenHBand="0" w:firstRowFirstColumn="0" w:firstRowLastColumn="0" w:lastRowFirstColumn="0" w:lastRowLastColumn="0"/>
              <w:rPr>
                <w:bCs/>
              </w:rPr>
            </w:pPr>
            <w:r w:rsidRPr="00EC2ED7">
              <w:rPr>
                <w:bCs/>
              </w:rPr>
              <w:t xml:space="preserve">All VET </w:t>
            </w:r>
            <w:r w:rsidR="00785DAC">
              <w:rPr>
                <w:bCs/>
              </w:rPr>
              <w:br/>
            </w:r>
            <w:r w:rsidRPr="00EC2ED7">
              <w:rPr>
                <w:bCs/>
              </w:rPr>
              <w:t>Students</w:t>
            </w:r>
          </w:p>
        </w:tc>
        <w:tc>
          <w:tcPr>
            <w:tcW w:w="1579" w:type="dxa"/>
            <w:noWrap/>
            <w:hideMark/>
          </w:tcPr>
          <w:p w14:paraId="0BCC394B" w14:textId="77777777" w:rsidR="00386683" w:rsidRPr="00EC2ED7" w:rsidRDefault="00386683" w:rsidP="00E20B3A">
            <w:pPr>
              <w:pStyle w:val="Tableheader"/>
              <w:cnfStyle w:val="100000000000" w:firstRow="1" w:lastRow="0" w:firstColumn="0" w:lastColumn="0" w:oddVBand="0" w:evenVBand="0" w:oddHBand="0" w:evenHBand="0" w:firstRowFirstColumn="0" w:firstRowLastColumn="0" w:lastRowFirstColumn="0" w:lastRowLastColumn="0"/>
              <w:rPr>
                <w:bCs/>
              </w:rPr>
            </w:pPr>
            <w:r w:rsidRPr="00EC2ED7">
              <w:rPr>
                <w:bCs/>
              </w:rPr>
              <w:t>Australian Population</w:t>
            </w:r>
          </w:p>
        </w:tc>
      </w:tr>
      <w:tr w:rsidR="00386683" w:rsidRPr="006262F5" w14:paraId="120ACCB9" w14:textId="77777777" w:rsidTr="00EF6938">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52" w:type="dxa"/>
            <w:noWrap/>
            <w:hideMark/>
          </w:tcPr>
          <w:p w14:paraId="114D175B" w14:textId="77777777" w:rsidR="00386683" w:rsidRPr="006262F5" w:rsidRDefault="00386683" w:rsidP="00E20B3A">
            <w:pPr>
              <w:pStyle w:val="Tablebodycopy"/>
            </w:pPr>
            <w:r w:rsidRPr="006262F5">
              <w:t>Remote and very remote</w:t>
            </w:r>
          </w:p>
        </w:tc>
        <w:tc>
          <w:tcPr>
            <w:tcW w:w="1578" w:type="dxa"/>
            <w:noWrap/>
            <w:vAlign w:val="center"/>
            <w:hideMark/>
          </w:tcPr>
          <w:p w14:paraId="5585BA4D" w14:textId="77777777" w:rsidR="00386683" w:rsidRPr="00E3586F" w:rsidRDefault="00386683" w:rsidP="00EF6938">
            <w:pPr>
              <w:pStyle w:val="Tablebodycopy"/>
              <w:jc w:val="center"/>
              <w:cnfStyle w:val="000000100000" w:firstRow="0" w:lastRow="0" w:firstColumn="0" w:lastColumn="0" w:oddVBand="0" w:evenVBand="0" w:oddHBand="1" w:evenHBand="0" w:firstRowFirstColumn="0" w:firstRowLastColumn="0" w:lastRowFirstColumn="0" w:lastRowLastColumn="0"/>
              <w:rPr>
                <w:b/>
                <w:bCs/>
              </w:rPr>
            </w:pPr>
            <w:r w:rsidRPr="00E3586F">
              <w:rPr>
                <w:b/>
                <w:bCs/>
              </w:rPr>
              <w:t>2.2%</w:t>
            </w:r>
          </w:p>
        </w:tc>
        <w:tc>
          <w:tcPr>
            <w:tcW w:w="1579" w:type="dxa"/>
            <w:noWrap/>
            <w:vAlign w:val="center"/>
            <w:hideMark/>
          </w:tcPr>
          <w:p w14:paraId="0648F750" w14:textId="77777777" w:rsidR="00386683" w:rsidRPr="00E3586F" w:rsidRDefault="00386683" w:rsidP="00EF6938">
            <w:pPr>
              <w:pStyle w:val="Tablebodycopy"/>
              <w:jc w:val="center"/>
              <w:cnfStyle w:val="000000100000" w:firstRow="0" w:lastRow="0" w:firstColumn="0" w:lastColumn="0" w:oddVBand="0" w:evenVBand="0" w:oddHBand="1" w:evenHBand="0" w:firstRowFirstColumn="0" w:firstRowLastColumn="0" w:lastRowFirstColumn="0" w:lastRowLastColumn="0"/>
              <w:rPr>
                <w:b/>
                <w:bCs/>
              </w:rPr>
            </w:pPr>
            <w:r w:rsidRPr="00E3586F">
              <w:rPr>
                <w:b/>
                <w:bCs/>
              </w:rPr>
              <w:t>1.1%</w:t>
            </w:r>
          </w:p>
        </w:tc>
        <w:tc>
          <w:tcPr>
            <w:tcW w:w="1578" w:type="dxa"/>
            <w:noWrap/>
            <w:vAlign w:val="center"/>
            <w:hideMark/>
          </w:tcPr>
          <w:p w14:paraId="38447BA6" w14:textId="77777777" w:rsidR="00386683" w:rsidRPr="006262F5" w:rsidRDefault="00386683" w:rsidP="00EF6938">
            <w:pPr>
              <w:pStyle w:val="Tablebodycopy"/>
              <w:jc w:val="center"/>
              <w:cnfStyle w:val="000000100000" w:firstRow="0" w:lastRow="0" w:firstColumn="0" w:lastColumn="0" w:oddVBand="0" w:evenVBand="0" w:oddHBand="1" w:evenHBand="0" w:firstRowFirstColumn="0" w:firstRowLastColumn="0" w:lastRowFirstColumn="0" w:lastRowLastColumn="0"/>
            </w:pPr>
            <w:r w:rsidRPr="006262F5">
              <w:t>2.2%</w:t>
            </w:r>
          </w:p>
        </w:tc>
        <w:tc>
          <w:tcPr>
            <w:tcW w:w="1579" w:type="dxa"/>
            <w:noWrap/>
            <w:vAlign w:val="center"/>
            <w:hideMark/>
          </w:tcPr>
          <w:p w14:paraId="36486300" w14:textId="77777777" w:rsidR="00386683" w:rsidRPr="006262F5" w:rsidRDefault="00386683" w:rsidP="00EF6938">
            <w:pPr>
              <w:pStyle w:val="Tablebodycopy"/>
              <w:jc w:val="center"/>
              <w:cnfStyle w:val="000000100000" w:firstRow="0" w:lastRow="0" w:firstColumn="0" w:lastColumn="0" w:oddVBand="0" w:evenVBand="0" w:oddHBand="1" w:evenHBand="0" w:firstRowFirstColumn="0" w:firstRowLastColumn="0" w:lastRowFirstColumn="0" w:lastRowLastColumn="0"/>
            </w:pPr>
            <w:r w:rsidRPr="006262F5">
              <w:t>1.8%</w:t>
            </w:r>
          </w:p>
        </w:tc>
      </w:tr>
      <w:tr w:rsidR="00386683" w:rsidRPr="006262F5" w14:paraId="1ACDD4D3" w14:textId="77777777" w:rsidTr="00EF6938">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52" w:type="dxa"/>
            <w:noWrap/>
            <w:hideMark/>
          </w:tcPr>
          <w:p w14:paraId="435C80E4" w14:textId="77777777" w:rsidR="00386683" w:rsidRPr="006262F5" w:rsidRDefault="00386683" w:rsidP="00E20B3A">
            <w:pPr>
              <w:pStyle w:val="Tablebodycopy"/>
            </w:pPr>
            <w:r w:rsidRPr="006262F5">
              <w:t>Outer regional</w:t>
            </w:r>
          </w:p>
        </w:tc>
        <w:tc>
          <w:tcPr>
            <w:tcW w:w="1578" w:type="dxa"/>
            <w:noWrap/>
            <w:vAlign w:val="center"/>
            <w:hideMark/>
          </w:tcPr>
          <w:p w14:paraId="4EC980B2" w14:textId="77777777" w:rsidR="00386683" w:rsidRPr="00E3586F" w:rsidRDefault="00386683" w:rsidP="00EF6938">
            <w:pPr>
              <w:pStyle w:val="Tablebodycopy"/>
              <w:jc w:val="center"/>
              <w:cnfStyle w:val="000000010000" w:firstRow="0" w:lastRow="0" w:firstColumn="0" w:lastColumn="0" w:oddVBand="0" w:evenVBand="0" w:oddHBand="0" w:evenHBand="1" w:firstRowFirstColumn="0" w:firstRowLastColumn="0" w:lastRowFirstColumn="0" w:lastRowLastColumn="0"/>
              <w:rPr>
                <w:b/>
                <w:bCs/>
              </w:rPr>
            </w:pPr>
            <w:r w:rsidRPr="00E3586F">
              <w:rPr>
                <w:b/>
                <w:bCs/>
              </w:rPr>
              <w:t>9.7%</w:t>
            </w:r>
          </w:p>
        </w:tc>
        <w:tc>
          <w:tcPr>
            <w:tcW w:w="1579" w:type="dxa"/>
            <w:noWrap/>
            <w:vAlign w:val="center"/>
            <w:hideMark/>
          </w:tcPr>
          <w:p w14:paraId="235B0CA6" w14:textId="77777777" w:rsidR="00386683" w:rsidRPr="00E3586F" w:rsidRDefault="00386683" w:rsidP="00EF6938">
            <w:pPr>
              <w:pStyle w:val="Tablebodycopy"/>
              <w:jc w:val="center"/>
              <w:cnfStyle w:val="000000010000" w:firstRow="0" w:lastRow="0" w:firstColumn="0" w:lastColumn="0" w:oddVBand="0" w:evenVBand="0" w:oddHBand="0" w:evenHBand="1" w:firstRowFirstColumn="0" w:firstRowLastColumn="0" w:lastRowFirstColumn="0" w:lastRowLastColumn="0"/>
              <w:rPr>
                <w:b/>
                <w:bCs/>
              </w:rPr>
            </w:pPr>
            <w:r w:rsidRPr="00E3586F">
              <w:rPr>
                <w:b/>
                <w:bCs/>
              </w:rPr>
              <w:t>9.1%</w:t>
            </w:r>
          </w:p>
        </w:tc>
        <w:tc>
          <w:tcPr>
            <w:tcW w:w="1578" w:type="dxa"/>
            <w:noWrap/>
            <w:vAlign w:val="center"/>
            <w:hideMark/>
          </w:tcPr>
          <w:p w14:paraId="770109ED" w14:textId="77777777" w:rsidR="00386683" w:rsidRPr="006262F5" w:rsidRDefault="00386683" w:rsidP="00EF6938">
            <w:pPr>
              <w:pStyle w:val="Tablebodycopy"/>
              <w:jc w:val="center"/>
              <w:cnfStyle w:val="000000010000" w:firstRow="0" w:lastRow="0" w:firstColumn="0" w:lastColumn="0" w:oddVBand="0" w:evenVBand="0" w:oddHBand="0" w:evenHBand="1" w:firstRowFirstColumn="0" w:firstRowLastColumn="0" w:lastRowFirstColumn="0" w:lastRowLastColumn="0"/>
            </w:pPr>
            <w:r w:rsidRPr="006262F5">
              <w:t>8.5%</w:t>
            </w:r>
          </w:p>
        </w:tc>
        <w:tc>
          <w:tcPr>
            <w:tcW w:w="1579" w:type="dxa"/>
            <w:noWrap/>
            <w:vAlign w:val="center"/>
            <w:hideMark/>
          </w:tcPr>
          <w:p w14:paraId="7DE6D031" w14:textId="77777777" w:rsidR="00386683" w:rsidRPr="006262F5" w:rsidRDefault="00386683" w:rsidP="00EF6938">
            <w:pPr>
              <w:pStyle w:val="Tablebodycopy"/>
              <w:jc w:val="center"/>
              <w:cnfStyle w:val="000000010000" w:firstRow="0" w:lastRow="0" w:firstColumn="0" w:lastColumn="0" w:oddVBand="0" w:evenVBand="0" w:oddHBand="0" w:evenHBand="1" w:firstRowFirstColumn="0" w:firstRowLastColumn="0" w:lastRowFirstColumn="0" w:lastRowLastColumn="0"/>
            </w:pPr>
            <w:r w:rsidRPr="006262F5">
              <w:t>8.1%</w:t>
            </w:r>
          </w:p>
        </w:tc>
      </w:tr>
      <w:tr w:rsidR="00386683" w:rsidRPr="006262F5" w14:paraId="1E9A9BB6" w14:textId="77777777" w:rsidTr="00EC21C8">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52" w:type="dxa"/>
            <w:tcBorders>
              <w:bottom w:val="nil"/>
            </w:tcBorders>
            <w:noWrap/>
            <w:hideMark/>
          </w:tcPr>
          <w:p w14:paraId="656A6137" w14:textId="77777777" w:rsidR="00386683" w:rsidRPr="006262F5" w:rsidRDefault="00386683" w:rsidP="00E20B3A">
            <w:pPr>
              <w:pStyle w:val="Tablebodycopy"/>
            </w:pPr>
            <w:r w:rsidRPr="006262F5">
              <w:t>Inner regional</w:t>
            </w:r>
          </w:p>
        </w:tc>
        <w:tc>
          <w:tcPr>
            <w:tcW w:w="1578" w:type="dxa"/>
            <w:tcBorders>
              <w:bottom w:val="nil"/>
            </w:tcBorders>
            <w:noWrap/>
            <w:vAlign w:val="center"/>
            <w:hideMark/>
          </w:tcPr>
          <w:p w14:paraId="3D206E85" w14:textId="77777777" w:rsidR="00386683" w:rsidRPr="00E3586F" w:rsidRDefault="00386683" w:rsidP="00EF6938">
            <w:pPr>
              <w:pStyle w:val="Tablebodycopy"/>
              <w:jc w:val="center"/>
              <w:cnfStyle w:val="000000100000" w:firstRow="0" w:lastRow="0" w:firstColumn="0" w:lastColumn="0" w:oddVBand="0" w:evenVBand="0" w:oddHBand="1" w:evenHBand="0" w:firstRowFirstColumn="0" w:firstRowLastColumn="0" w:lastRowFirstColumn="0" w:lastRowLastColumn="0"/>
              <w:rPr>
                <w:b/>
                <w:bCs/>
              </w:rPr>
            </w:pPr>
            <w:r w:rsidRPr="00E3586F">
              <w:rPr>
                <w:b/>
                <w:bCs/>
              </w:rPr>
              <w:t>20.4%</w:t>
            </w:r>
          </w:p>
        </w:tc>
        <w:tc>
          <w:tcPr>
            <w:tcW w:w="1579" w:type="dxa"/>
            <w:tcBorders>
              <w:bottom w:val="nil"/>
            </w:tcBorders>
            <w:noWrap/>
            <w:vAlign w:val="center"/>
            <w:hideMark/>
          </w:tcPr>
          <w:p w14:paraId="203CC19B" w14:textId="77777777" w:rsidR="00386683" w:rsidRPr="00E3586F" w:rsidRDefault="00386683" w:rsidP="00EF6938">
            <w:pPr>
              <w:pStyle w:val="Tablebodycopy"/>
              <w:jc w:val="center"/>
              <w:cnfStyle w:val="000000100000" w:firstRow="0" w:lastRow="0" w:firstColumn="0" w:lastColumn="0" w:oddVBand="0" w:evenVBand="0" w:oddHBand="1" w:evenHBand="0" w:firstRowFirstColumn="0" w:firstRowLastColumn="0" w:lastRowFirstColumn="0" w:lastRowLastColumn="0"/>
              <w:rPr>
                <w:b/>
                <w:bCs/>
              </w:rPr>
            </w:pPr>
            <w:r w:rsidRPr="00E3586F">
              <w:rPr>
                <w:b/>
                <w:bCs/>
              </w:rPr>
              <w:t>18.1%</w:t>
            </w:r>
          </w:p>
        </w:tc>
        <w:tc>
          <w:tcPr>
            <w:tcW w:w="1578" w:type="dxa"/>
            <w:tcBorders>
              <w:bottom w:val="nil"/>
            </w:tcBorders>
            <w:noWrap/>
            <w:vAlign w:val="center"/>
            <w:hideMark/>
          </w:tcPr>
          <w:p w14:paraId="55DC1041" w14:textId="77777777" w:rsidR="00386683" w:rsidRPr="006262F5" w:rsidRDefault="00386683" w:rsidP="00EF6938">
            <w:pPr>
              <w:pStyle w:val="Tablebodycopy"/>
              <w:jc w:val="center"/>
              <w:cnfStyle w:val="000000100000" w:firstRow="0" w:lastRow="0" w:firstColumn="0" w:lastColumn="0" w:oddVBand="0" w:evenVBand="0" w:oddHBand="1" w:evenHBand="0" w:firstRowFirstColumn="0" w:firstRowLastColumn="0" w:lastRowFirstColumn="0" w:lastRowLastColumn="0"/>
            </w:pPr>
            <w:r w:rsidRPr="006262F5">
              <w:t>17.7%</w:t>
            </w:r>
          </w:p>
        </w:tc>
        <w:tc>
          <w:tcPr>
            <w:tcW w:w="1579" w:type="dxa"/>
            <w:tcBorders>
              <w:bottom w:val="nil"/>
            </w:tcBorders>
            <w:noWrap/>
            <w:vAlign w:val="center"/>
            <w:hideMark/>
          </w:tcPr>
          <w:p w14:paraId="7668693F" w14:textId="77777777" w:rsidR="00386683" w:rsidRPr="006262F5" w:rsidRDefault="00386683" w:rsidP="00EF6938">
            <w:pPr>
              <w:pStyle w:val="Tablebodycopy"/>
              <w:jc w:val="center"/>
              <w:cnfStyle w:val="000000100000" w:firstRow="0" w:lastRow="0" w:firstColumn="0" w:lastColumn="0" w:oddVBand="0" w:evenVBand="0" w:oddHBand="1" w:evenHBand="0" w:firstRowFirstColumn="0" w:firstRowLastColumn="0" w:lastRowFirstColumn="0" w:lastRowLastColumn="0"/>
            </w:pPr>
            <w:r w:rsidRPr="006262F5">
              <w:t>17.8%</w:t>
            </w:r>
          </w:p>
        </w:tc>
      </w:tr>
      <w:tr w:rsidR="00386683" w:rsidRPr="006262F5" w14:paraId="30B231E4" w14:textId="77777777" w:rsidTr="00EC21C8">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52" w:type="dxa"/>
            <w:tcBorders>
              <w:bottom w:val="single" w:sz="8" w:space="0" w:color="2F005F"/>
            </w:tcBorders>
            <w:noWrap/>
          </w:tcPr>
          <w:p w14:paraId="2C54587B" w14:textId="77777777" w:rsidR="00386683" w:rsidRPr="00E51E43" w:rsidRDefault="00386683" w:rsidP="00E20B3A">
            <w:pPr>
              <w:pStyle w:val="Tablebodycopy"/>
              <w:rPr>
                <w:b/>
                <w:bCs/>
              </w:rPr>
            </w:pPr>
            <w:r w:rsidRPr="00E51E43">
              <w:rPr>
                <w:b/>
                <w:bCs/>
              </w:rPr>
              <w:t>Total regional and remote</w:t>
            </w:r>
          </w:p>
        </w:tc>
        <w:tc>
          <w:tcPr>
            <w:tcW w:w="1578" w:type="dxa"/>
            <w:tcBorders>
              <w:bottom w:val="single" w:sz="8" w:space="0" w:color="2F005F"/>
            </w:tcBorders>
            <w:noWrap/>
            <w:vAlign w:val="center"/>
          </w:tcPr>
          <w:p w14:paraId="3AD32579" w14:textId="77777777" w:rsidR="00386683" w:rsidRPr="00E3586F" w:rsidRDefault="00386683" w:rsidP="00EF6938">
            <w:pPr>
              <w:pStyle w:val="Tablebodycopy"/>
              <w:jc w:val="center"/>
              <w:cnfStyle w:val="000000010000" w:firstRow="0" w:lastRow="0" w:firstColumn="0" w:lastColumn="0" w:oddVBand="0" w:evenVBand="0" w:oddHBand="0" w:evenHBand="1" w:firstRowFirstColumn="0" w:firstRowLastColumn="0" w:lastRowFirstColumn="0" w:lastRowLastColumn="0"/>
              <w:rPr>
                <w:b/>
                <w:bCs/>
              </w:rPr>
            </w:pPr>
            <w:r w:rsidRPr="00E3586F">
              <w:rPr>
                <w:b/>
                <w:bCs/>
              </w:rPr>
              <w:t>32.3%</w:t>
            </w:r>
          </w:p>
        </w:tc>
        <w:tc>
          <w:tcPr>
            <w:tcW w:w="1579" w:type="dxa"/>
            <w:tcBorders>
              <w:bottom w:val="single" w:sz="8" w:space="0" w:color="2F005F"/>
            </w:tcBorders>
            <w:noWrap/>
            <w:vAlign w:val="center"/>
          </w:tcPr>
          <w:p w14:paraId="5151750A" w14:textId="77777777" w:rsidR="00386683" w:rsidRPr="00E3586F" w:rsidRDefault="00386683" w:rsidP="00EF6938">
            <w:pPr>
              <w:pStyle w:val="Tablebodycopy"/>
              <w:jc w:val="center"/>
              <w:cnfStyle w:val="000000010000" w:firstRow="0" w:lastRow="0" w:firstColumn="0" w:lastColumn="0" w:oddVBand="0" w:evenVBand="0" w:oddHBand="0" w:evenHBand="1" w:firstRowFirstColumn="0" w:firstRowLastColumn="0" w:lastRowFirstColumn="0" w:lastRowLastColumn="0"/>
              <w:rPr>
                <w:b/>
                <w:bCs/>
              </w:rPr>
            </w:pPr>
            <w:r w:rsidRPr="00E3586F">
              <w:rPr>
                <w:b/>
                <w:bCs/>
              </w:rPr>
              <w:t>28.3%</w:t>
            </w:r>
          </w:p>
        </w:tc>
        <w:tc>
          <w:tcPr>
            <w:tcW w:w="1578" w:type="dxa"/>
            <w:tcBorders>
              <w:bottom w:val="single" w:sz="8" w:space="0" w:color="2F005F"/>
            </w:tcBorders>
            <w:noWrap/>
            <w:vAlign w:val="center"/>
          </w:tcPr>
          <w:p w14:paraId="3D03D18E" w14:textId="77777777" w:rsidR="00386683" w:rsidRPr="006262F5" w:rsidRDefault="00386683" w:rsidP="00EF6938">
            <w:pPr>
              <w:pStyle w:val="Tablebodycopy"/>
              <w:jc w:val="center"/>
              <w:cnfStyle w:val="000000010000" w:firstRow="0" w:lastRow="0" w:firstColumn="0" w:lastColumn="0" w:oddVBand="0" w:evenVBand="0" w:oddHBand="0" w:evenHBand="1" w:firstRowFirstColumn="0" w:firstRowLastColumn="0" w:lastRowFirstColumn="0" w:lastRowLastColumn="0"/>
            </w:pPr>
            <w:r>
              <w:t>28.3%</w:t>
            </w:r>
          </w:p>
        </w:tc>
        <w:tc>
          <w:tcPr>
            <w:tcW w:w="1579" w:type="dxa"/>
            <w:tcBorders>
              <w:bottom w:val="single" w:sz="8" w:space="0" w:color="2F005F"/>
            </w:tcBorders>
            <w:noWrap/>
            <w:vAlign w:val="center"/>
          </w:tcPr>
          <w:p w14:paraId="568B1505" w14:textId="77777777" w:rsidR="00386683" w:rsidRPr="006262F5" w:rsidRDefault="00386683" w:rsidP="00EF6938">
            <w:pPr>
              <w:pStyle w:val="Tablebodycopy"/>
              <w:jc w:val="center"/>
              <w:cnfStyle w:val="000000010000" w:firstRow="0" w:lastRow="0" w:firstColumn="0" w:lastColumn="0" w:oddVBand="0" w:evenVBand="0" w:oddHBand="0" w:evenHBand="1" w:firstRowFirstColumn="0" w:firstRowLastColumn="0" w:lastRowFirstColumn="0" w:lastRowLastColumn="0"/>
            </w:pPr>
            <w:r>
              <w:t>27.7%</w:t>
            </w:r>
          </w:p>
        </w:tc>
      </w:tr>
    </w:tbl>
    <w:p w14:paraId="3F30BFD6" w14:textId="47D60EED" w:rsidR="00386683" w:rsidRPr="00A108D7" w:rsidRDefault="00386683" w:rsidP="008B2387">
      <w:pPr>
        <w:pStyle w:val="Source"/>
      </w:pPr>
      <w:r>
        <w:t>Source:</w:t>
      </w:r>
      <w:r w:rsidRPr="5B218D7B">
        <w:t xml:space="preserve"> </w:t>
      </w:r>
      <w:r w:rsidRPr="5B218D7B">
        <w:rPr>
          <w:rFonts w:cs="Arial"/>
          <w:sz w:val="20"/>
          <w:szCs w:val="20"/>
        </w:rPr>
        <w:t xml:space="preserve">NCVER, </w:t>
      </w:r>
      <w:r w:rsidRPr="5B218D7B">
        <w:t xml:space="preserve">VOCSTATS, 'Total VET students and courses' extracted </w:t>
      </w:r>
      <w:r w:rsidR="00AA74ED">
        <w:t xml:space="preserve">in </w:t>
      </w:r>
      <w:r w:rsidR="00AA74ED" w:rsidRPr="00AA74ED">
        <w:t>January 2024</w:t>
      </w:r>
      <w:r w:rsidRPr="5B218D7B">
        <w:t xml:space="preserve">. </w:t>
      </w:r>
    </w:p>
    <w:p w14:paraId="6619E5A3" w14:textId="77777777" w:rsidR="00474E74" w:rsidRDefault="00474E74" w:rsidP="00474E74"/>
    <w:p w14:paraId="4C3C3D92" w14:textId="44149EB9" w:rsidR="00386683" w:rsidRDefault="00386683" w:rsidP="00386683">
      <w:pPr>
        <w:pStyle w:val="Heading3"/>
        <w:rPr>
          <w:rFonts w:eastAsia="Arial" w:cs="Arial"/>
        </w:rPr>
      </w:pPr>
      <w:r w:rsidRPr="25C3C2B6">
        <w:rPr>
          <w:rFonts w:eastAsia="Arial" w:cs="Arial"/>
        </w:rPr>
        <w:t xml:space="preserve">What can graduate motivations, </w:t>
      </w:r>
      <w:r w:rsidRPr="6E386CC4">
        <w:rPr>
          <w:rFonts w:eastAsia="Arial" w:cs="Arial"/>
        </w:rPr>
        <w:t>sentiments and</w:t>
      </w:r>
      <w:r w:rsidRPr="6E386CC4" w:rsidDel="27C4C555">
        <w:rPr>
          <w:rFonts w:eastAsia="Arial" w:cs="Arial"/>
        </w:rPr>
        <w:t xml:space="preserve"> </w:t>
      </w:r>
      <w:r w:rsidRPr="25C3C2B6">
        <w:rPr>
          <w:rFonts w:eastAsia="Arial" w:cs="Arial"/>
        </w:rPr>
        <w:t>satisfaction levels tell us about training pipeline flows?</w:t>
      </w:r>
    </w:p>
    <w:p w14:paraId="3E12F928" w14:textId="561A8FCA" w:rsidR="00386683" w:rsidRPr="00E51E43" w:rsidRDefault="00386683" w:rsidP="00E51E43">
      <w:pPr>
        <w:pStyle w:val="Bodycopy"/>
      </w:pPr>
      <w:r w:rsidRPr="00E51E43">
        <w:t xml:space="preserve">The training pipeline for new </w:t>
      </w:r>
      <w:r w:rsidR="00CC6D50">
        <w:t>VET teachers</w:t>
      </w:r>
      <w:r w:rsidRPr="00E51E43">
        <w:t>, trainers and assessors is likely less than a quarter of Certificate IV TAE graduates in any given year. Only around 1 in 4 (26.3% of) Certificate IV TAE graduates in 2022 did the qualification to get a job, start their own business or try for a different job.  Around two-thirds (67.6 %) were doing the qualification as a requirement of their job, to get extra skills for their current job or to get a better job or promotion.</w:t>
      </w:r>
      <w:r w:rsidR="00070143">
        <w:rPr>
          <w:rStyle w:val="EndnoteReference"/>
        </w:rPr>
        <w:endnoteReference w:id="78"/>
      </w:r>
      <w:r w:rsidR="00E20B3A" w:rsidRPr="00E51E43">
        <w:t xml:space="preserve"> </w:t>
      </w:r>
      <w:r w:rsidRPr="00E51E43">
        <w:t>This is even for people working in non-teaching occupations</w:t>
      </w:r>
      <w:r w:rsidR="009A4852" w:rsidRPr="00E51E43">
        <w:t>, with</w:t>
      </w:r>
      <w:r w:rsidRPr="00E51E43">
        <w:t xml:space="preserve"> 27.0% </w:t>
      </w:r>
      <w:r w:rsidRPr="00E51E43">
        <w:lastRenderedPageBreak/>
        <w:t xml:space="preserve">saying it </w:t>
      </w:r>
      <w:r w:rsidR="0070317B" w:rsidRPr="00E51E43">
        <w:t>w</w:t>
      </w:r>
      <w:r w:rsidR="00610F54" w:rsidRPr="00E51E43">
        <w:t>a</w:t>
      </w:r>
      <w:r w:rsidRPr="00E51E43">
        <w:t>s a requirement of their current job, and 27.3% s</w:t>
      </w:r>
      <w:r w:rsidR="005970C5" w:rsidRPr="00E51E43">
        <w:t>tat</w:t>
      </w:r>
      <w:r w:rsidRPr="00E51E43">
        <w:t xml:space="preserve">ing it </w:t>
      </w:r>
      <w:r w:rsidR="00610F54" w:rsidRPr="00E51E43">
        <w:t>wa</w:t>
      </w:r>
      <w:r w:rsidRPr="00E51E43">
        <w:t xml:space="preserve">s to gain extra skills for their current job. </w:t>
      </w:r>
    </w:p>
    <w:p w14:paraId="497CF885" w14:textId="77902E20" w:rsidR="00047F44" w:rsidRDefault="00386683" w:rsidP="00E51E43">
      <w:pPr>
        <w:pStyle w:val="Bodycopy"/>
      </w:pPr>
      <w:r w:rsidRPr="00E51E43">
        <w:t xml:space="preserve">These trends have been stable since 2016, including for </w:t>
      </w:r>
      <w:r w:rsidR="00CC6D50">
        <w:t>VET teachers</w:t>
      </w:r>
      <w:r w:rsidRPr="00E51E43">
        <w:t xml:space="preserve"> and other Teacher occupations, except for 2019 and 2020. In these years over 80% of </w:t>
      </w:r>
      <w:r w:rsidR="00CC6D50">
        <w:t>VET teachers</w:t>
      </w:r>
      <w:r w:rsidRPr="00E51E43">
        <w:t xml:space="preserve"> and 75% of other teacher occupations and over 50% of other occupations were doing the Certificate IV TAE as a requirement of their job (note that this relate</w:t>
      </w:r>
      <w:r w:rsidR="00C223AA" w:rsidRPr="00E51E43">
        <w:t>d</w:t>
      </w:r>
      <w:r w:rsidRPr="00E51E43">
        <w:t xml:space="preserve"> directly to the TAE upgrade at th</w:t>
      </w:r>
      <w:r w:rsidR="00DC27AB" w:rsidRPr="00E51E43">
        <w:t>e</w:t>
      </w:r>
      <w:r w:rsidRPr="00E51E43">
        <w:t xml:space="preserve"> time). </w:t>
      </w:r>
    </w:p>
    <w:p w14:paraId="78ED5BAE" w14:textId="4668A6DF" w:rsidR="00386683" w:rsidRPr="00E51E43" w:rsidRDefault="00386683" w:rsidP="00E51E43">
      <w:pPr>
        <w:pStyle w:val="Bodycopy"/>
      </w:pPr>
      <w:r w:rsidRPr="00E51E43">
        <w:t>The proportion of respondents who s</w:t>
      </w:r>
      <w:r w:rsidR="009F7E63" w:rsidRPr="00E51E43">
        <w:t>tated</w:t>
      </w:r>
      <w:r w:rsidRPr="00E51E43">
        <w:t xml:space="preserve"> they were undertaking the Certificate IV to get a job, try for a different career, or get a better job or promotion does appear to have increased over the period since 2016 (and especially after the period impacted by the TAE upgrade in 2019 and 2020). It comprise</w:t>
      </w:r>
      <w:r w:rsidR="00702C86" w:rsidRPr="00E51E43">
        <w:t>d of</w:t>
      </w:r>
      <w:r w:rsidRPr="00E51E43">
        <w:t xml:space="preserve"> around</w:t>
      </w:r>
      <w:r w:rsidRPr="00E51E43" w:rsidDel="6408B740">
        <w:t xml:space="preserve"> </w:t>
      </w:r>
      <w:r w:rsidRPr="00E51E43">
        <w:t xml:space="preserve">four in ten respondents overall, up from three in ten respondents in 2016-2017, and one in five in 2019 and 2020. See </w:t>
      </w:r>
      <w:hyperlink w:anchor="Figure_4_5" w:history="1">
        <w:r w:rsidRPr="00D137A0">
          <w:rPr>
            <w:rStyle w:val="Hyperlink"/>
          </w:rPr>
          <w:t>Figure 4.5</w:t>
        </w:r>
      </w:hyperlink>
      <w:r w:rsidRPr="00E51E43">
        <w:t xml:space="preserve"> for an overview of these trends in the main reasons people undertake the key VET teaching credential.</w:t>
      </w:r>
    </w:p>
    <w:p w14:paraId="44E30E7B" w14:textId="2536170E" w:rsidR="00386683" w:rsidRDefault="004866A3" w:rsidP="00E51E43">
      <w:pPr>
        <w:pStyle w:val="ChartandTablelabel"/>
      </w:pPr>
      <w:bookmarkStart w:id="205" w:name="Figure_4_5"/>
      <w:r>
        <w:rPr>
          <w:noProof/>
        </w:rPr>
        <w:drawing>
          <wp:anchor distT="0" distB="0" distL="114300" distR="114300" simplePos="0" relativeHeight="251658257" behindDoc="0" locked="0" layoutInCell="1" allowOverlap="1" wp14:anchorId="318E7234" wp14:editId="0808EBCC">
            <wp:simplePos x="0" y="0"/>
            <wp:positionH relativeFrom="column">
              <wp:posOffset>4209</wp:posOffset>
            </wp:positionH>
            <wp:positionV relativeFrom="paragraph">
              <wp:posOffset>320675</wp:posOffset>
            </wp:positionV>
            <wp:extent cx="5746750" cy="3907155"/>
            <wp:effectExtent l="19050" t="19050" r="25400" b="17145"/>
            <wp:wrapNone/>
            <wp:docPr id="142083625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36258" name="Picture 1">
                      <a:extLst>
                        <a:ext uri="{C183D7F6-B498-43B3-948B-1728B52AA6E4}">
                          <adec:decorative xmlns:adec="http://schemas.microsoft.com/office/drawing/2017/decorative" val="1"/>
                        </a:ext>
                      </a:extLst>
                    </pic:cNvP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46750" cy="3907155"/>
                    </a:xfrm>
                    <a:prstGeom prst="rect">
                      <a:avLst/>
                    </a:prstGeom>
                    <a:solidFill>
                      <a:schemeClr val="bg1"/>
                    </a:solidFill>
                    <a:ln w="6350">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386683">
        <w:t xml:space="preserve">Figure </w:t>
      </w:r>
      <w:r w:rsidR="006558DC">
        <w:fldChar w:fldCharType="begin"/>
      </w:r>
      <w:r w:rsidR="006558DC">
        <w:instrText xml:space="preserve"> STYLEREF 1 \s </w:instrText>
      </w:r>
      <w:r w:rsidR="006558DC">
        <w:fldChar w:fldCharType="separate"/>
      </w:r>
      <w:r w:rsidR="00E7704E">
        <w:rPr>
          <w:noProof/>
        </w:rPr>
        <w:t>4</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5</w:t>
      </w:r>
      <w:r w:rsidR="006558DC">
        <w:fldChar w:fldCharType="end"/>
      </w:r>
      <w:r w:rsidR="00386683" w:rsidDel="003A5447">
        <w:t xml:space="preserve"> Main reason for undertaking training </w:t>
      </w:r>
      <w:r w:rsidR="00386683">
        <w:t>Certificate</w:t>
      </w:r>
      <w:r w:rsidR="00386683" w:rsidDel="003A5447">
        <w:t xml:space="preserve"> IV TAE </w:t>
      </w:r>
      <w:r w:rsidR="00386683">
        <w:t>(</w:t>
      </w:r>
      <w:r w:rsidR="00386683" w:rsidDel="003A5447">
        <w:t xml:space="preserve">graduates </w:t>
      </w:r>
      <w:r w:rsidR="00386683">
        <w:t>2016-2023)</w:t>
      </w:r>
    </w:p>
    <w:bookmarkEnd w:id="205"/>
    <w:tbl>
      <w:tblPr>
        <w:tblStyle w:val="TableGrid"/>
        <w:tblW w:w="2124" w:type="dxa"/>
        <w:tblLook w:val="04A0" w:firstRow="1" w:lastRow="0" w:firstColumn="1" w:lastColumn="0" w:noHBand="0" w:noVBand="1"/>
        <w:tblCaption w:val="Figure 4.5 Main reason for undertaking training Certificate IV TAE (graduates 2016-2023)"/>
      </w:tblPr>
      <w:tblGrid>
        <w:gridCol w:w="1133"/>
        <w:gridCol w:w="670"/>
        <w:gridCol w:w="670"/>
        <w:gridCol w:w="670"/>
        <w:gridCol w:w="670"/>
        <w:gridCol w:w="670"/>
        <w:gridCol w:w="670"/>
        <w:gridCol w:w="670"/>
        <w:gridCol w:w="670"/>
      </w:tblGrid>
      <w:tr w:rsidR="00780418" w:rsidRPr="00780418" w14:paraId="3843B6C8" w14:textId="77777777" w:rsidTr="00047F44">
        <w:trPr>
          <w:cnfStyle w:val="100000000000" w:firstRow="1" w:lastRow="0" w:firstColumn="0" w:lastColumn="0" w:oddVBand="0" w:evenVBand="0" w:oddHBand="0" w:evenHBand="0" w:firstRowFirstColumn="0" w:firstRowLastColumn="0" w:lastRowFirstColumn="0" w:lastRowLastColumn="0"/>
          <w:trHeight w:val="276"/>
        </w:trPr>
        <w:tc>
          <w:tcPr>
            <w:tcW w:w="236" w:type="dxa"/>
            <w:noWrap/>
            <w:hideMark/>
          </w:tcPr>
          <w:p w14:paraId="4BC6D53D" w14:textId="77777777" w:rsidR="00780418" w:rsidRPr="00780418" w:rsidRDefault="00780418" w:rsidP="00780418">
            <w:pPr>
              <w:rPr>
                <w:rFonts w:eastAsia="Times New Roman" w:cs="Arial"/>
                <w:color w:val="auto"/>
                <w:sz w:val="16"/>
                <w:szCs w:val="16"/>
                <w:lang w:eastAsia="en-AU"/>
              </w:rPr>
            </w:pPr>
          </w:p>
        </w:tc>
        <w:tc>
          <w:tcPr>
            <w:tcW w:w="236" w:type="dxa"/>
            <w:noWrap/>
            <w:hideMark/>
          </w:tcPr>
          <w:p w14:paraId="25EF6DB0" w14:textId="0847E668"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2016</w:t>
            </w:r>
          </w:p>
        </w:tc>
        <w:tc>
          <w:tcPr>
            <w:tcW w:w="236" w:type="dxa"/>
            <w:noWrap/>
            <w:hideMark/>
          </w:tcPr>
          <w:p w14:paraId="6D4FBB52" w14:textId="5A3A4962"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2017</w:t>
            </w:r>
          </w:p>
        </w:tc>
        <w:tc>
          <w:tcPr>
            <w:tcW w:w="236" w:type="dxa"/>
            <w:noWrap/>
            <w:hideMark/>
          </w:tcPr>
          <w:p w14:paraId="26D23672" w14:textId="572428C2"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2018</w:t>
            </w:r>
          </w:p>
        </w:tc>
        <w:tc>
          <w:tcPr>
            <w:tcW w:w="236" w:type="dxa"/>
            <w:noWrap/>
            <w:hideMark/>
          </w:tcPr>
          <w:p w14:paraId="697F7E6A" w14:textId="6FC788F0"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2019</w:t>
            </w:r>
          </w:p>
        </w:tc>
        <w:tc>
          <w:tcPr>
            <w:tcW w:w="236" w:type="dxa"/>
            <w:noWrap/>
            <w:hideMark/>
          </w:tcPr>
          <w:p w14:paraId="5B21A1E4" w14:textId="2D075703"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2020</w:t>
            </w:r>
          </w:p>
        </w:tc>
        <w:tc>
          <w:tcPr>
            <w:tcW w:w="236" w:type="dxa"/>
            <w:noWrap/>
            <w:hideMark/>
          </w:tcPr>
          <w:p w14:paraId="344C8B8F" w14:textId="2F3C189B"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2021</w:t>
            </w:r>
          </w:p>
        </w:tc>
        <w:tc>
          <w:tcPr>
            <w:tcW w:w="236" w:type="dxa"/>
            <w:noWrap/>
            <w:hideMark/>
          </w:tcPr>
          <w:p w14:paraId="7792BDB8" w14:textId="4177A666"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2022</w:t>
            </w:r>
          </w:p>
        </w:tc>
        <w:tc>
          <w:tcPr>
            <w:tcW w:w="236" w:type="dxa"/>
            <w:noWrap/>
            <w:hideMark/>
          </w:tcPr>
          <w:p w14:paraId="538534B4" w14:textId="26377731"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2023</w:t>
            </w:r>
          </w:p>
        </w:tc>
      </w:tr>
      <w:tr w:rsidR="00780418" w:rsidRPr="00780418" w14:paraId="5FF062F4" w14:textId="77777777" w:rsidTr="00047F44">
        <w:trPr>
          <w:trHeight w:val="276"/>
        </w:trPr>
        <w:tc>
          <w:tcPr>
            <w:tcW w:w="236" w:type="dxa"/>
            <w:noWrap/>
            <w:hideMark/>
          </w:tcPr>
          <w:p w14:paraId="18C7E4E2" w14:textId="16604B21" w:rsidR="00780418" w:rsidRPr="00780418" w:rsidRDefault="00780418" w:rsidP="00780418">
            <w:pPr>
              <w:rPr>
                <w:rFonts w:eastAsia="Times New Roman" w:cs="Arial"/>
                <w:color w:val="000000"/>
                <w:sz w:val="16"/>
                <w:szCs w:val="16"/>
                <w:lang w:eastAsia="en-AU"/>
              </w:rPr>
            </w:pPr>
            <w:r w:rsidRPr="00780418">
              <w:rPr>
                <w:rFonts w:eastAsia="Times New Roman" w:cs="Arial"/>
                <w:color w:val="000000"/>
                <w:sz w:val="16"/>
                <w:szCs w:val="16"/>
                <w:lang w:eastAsia="en-AU"/>
              </w:rPr>
              <w:t>Get a job </w:t>
            </w:r>
          </w:p>
        </w:tc>
        <w:tc>
          <w:tcPr>
            <w:tcW w:w="236" w:type="dxa"/>
            <w:noWrap/>
            <w:hideMark/>
          </w:tcPr>
          <w:p w14:paraId="47A47DDB" w14:textId="6E901092"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9.8%</w:t>
            </w:r>
          </w:p>
        </w:tc>
        <w:tc>
          <w:tcPr>
            <w:tcW w:w="236" w:type="dxa"/>
            <w:noWrap/>
            <w:hideMark/>
          </w:tcPr>
          <w:p w14:paraId="0C7D068A" w14:textId="4BE40DBC"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10.1%</w:t>
            </w:r>
          </w:p>
        </w:tc>
        <w:tc>
          <w:tcPr>
            <w:tcW w:w="236" w:type="dxa"/>
            <w:noWrap/>
            <w:hideMark/>
          </w:tcPr>
          <w:p w14:paraId="337096A7" w14:textId="73A9B1CC"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12.3%</w:t>
            </w:r>
          </w:p>
        </w:tc>
        <w:tc>
          <w:tcPr>
            <w:tcW w:w="236" w:type="dxa"/>
            <w:noWrap/>
            <w:hideMark/>
          </w:tcPr>
          <w:p w14:paraId="01505931" w14:textId="436C5AC1"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8.6%</w:t>
            </w:r>
          </w:p>
        </w:tc>
        <w:tc>
          <w:tcPr>
            <w:tcW w:w="236" w:type="dxa"/>
            <w:noWrap/>
            <w:hideMark/>
          </w:tcPr>
          <w:p w14:paraId="027A5C16" w14:textId="00AE7D29"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6.0%</w:t>
            </w:r>
          </w:p>
        </w:tc>
        <w:tc>
          <w:tcPr>
            <w:tcW w:w="236" w:type="dxa"/>
            <w:noWrap/>
            <w:hideMark/>
          </w:tcPr>
          <w:p w14:paraId="2B2B5CB6" w14:textId="7B4A297C"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13.2%</w:t>
            </w:r>
          </w:p>
        </w:tc>
        <w:tc>
          <w:tcPr>
            <w:tcW w:w="236" w:type="dxa"/>
            <w:noWrap/>
            <w:hideMark/>
          </w:tcPr>
          <w:p w14:paraId="3990713E" w14:textId="181EFA55"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13.3%</w:t>
            </w:r>
          </w:p>
        </w:tc>
        <w:tc>
          <w:tcPr>
            <w:tcW w:w="236" w:type="dxa"/>
            <w:noWrap/>
            <w:hideMark/>
          </w:tcPr>
          <w:p w14:paraId="75552EC6" w14:textId="3A84E32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12.1%</w:t>
            </w:r>
          </w:p>
        </w:tc>
      </w:tr>
      <w:tr w:rsidR="00780418" w:rsidRPr="00780418" w14:paraId="731F142B" w14:textId="77777777" w:rsidTr="00047F44">
        <w:trPr>
          <w:trHeight w:val="276"/>
        </w:trPr>
        <w:tc>
          <w:tcPr>
            <w:tcW w:w="236" w:type="dxa"/>
            <w:noWrap/>
            <w:hideMark/>
          </w:tcPr>
          <w:p w14:paraId="241122C1" w14:textId="7758B8C6" w:rsidR="00780418" w:rsidRPr="00780418" w:rsidRDefault="00780418" w:rsidP="00780418">
            <w:pPr>
              <w:rPr>
                <w:rFonts w:eastAsia="Times New Roman" w:cs="Arial"/>
                <w:color w:val="000000"/>
                <w:sz w:val="16"/>
                <w:szCs w:val="16"/>
                <w:lang w:eastAsia="en-AU"/>
              </w:rPr>
            </w:pPr>
            <w:r w:rsidRPr="00780418">
              <w:rPr>
                <w:rFonts w:eastAsia="Times New Roman" w:cs="Arial"/>
                <w:color w:val="000000"/>
                <w:sz w:val="16"/>
                <w:szCs w:val="16"/>
                <w:lang w:eastAsia="en-AU"/>
              </w:rPr>
              <w:t>Develop or start my own business </w:t>
            </w:r>
          </w:p>
        </w:tc>
        <w:tc>
          <w:tcPr>
            <w:tcW w:w="236" w:type="dxa"/>
            <w:noWrap/>
            <w:hideMark/>
          </w:tcPr>
          <w:p w14:paraId="406F001C" w14:textId="5B18EE0B"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2.3%</w:t>
            </w:r>
          </w:p>
        </w:tc>
        <w:tc>
          <w:tcPr>
            <w:tcW w:w="236" w:type="dxa"/>
            <w:noWrap/>
            <w:hideMark/>
          </w:tcPr>
          <w:p w14:paraId="7D63FC46"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3.1%</w:t>
            </w:r>
          </w:p>
        </w:tc>
        <w:tc>
          <w:tcPr>
            <w:tcW w:w="236" w:type="dxa"/>
            <w:noWrap/>
            <w:hideMark/>
          </w:tcPr>
          <w:p w14:paraId="7FD1FBEB" w14:textId="00C2D9F0"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3.4%</w:t>
            </w:r>
          </w:p>
        </w:tc>
        <w:tc>
          <w:tcPr>
            <w:tcW w:w="236" w:type="dxa"/>
            <w:noWrap/>
            <w:hideMark/>
          </w:tcPr>
          <w:p w14:paraId="35BA5531" w14:textId="65AEB18B"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1.7%</w:t>
            </w:r>
          </w:p>
        </w:tc>
        <w:tc>
          <w:tcPr>
            <w:tcW w:w="236" w:type="dxa"/>
            <w:noWrap/>
            <w:hideMark/>
          </w:tcPr>
          <w:p w14:paraId="48630527" w14:textId="5B755CE2"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1.7%</w:t>
            </w:r>
          </w:p>
        </w:tc>
        <w:tc>
          <w:tcPr>
            <w:tcW w:w="236" w:type="dxa"/>
            <w:noWrap/>
            <w:hideMark/>
          </w:tcPr>
          <w:p w14:paraId="19C98688" w14:textId="3566E514"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2.8%</w:t>
            </w:r>
          </w:p>
        </w:tc>
        <w:tc>
          <w:tcPr>
            <w:tcW w:w="236" w:type="dxa"/>
            <w:noWrap/>
            <w:hideMark/>
          </w:tcPr>
          <w:p w14:paraId="633ACF51" w14:textId="4FC71F89"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2.3%</w:t>
            </w:r>
          </w:p>
        </w:tc>
        <w:tc>
          <w:tcPr>
            <w:tcW w:w="236" w:type="dxa"/>
            <w:noWrap/>
            <w:hideMark/>
          </w:tcPr>
          <w:p w14:paraId="6230544E" w14:textId="4CCAE1E8"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2.2%</w:t>
            </w:r>
          </w:p>
        </w:tc>
      </w:tr>
      <w:tr w:rsidR="00780418" w:rsidRPr="00780418" w14:paraId="189EBEA9" w14:textId="77777777" w:rsidTr="00047F44">
        <w:trPr>
          <w:trHeight w:val="276"/>
        </w:trPr>
        <w:tc>
          <w:tcPr>
            <w:tcW w:w="236" w:type="dxa"/>
            <w:noWrap/>
            <w:hideMark/>
          </w:tcPr>
          <w:p w14:paraId="0A559BAD" w14:textId="77777777" w:rsidR="00780418" w:rsidRPr="00780418" w:rsidRDefault="00780418" w:rsidP="00780418">
            <w:pPr>
              <w:rPr>
                <w:rFonts w:eastAsia="Times New Roman" w:cs="Arial"/>
                <w:color w:val="000000"/>
                <w:sz w:val="16"/>
                <w:szCs w:val="16"/>
                <w:lang w:eastAsia="en-AU"/>
              </w:rPr>
            </w:pPr>
            <w:r w:rsidRPr="00780418">
              <w:rPr>
                <w:rFonts w:eastAsia="Times New Roman" w:cs="Arial"/>
                <w:color w:val="000000"/>
                <w:sz w:val="16"/>
                <w:szCs w:val="16"/>
                <w:lang w:eastAsia="en-AU"/>
              </w:rPr>
              <w:t>Try for a different career </w:t>
            </w:r>
          </w:p>
        </w:tc>
        <w:tc>
          <w:tcPr>
            <w:tcW w:w="236" w:type="dxa"/>
            <w:noWrap/>
            <w:hideMark/>
          </w:tcPr>
          <w:p w14:paraId="1141FE9D"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9.6%</w:t>
            </w:r>
          </w:p>
        </w:tc>
        <w:tc>
          <w:tcPr>
            <w:tcW w:w="236" w:type="dxa"/>
            <w:noWrap/>
            <w:hideMark/>
          </w:tcPr>
          <w:p w14:paraId="2BD17A71"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9.0%</w:t>
            </w:r>
          </w:p>
        </w:tc>
        <w:tc>
          <w:tcPr>
            <w:tcW w:w="236" w:type="dxa"/>
            <w:noWrap/>
            <w:hideMark/>
          </w:tcPr>
          <w:p w14:paraId="1E531DBD" w14:textId="18D37A4C"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9.2%</w:t>
            </w:r>
          </w:p>
        </w:tc>
        <w:tc>
          <w:tcPr>
            <w:tcW w:w="236" w:type="dxa"/>
            <w:noWrap/>
            <w:hideMark/>
          </w:tcPr>
          <w:p w14:paraId="75A8A995" w14:textId="4A8B2245"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5.8%</w:t>
            </w:r>
          </w:p>
        </w:tc>
        <w:tc>
          <w:tcPr>
            <w:tcW w:w="236" w:type="dxa"/>
            <w:noWrap/>
            <w:hideMark/>
          </w:tcPr>
          <w:p w14:paraId="627EB5BC"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5.3%</w:t>
            </w:r>
          </w:p>
        </w:tc>
        <w:tc>
          <w:tcPr>
            <w:tcW w:w="236" w:type="dxa"/>
            <w:noWrap/>
            <w:hideMark/>
          </w:tcPr>
          <w:p w14:paraId="320EC9D6"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12.4%</w:t>
            </w:r>
          </w:p>
        </w:tc>
        <w:tc>
          <w:tcPr>
            <w:tcW w:w="236" w:type="dxa"/>
            <w:noWrap/>
            <w:hideMark/>
          </w:tcPr>
          <w:p w14:paraId="7C61D6BA"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13.3%</w:t>
            </w:r>
          </w:p>
        </w:tc>
        <w:tc>
          <w:tcPr>
            <w:tcW w:w="236" w:type="dxa"/>
            <w:noWrap/>
            <w:hideMark/>
          </w:tcPr>
          <w:p w14:paraId="5077A26B"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12.0%</w:t>
            </w:r>
          </w:p>
        </w:tc>
      </w:tr>
      <w:tr w:rsidR="00780418" w:rsidRPr="00780418" w14:paraId="44295D97" w14:textId="77777777" w:rsidTr="00047F44">
        <w:trPr>
          <w:trHeight w:val="276"/>
        </w:trPr>
        <w:tc>
          <w:tcPr>
            <w:tcW w:w="236" w:type="dxa"/>
            <w:noWrap/>
            <w:hideMark/>
          </w:tcPr>
          <w:p w14:paraId="1D05206E" w14:textId="3DCAAE30" w:rsidR="00780418" w:rsidRPr="00780418" w:rsidRDefault="00780418" w:rsidP="00780418">
            <w:pPr>
              <w:rPr>
                <w:rFonts w:eastAsia="Times New Roman" w:cs="Arial"/>
                <w:color w:val="000000"/>
                <w:sz w:val="16"/>
                <w:szCs w:val="16"/>
                <w:lang w:eastAsia="en-AU"/>
              </w:rPr>
            </w:pPr>
            <w:r w:rsidRPr="00780418">
              <w:rPr>
                <w:rFonts w:eastAsia="Times New Roman" w:cs="Arial"/>
                <w:color w:val="000000"/>
                <w:sz w:val="16"/>
                <w:szCs w:val="16"/>
                <w:lang w:eastAsia="en-AU"/>
              </w:rPr>
              <w:t>Get a better job or promotion </w:t>
            </w:r>
          </w:p>
        </w:tc>
        <w:tc>
          <w:tcPr>
            <w:tcW w:w="236" w:type="dxa"/>
            <w:noWrap/>
            <w:hideMark/>
          </w:tcPr>
          <w:p w14:paraId="68B9D6ED" w14:textId="3A8897D8"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9.1%</w:t>
            </w:r>
          </w:p>
        </w:tc>
        <w:tc>
          <w:tcPr>
            <w:tcW w:w="236" w:type="dxa"/>
            <w:noWrap/>
            <w:hideMark/>
          </w:tcPr>
          <w:p w14:paraId="3C77406D" w14:textId="0680A2D1"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9.7%</w:t>
            </w:r>
          </w:p>
        </w:tc>
        <w:tc>
          <w:tcPr>
            <w:tcW w:w="236" w:type="dxa"/>
            <w:noWrap/>
            <w:hideMark/>
          </w:tcPr>
          <w:p w14:paraId="45EF78E1" w14:textId="6A23B399"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9.3%</w:t>
            </w:r>
          </w:p>
        </w:tc>
        <w:tc>
          <w:tcPr>
            <w:tcW w:w="236" w:type="dxa"/>
            <w:noWrap/>
            <w:hideMark/>
          </w:tcPr>
          <w:p w14:paraId="0EFD1D11" w14:textId="72609E51"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5.3%</w:t>
            </w:r>
          </w:p>
        </w:tc>
        <w:tc>
          <w:tcPr>
            <w:tcW w:w="236" w:type="dxa"/>
            <w:noWrap/>
            <w:hideMark/>
          </w:tcPr>
          <w:p w14:paraId="1F50DA0A" w14:textId="7279EBC2"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5.0%</w:t>
            </w:r>
          </w:p>
        </w:tc>
        <w:tc>
          <w:tcPr>
            <w:tcW w:w="236" w:type="dxa"/>
            <w:noWrap/>
            <w:hideMark/>
          </w:tcPr>
          <w:p w14:paraId="7BC96255" w14:textId="001C85AA"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9.9%</w:t>
            </w:r>
          </w:p>
        </w:tc>
        <w:tc>
          <w:tcPr>
            <w:tcW w:w="236" w:type="dxa"/>
            <w:noWrap/>
            <w:hideMark/>
          </w:tcPr>
          <w:p w14:paraId="77CE59A0"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11.4%</w:t>
            </w:r>
          </w:p>
        </w:tc>
        <w:tc>
          <w:tcPr>
            <w:tcW w:w="236" w:type="dxa"/>
            <w:noWrap/>
            <w:hideMark/>
          </w:tcPr>
          <w:p w14:paraId="42514DFB"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10.9%</w:t>
            </w:r>
          </w:p>
        </w:tc>
      </w:tr>
      <w:tr w:rsidR="00780418" w:rsidRPr="00780418" w14:paraId="27B4F469" w14:textId="77777777" w:rsidTr="00047F44">
        <w:trPr>
          <w:trHeight w:val="276"/>
        </w:trPr>
        <w:tc>
          <w:tcPr>
            <w:tcW w:w="236" w:type="dxa"/>
            <w:noWrap/>
            <w:hideMark/>
          </w:tcPr>
          <w:p w14:paraId="01F847AB" w14:textId="77777777" w:rsidR="00780418" w:rsidRPr="00780418" w:rsidRDefault="00780418" w:rsidP="00780418">
            <w:pPr>
              <w:rPr>
                <w:rFonts w:eastAsia="Times New Roman" w:cs="Arial"/>
                <w:color w:val="000000"/>
                <w:sz w:val="16"/>
                <w:szCs w:val="16"/>
                <w:lang w:eastAsia="en-AU"/>
              </w:rPr>
            </w:pPr>
            <w:r w:rsidRPr="00780418">
              <w:rPr>
                <w:rFonts w:eastAsia="Times New Roman" w:cs="Arial"/>
                <w:color w:val="000000"/>
                <w:sz w:val="16"/>
                <w:szCs w:val="16"/>
                <w:lang w:eastAsia="en-AU"/>
              </w:rPr>
              <w:t>Requirement of job </w:t>
            </w:r>
          </w:p>
        </w:tc>
        <w:tc>
          <w:tcPr>
            <w:tcW w:w="236" w:type="dxa"/>
            <w:noWrap/>
            <w:hideMark/>
          </w:tcPr>
          <w:p w14:paraId="2CE22E7C" w14:textId="5F3C344F"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31.0%</w:t>
            </w:r>
          </w:p>
        </w:tc>
        <w:tc>
          <w:tcPr>
            <w:tcW w:w="236" w:type="dxa"/>
            <w:noWrap/>
            <w:hideMark/>
          </w:tcPr>
          <w:p w14:paraId="7C1E09D6"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30.8%</w:t>
            </w:r>
          </w:p>
        </w:tc>
        <w:tc>
          <w:tcPr>
            <w:tcW w:w="236" w:type="dxa"/>
            <w:noWrap/>
            <w:hideMark/>
          </w:tcPr>
          <w:p w14:paraId="276C4FD4" w14:textId="1F72DC44"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31.6%</w:t>
            </w:r>
          </w:p>
        </w:tc>
        <w:tc>
          <w:tcPr>
            <w:tcW w:w="236" w:type="dxa"/>
            <w:noWrap/>
            <w:hideMark/>
          </w:tcPr>
          <w:p w14:paraId="013F3FE0" w14:textId="5E40B332"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58.6%</w:t>
            </w:r>
          </w:p>
        </w:tc>
        <w:tc>
          <w:tcPr>
            <w:tcW w:w="236" w:type="dxa"/>
            <w:noWrap/>
            <w:hideMark/>
          </w:tcPr>
          <w:p w14:paraId="72822F44"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61.9%</w:t>
            </w:r>
          </w:p>
        </w:tc>
        <w:tc>
          <w:tcPr>
            <w:tcW w:w="236" w:type="dxa"/>
            <w:noWrap/>
            <w:hideMark/>
          </w:tcPr>
          <w:p w14:paraId="075C3B12"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34.2%</w:t>
            </w:r>
          </w:p>
        </w:tc>
        <w:tc>
          <w:tcPr>
            <w:tcW w:w="236" w:type="dxa"/>
            <w:noWrap/>
            <w:hideMark/>
          </w:tcPr>
          <w:p w14:paraId="7852C7D3"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28.9%</w:t>
            </w:r>
          </w:p>
        </w:tc>
        <w:tc>
          <w:tcPr>
            <w:tcW w:w="236" w:type="dxa"/>
            <w:noWrap/>
            <w:hideMark/>
          </w:tcPr>
          <w:p w14:paraId="1AC8E2E4"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31.7%</w:t>
            </w:r>
          </w:p>
        </w:tc>
      </w:tr>
      <w:tr w:rsidR="00780418" w:rsidRPr="00780418" w14:paraId="68A774CB" w14:textId="77777777" w:rsidTr="00047F44">
        <w:trPr>
          <w:trHeight w:val="276"/>
        </w:trPr>
        <w:tc>
          <w:tcPr>
            <w:tcW w:w="236" w:type="dxa"/>
            <w:noWrap/>
            <w:hideMark/>
          </w:tcPr>
          <w:p w14:paraId="641120BB" w14:textId="77777777" w:rsidR="00780418" w:rsidRPr="00780418" w:rsidRDefault="00780418" w:rsidP="00780418">
            <w:pPr>
              <w:rPr>
                <w:rFonts w:eastAsia="Times New Roman" w:cs="Arial"/>
                <w:color w:val="000000"/>
                <w:sz w:val="16"/>
                <w:szCs w:val="16"/>
                <w:lang w:eastAsia="en-AU"/>
              </w:rPr>
            </w:pPr>
            <w:r w:rsidRPr="00780418">
              <w:rPr>
                <w:rFonts w:eastAsia="Times New Roman" w:cs="Arial"/>
                <w:color w:val="000000"/>
                <w:sz w:val="16"/>
                <w:szCs w:val="16"/>
                <w:lang w:eastAsia="en-AU"/>
              </w:rPr>
              <w:t>Gain extra skills for current job </w:t>
            </w:r>
          </w:p>
        </w:tc>
        <w:tc>
          <w:tcPr>
            <w:tcW w:w="236" w:type="dxa"/>
            <w:noWrap/>
            <w:hideMark/>
          </w:tcPr>
          <w:p w14:paraId="002195CE"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30.5%</w:t>
            </w:r>
          </w:p>
        </w:tc>
        <w:tc>
          <w:tcPr>
            <w:tcW w:w="236" w:type="dxa"/>
            <w:noWrap/>
            <w:hideMark/>
          </w:tcPr>
          <w:p w14:paraId="237CBA95"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31.0%</w:t>
            </w:r>
          </w:p>
        </w:tc>
        <w:tc>
          <w:tcPr>
            <w:tcW w:w="236" w:type="dxa"/>
            <w:noWrap/>
            <w:hideMark/>
          </w:tcPr>
          <w:p w14:paraId="030EA932"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28.5%</w:t>
            </w:r>
          </w:p>
        </w:tc>
        <w:tc>
          <w:tcPr>
            <w:tcW w:w="236" w:type="dxa"/>
            <w:noWrap/>
            <w:hideMark/>
          </w:tcPr>
          <w:p w14:paraId="647D9477"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16.0%</w:t>
            </w:r>
          </w:p>
        </w:tc>
        <w:tc>
          <w:tcPr>
            <w:tcW w:w="236" w:type="dxa"/>
            <w:noWrap/>
            <w:hideMark/>
          </w:tcPr>
          <w:p w14:paraId="40B58701"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14.8%</w:t>
            </w:r>
          </w:p>
        </w:tc>
        <w:tc>
          <w:tcPr>
            <w:tcW w:w="236" w:type="dxa"/>
            <w:noWrap/>
            <w:hideMark/>
          </w:tcPr>
          <w:p w14:paraId="0F08FFD1"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21.5%</w:t>
            </w:r>
          </w:p>
        </w:tc>
        <w:tc>
          <w:tcPr>
            <w:tcW w:w="236" w:type="dxa"/>
            <w:noWrap/>
            <w:hideMark/>
          </w:tcPr>
          <w:p w14:paraId="674AAF38"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24.7%</w:t>
            </w:r>
          </w:p>
        </w:tc>
        <w:tc>
          <w:tcPr>
            <w:tcW w:w="236" w:type="dxa"/>
            <w:noWrap/>
            <w:hideMark/>
          </w:tcPr>
          <w:p w14:paraId="3730DD52"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25.0%</w:t>
            </w:r>
          </w:p>
        </w:tc>
      </w:tr>
      <w:tr w:rsidR="00780418" w:rsidRPr="00780418" w14:paraId="12FFEB64" w14:textId="77777777" w:rsidTr="00047F44">
        <w:trPr>
          <w:trHeight w:val="276"/>
        </w:trPr>
        <w:tc>
          <w:tcPr>
            <w:tcW w:w="236" w:type="dxa"/>
            <w:noWrap/>
            <w:hideMark/>
          </w:tcPr>
          <w:p w14:paraId="7B38800F" w14:textId="77777777" w:rsidR="00780418" w:rsidRPr="00780418" w:rsidRDefault="00780418" w:rsidP="00780418">
            <w:pPr>
              <w:rPr>
                <w:rFonts w:eastAsia="Times New Roman" w:cs="Arial"/>
                <w:color w:val="000000"/>
                <w:sz w:val="16"/>
                <w:szCs w:val="16"/>
                <w:lang w:eastAsia="en-AU"/>
              </w:rPr>
            </w:pPr>
            <w:r w:rsidRPr="00780418">
              <w:rPr>
                <w:rFonts w:eastAsia="Times New Roman" w:cs="Arial"/>
                <w:color w:val="000000"/>
                <w:sz w:val="16"/>
                <w:szCs w:val="16"/>
                <w:lang w:eastAsia="en-AU"/>
              </w:rPr>
              <w:t>All other reasons </w:t>
            </w:r>
          </w:p>
        </w:tc>
        <w:tc>
          <w:tcPr>
            <w:tcW w:w="236" w:type="dxa"/>
            <w:noWrap/>
            <w:hideMark/>
          </w:tcPr>
          <w:p w14:paraId="4195CA5E"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7.6%</w:t>
            </w:r>
          </w:p>
        </w:tc>
        <w:tc>
          <w:tcPr>
            <w:tcW w:w="236" w:type="dxa"/>
            <w:noWrap/>
            <w:hideMark/>
          </w:tcPr>
          <w:p w14:paraId="2A8148FF"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6.2%</w:t>
            </w:r>
          </w:p>
        </w:tc>
        <w:tc>
          <w:tcPr>
            <w:tcW w:w="236" w:type="dxa"/>
            <w:noWrap/>
            <w:hideMark/>
          </w:tcPr>
          <w:p w14:paraId="3CDA381A"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5.7%</w:t>
            </w:r>
          </w:p>
        </w:tc>
        <w:tc>
          <w:tcPr>
            <w:tcW w:w="236" w:type="dxa"/>
            <w:noWrap/>
            <w:hideMark/>
          </w:tcPr>
          <w:p w14:paraId="1AA712A4"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4.1%</w:t>
            </w:r>
          </w:p>
        </w:tc>
        <w:tc>
          <w:tcPr>
            <w:tcW w:w="236" w:type="dxa"/>
            <w:noWrap/>
            <w:hideMark/>
          </w:tcPr>
          <w:p w14:paraId="1682E536"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5.3%</w:t>
            </w:r>
          </w:p>
        </w:tc>
        <w:tc>
          <w:tcPr>
            <w:tcW w:w="236" w:type="dxa"/>
            <w:noWrap/>
            <w:hideMark/>
          </w:tcPr>
          <w:p w14:paraId="36A014F8"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5.9%</w:t>
            </w:r>
          </w:p>
        </w:tc>
        <w:tc>
          <w:tcPr>
            <w:tcW w:w="236" w:type="dxa"/>
            <w:noWrap/>
            <w:hideMark/>
          </w:tcPr>
          <w:p w14:paraId="36514B75"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5.9%</w:t>
            </w:r>
          </w:p>
        </w:tc>
        <w:tc>
          <w:tcPr>
            <w:tcW w:w="236" w:type="dxa"/>
            <w:noWrap/>
            <w:hideMark/>
          </w:tcPr>
          <w:p w14:paraId="67C8876A" w14:textId="77777777" w:rsidR="00780418" w:rsidRPr="00780418" w:rsidRDefault="00780418" w:rsidP="00780418">
            <w:pPr>
              <w:jc w:val="center"/>
              <w:rPr>
                <w:rFonts w:eastAsia="Times New Roman" w:cs="Arial"/>
                <w:color w:val="000000"/>
                <w:sz w:val="16"/>
                <w:szCs w:val="16"/>
                <w:lang w:eastAsia="en-AU"/>
              </w:rPr>
            </w:pPr>
            <w:r w:rsidRPr="00780418">
              <w:rPr>
                <w:rFonts w:eastAsia="Times New Roman" w:cs="Arial"/>
                <w:color w:val="000000"/>
                <w:sz w:val="16"/>
                <w:szCs w:val="16"/>
                <w:lang w:eastAsia="en-AU"/>
              </w:rPr>
              <w:t>6.0%</w:t>
            </w:r>
          </w:p>
        </w:tc>
      </w:tr>
    </w:tbl>
    <w:p w14:paraId="75C578B5" w14:textId="77777777" w:rsidR="00780418" w:rsidRDefault="00780418" w:rsidP="00E51E43">
      <w:pPr>
        <w:pStyle w:val="ChartandTablelabel"/>
      </w:pPr>
    </w:p>
    <w:p w14:paraId="70DDA251" w14:textId="77777777" w:rsidR="00047F44" w:rsidRDefault="00047F44" w:rsidP="00E51E43">
      <w:pPr>
        <w:pStyle w:val="ChartandTablelabel"/>
      </w:pPr>
    </w:p>
    <w:p w14:paraId="4A64A341" w14:textId="77777777" w:rsidR="00047F44" w:rsidRDefault="00047F44" w:rsidP="00E51E43">
      <w:pPr>
        <w:pStyle w:val="ChartandTablelabel"/>
      </w:pPr>
    </w:p>
    <w:p w14:paraId="1E1E0088" w14:textId="77777777" w:rsidR="00047F44" w:rsidRDefault="00047F44" w:rsidP="00E51E43">
      <w:pPr>
        <w:pStyle w:val="ChartandTablelabel"/>
      </w:pPr>
    </w:p>
    <w:p w14:paraId="01A73769" w14:textId="512C0739" w:rsidR="00780418" w:rsidRDefault="004866A3" w:rsidP="00E51E43">
      <w:pPr>
        <w:pStyle w:val="ChartandTablelabel"/>
      </w:pPr>
      <w:r>
        <w:br/>
      </w:r>
    </w:p>
    <w:p w14:paraId="55AF70A7" w14:textId="6C6036BD" w:rsidR="00386683" w:rsidRDefault="00386683" w:rsidP="008B2387">
      <w:pPr>
        <w:pStyle w:val="Source"/>
        <w:rPr>
          <w:rFonts w:cs="Arial"/>
        </w:rPr>
      </w:pPr>
      <w:r>
        <w:t xml:space="preserve">Source: </w:t>
      </w:r>
      <w:r w:rsidR="00464B6E" w:rsidRPr="008E2EB2">
        <w:t>National Student Outcomes Survey (NCVER 2022)</w:t>
      </w:r>
    </w:p>
    <w:p w14:paraId="4681AD0E" w14:textId="544F5320" w:rsidR="00386683" w:rsidRDefault="00386683" w:rsidP="00E51E43">
      <w:pPr>
        <w:pStyle w:val="Bodycopy"/>
      </w:pPr>
      <w:r>
        <w:t xml:space="preserve">A key finding of this report is that graduates who are working in roles and industries aligned to their vocational skills (vs teaching or education-focused roles and industries) do not find the qualification highly relevant to their job, despite it being a requirement. </w:t>
      </w:r>
      <w:r w:rsidR="00C64DD7">
        <w:t>O</w:t>
      </w:r>
      <w:r>
        <w:t xml:space="preserve">nly 1 in 3 (33.1%) of non-teachers in non-education industries after training found the qualification was highly relevant to their job and a further 1 in 5 (22.2%) said the qualification had very little or no relevance to their job. In contrast, most </w:t>
      </w:r>
      <w:r w:rsidR="00CC6D50">
        <w:t>VET teachers</w:t>
      </w:r>
      <w:r>
        <w:t xml:space="preserve"> (after training) found the qualification highly relevant to their job, with relevance decreasing somewhat as the industry moved further from VET – 84.6% working in VET, 84.1% working </w:t>
      </w:r>
      <w:r>
        <w:lastRenderedPageBreak/>
        <w:t>in other education industries and 79.5% working outside education industries. From 2021 to 2023, approximately half of the VET teacher cohort</w:t>
      </w:r>
      <w:r w:rsidDel="00C06ABB">
        <w:t xml:space="preserve"> </w:t>
      </w:r>
      <w:r>
        <w:t>studying the Certificate IV TAE also found themselves in a better job than their previous role, potentially demonstrating the career progression and higher pay for Certificate IV TAE graduates</w:t>
      </w:r>
      <w:r w:rsidR="00072407">
        <w:t>,</w:t>
      </w:r>
      <w:r>
        <w:t xml:space="preserve"> discussed in the last chapter.</w:t>
      </w:r>
    </w:p>
    <w:p w14:paraId="0516F2F3" w14:textId="16A49A39" w:rsidR="00474E74" w:rsidRDefault="00386683" w:rsidP="00E51E43">
      <w:pPr>
        <w:pStyle w:val="Bodycopy"/>
      </w:pPr>
      <w:r>
        <w:t xml:space="preserve">The cohort in education industries principally comprises </w:t>
      </w:r>
      <w:r w:rsidR="00F13473">
        <w:t>secondary school teachers</w:t>
      </w:r>
      <w:r>
        <w:t xml:space="preserve"> (who are likely teaching VET in Schools) and other </w:t>
      </w:r>
      <w:r w:rsidR="00F13473">
        <w:t>t</w:t>
      </w:r>
      <w:r>
        <w:t xml:space="preserve">eachers and </w:t>
      </w:r>
      <w:r w:rsidR="00F13473">
        <w:t>u</w:t>
      </w:r>
      <w:r>
        <w:t xml:space="preserve">niversity </w:t>
      </w:r>
      <w:r w:rsidR="00F13473">
        <w:t>l</w:t>
      </w:r>
      <w:r>
        <w:t xml:space="preserve">ecturers and </w:t>
      </w:r>
      <w:r w:rsidR="00F13473">
        <w:t>t</w:t>
      </w:r>
      <w:r>
        <w:t>utors. The cohort outside education industries principally comprises Early Childhood (pre-primary school) Teachers who may be delivering ECEC training in the workplace. Despite the perceived lack of relevance in the non-teaching/non-education cohort, a combined 56.4% of this cohort were doing the qualification for their job – 30.7% to get extra skills for their current job (of whom 90.9% said they achieved this) and 25.6% as a requirement of their job (of whom 98.1% said they achieved this).</w:t>
      </w:r>
    </w:p>
    <w:p w14:paraId="77D8CB9F" w14:textId="69C5A01D" w:rsidR="00386683" w:rsidRDefault="00386683" w:rsidP="00E51E43">
      <w:pPr>
        <w:pStyle w:val="Bodycopy"/>
      </w:pPr>
      <w:r>
        <w:t>The difference between relevance and achievement sentiments may reflect anecdotal commentary</w:t>
      </w:r>
      <w:r w:rsidR="002445FE">
        <w:t>,</w:t>
      </w:r>
      <w:r>
        <w:t xml:space="preserve"> that the qualification has a higher focus on compliance than </w:t>
      </w:r>
      <w:r w:rsidR="00117D1C">
        <w:t xml:space="preserve">andragogy </w:t>
      </w:r>
      <w:r>
        <w:t>and a lower perceived value of and tolerance for this content</w:t>
      </w:r>
      <w:r w:rsidR="00DA37F4">
        <w:t>,</w:t>
      </w:r>
      <w:r>
        <w:t xml:space="preserve"> outside of </w:t>
      </w:r>
      <w:r w:rsidR="00CC6D50">
        <w:t>VET teachers</w:t>
      </w:r>
      <w:r>
        <w:t xml:space="preserve"> and people working in VET. It may also reflect differences in what respondents consider their job is. </w:t>
      </w:r>
    </w:p>
    <w:p w14:paraId="53089549" w14:textId="3257E74B" w:rsidR="00386683" w:rsidRDefault="00386683" w:rsidP="00E51E43">
      <w:pPr>
        <w:pStyle w:val="Bodycopy"/>
      </w:pPr>
      <w:r>
        <w:t xml:space="preserve">The comparatively low proportion of graduates who were </w:t>
      </w:r>
      <w:r w:rsidR="00CC6D50">
        <w:t>VET teachers</w:t>
      </w:r>
      <w:r>
        <w:t xml:space="preserve"> along with the low proportion who were unemployed after training, speaks to much broader demand for graduates of the qualification, which may contribute to teacher shortages. It appears the skills are in those parts of the VET workforce that are difficult to quantify, because practitioners identify with their non-VET teaching occupation. </w:t>
      </w:r>
    </w:p>
    <w:p w14:paraId="0B53FB8C" w14:textId="77777777" w:rsidR="00386683" w:rsidRDefault="00386683" w:rsidP="00047F44">
      <w:pPr>
        <w:spacing w:before="240"/>
        <w:rPr>
          <w:rStyle w:val="Heading3Char"/>
        </w:rPr>
      </w:pPr>
      <w:r w:rsidRPr="7DD1AEA7">
        <w:rPr>
          <w:rStyle w:val="Heading3Char"/>
        </w:rPr>
        <w:t xml:space="preserve">Qualification to employment outcomes – What </w:t>
      </w:r>
      <w:r w:rsidRPr="46F72790">
        <w:rPr>
          <w:rStyle w:val="Heading3Char"/>
        </w:rPr>
        <w:t>occupations</w:t>
      </w:r>
      <w:r w:rsidRPr="7DD1AEA7">
        <w:rPr>
          <w:rStyle w:val="Heading3Char"/>
        </w:rPr>
        <w:t xml:space="preserve"> are VET teaching </w:t>
      </w:r>
      <w:r w:rsidRPr="25A3C693">
        <w:rPr>
          <w:rStyle w:val="Heading3Char"/>
        </w:rPr>
        <w:t>credential graduates employed in?</w:t>
      </w:r>
    </w:p>
    <w:p w14:paraId="120C77E0" w14:textId="77777777" w:rsidR="00163BD4" w:rsidRDefault="00386683" w:rsidP="00047F44">
      <w:pPr>
        <w:pStyle w:val="Bodycopy"/>
      </w:pPr>
      <w:r>
        <w:t xml:space="preserve">As the above discussion shows, most people doing the key VET teaching qualification are doing it as a requirement of their current job and this is why the biggest proportion of people doing the training are existing VET or secondary school teachers as well as Training and Development Professionals. </w:t>
      </w:r>
    </w:p>
    <w:p w14:paraId="2FE5DE29" w14:textId="28EC4F8E" w:rsidR="00386683" w:rsidRDefault="00386683" w:rsidP="00047F44">
      <w:pPr>
        <w:pStyle w:val="Bodycopy"/>
        <w:rPr>
          <w:rFonts w:eastAsia="Arial" w:cs="Arial"/>
        </w:rPr>
      </w:pPr>
      <w:r>
        <w:t xml:space="preserve">As </w:t>
      </w:r>
      <w:hyperlink w:anchor="Table_4_5" w:history="1">
        <w:r w:rsidRPr="00E20E5E">
          <w:rPr>
            <w:rStyle w:val="Hyperlink"/>
          </w:rPr>
          <w:t>Table 4.5</w:t>
        </w:r>
      </w:hyperlink>
      <w:r>
        <w:t xml:space="preserve"> shows apart from these teaching and training occupations, the types of occupations doing the training reflect the vocations that are widely taught in VET – Nurses, Chefs, Welfare Support Workers, Electricians, Early Childhood Teachers, Beauty</w:t>
      </w:r>
      <w:r w:rsidDel="00AF408C">
        <w:t xml:space="preserve"> </w:t>
      </w:r>
      <w:r>
        <w:t xml:space="preserve">Therapists – and/or occupations where workplace training is common – police, paramedics, nurses, fire and emergency workers. The more administrative and managerial occupations are likely workers in non-teaching roles in VET who are completing the qualification as part of career progression or a requirement of their job. </w:t>
      </w:r>
    </w:p>
    <w:p w14:paraId="20889C7E" w14:textId="0A4E7011" w:rsidR="00386683" w:rsidRDefault="00386683" w:rsidP="00047F44">
      <w:pPr>
        <w:pStyle w:val="Bodycopy"/>
      </w:pPr>
      <w:r>
        <w:t xml:space="preserve">In short, the occupational mix of students enrolling and completing the key VET teaching credential, outside of </w:t>
      </w:r>
      <w:r w:rsidR="00CC6D50">
        <w:t>VET teachers</w:t>
      </w:r>
      <w:r>
        <w:t xml:space="preserve">, remains relatively consistent pre- and post-training. </w:t>
      </w:r>
      <w:hyperlink w:anchor="Figure_4_6" w:history="1">
        <w:r w:rsidRPr="00135DA7">
          <w:rPr>
            <w:rStyle w:val="Hyperlink"/>
          </w:rPr>
          <w:t>Figure 4.6</w:t>
        </w:r>
      </w:hyperlink>
      <w:r>
        <w:t xml:space="preserve"> also shows the top five occupations of Certificate IV TAE graduates are largely teaching and training occupations or, in the case of nurses, an occupation with a large proportion of workplace training roles. </w:t>
      </w:r>
    </w:p>
    <w:p w14:paraId="74BF3082" w14:textId="472CC1DE" w:rsidR="00386683" w:rsidRDefault="00386683" w:rsidP="00D475F9">
      <w:pPr>
        <w:pStyle w:val="Bodycopy"/>
      </w:pPr>
      <w:r>
        <w:t xml:space="preserve">Similarly, from an industry lens, 42.2% of Certificate IV TAE graduates are employed in education and training industries post training and the remainder work in a wide range of </w:t>
      </w:r>
      <w:r>
        <w:lastRenderedPageBreak/>
        <w:t xml:space="preserve">other occupations. </w:t>
      </w:r>
      <w:hyperlink w:anchor="Figure_4_7" w:history="1">
        <w:r w:rsidRPr="00135DA7">
          <w:rPr>
            <w:rStyle w:val="Hyperlink"/>
          </w:rPr>
          <w:t>Figure 4.7</w:t>
        </w:r>
      </w:hyperlink>
      <w:r>
        <w:t xml:space="preserve"> provides insights into the distribution of post-training employment across various industries. Of those who completed the qualification in 2021 and were employed at the end of May 2022, 17.0 % were employed in the Healthcare and Social Assistance industry which crosses over with several high enrolment VET qualifications such as ECEC, nursing, aged care, community services and disability support. The 9.1% in Public Administration likely aligns with roles in leadership, administration</w:t>
      </w:r>
      <w:r w:rsidR="00422759">
        <w:t>,</w:t>
      </w:r>
      <w:r>
        <w:t xml:space="preserve"> and operations segments across TAFEs. </w:t>
      </w:r>
    </w:p>
    <w:p w14:paraId="65B4DCF7" w14:textId="6E4A2801" w:rsidR="00386683" w:rsidRDefault="00386683" w:rsidP="00163BD4">
      <w:pPr>
        <w:pStyle w:val="ChartandTablelabel"/>
      </w:pPr>
      <w:bookmarkStart w:id="206" w:name="Table_4_5"/>
      <w:r w:rsidRPr="00163BD4">
        <w:t xml:space="preserve">Table </w:t>
      </w:r>
      <w:r w:rsidR="004B692A" w:rsidRPr="00163BD4">
        <w:fldChar w:fldCharType="begin"/>
      </w:r>
      <w:r w:rsidR="004B692A" w:rsidRPr="00163BD4">
        <w:instrText xml:space="preserve"> STYLEREF 1 \s </w:instrText>
      </w:r>
      <w:r w:rsidR="004B692A" w:rsidRPr="00163BD4">
        <w:fldChar w:fldCharType="separate"/>
      </w:r>
      <w:r w:rsidR="00E7704E">
        <w:rPr>
          <w:noProof/>
        </w:rPr>
        <w:t>4</w:t>
      </w:r>
      <w:r w:rsidR="004B692A" w:rsidRPr="00163BD4">
        <w:fldChar w:fldCharType="end"/>
      </w:r>
      <w:r w:rsidR="004B692A" w:rsidRPr="00163BD4">
        <w:t>.</w:t>
      </w:r>
      <w:r w:rsidR="004B692A" w:rsidRPr="00163BD4">
        <w:fldChar w:fldCharType="begin"/>
      </w:r>
      <w:r w:rsidR="004B692A" w:rsidRPr="00163BD4">
        <w:instrText xml:space="preserve"> SEQ Table \* ARABIC \s 1 </w:instrText>
      </w:r>
      <w:r w:rsidR="004B692A" w:rsidRPr="00163BD4">
        <w:fldChar w:fldCharType="separate"/>
      </w:r>
      <w:r w:rsidR="00E7704E">
        <w:rPr>
          <w:noProof/>
        </w:rPr>
        <w:t>5</w:t>
      </w:r>
      <w:r w:rsidR="004B692A" w:rsidRPr="00163BD4">
        <w:fldChar w:fldCharType="end"/>
      </w:r>
      <w:r w:rsidRPr="00163BD4">
        <w:t xml:space="preserve"> 2022 Certificate IV TAE graduates: Top </w:t>
      </w:r>
      <w:r w:rsidR="00A266D5">
        <w:t>o</w:t>
      </w:r>
      <w:r w:rsidRPr="00163BD4">
        <w:t xml:space="preserve">ccupations before and after training (%) </w:t>
      </w:r>
      <w:r w:rsidR="00E25F54">
        <w:br/>
      </w:r>
      <w:r w:rsidRPr="00163BD4">
        <w:t xml:space="preserve">– </w:t>
      </w:r>
      <w:r w:rsidR="00A266D5">
        <w:t>o</w:t>
      </w:r>
      <w:r w:rsidRPr="00163BD4">
        <w:t>ccupations forming at least 1% of cohort.</w:t>
      </w:r>
    </w:p>
    <w:tbl>
      <w:tblPr>
        <w:tblStyle w:val="JSATable1"/>
        <w:tblW w:w="9109" w:type="dxa"/>
        <w:tblLayout w:type="fixed"/>
        <w:tblCellMar>
          <w:top w:w="0" w:type="dxa"/>
          <w:bottom w:w="0" w:type="dxa"/>
        </w:tblCellMar>
        <w:tblLook w:val="04A0" w:firstRow="1" w:lastRow="0" w:firstColumn="1" w:lastColumn="0" w:noHBand="0" w:noVBand="1"/>
        <w:tblCaption w:val="Table 4.5 "/>
        <w:tblDescription w:val="2022 Certificate IV TAE graduates: Top Occupations before and after training (%) – Occupations forming at least 1% of cohort."/>
      </w:tblPr>
      <w:tblGrid>
        <w:gridCol w:w="3797"/>
        <w:gridCol w:w="680"/>
        <w:gridCol w:w="3797"/>
        <w:gridCol w:w="835"/>
      </w:tblGrid>
      <w:tr w:rsidR="004D57C4" w14:paraId="58C6BDCC" w14:textId="77777777" w:rsidTr="00F63A87">
        <w:trPr>
          <w:cnfStyle w:val="100000000000" w:firstRow="1" w:lastRow="0" w:firstColumn="0" w:lastColumn="0" w:oddVBand="0" w:evenVBand="0" w:oddHBand="0" w:evenHBand="0" w:firstRowFirstColumn="0" w:firstRowLastColumn="0" w:lastRowFirstColumn="0" w:lastRowLastColumn="0"/>
          <w:trHeight w:val="552"/>
        </w:trPr>
        <w:tc>
          <w:tcPr>
            <w:cnfStyle w:val="001000000100" w:firstRow="0" w:lastRow="0" w:firstColumn="1" w:lastColumn="0" w:oddVBand="0" w:evenVBand="0" w:oddHBand="0" w:evenHBand="0" w:firstRowFirstColumn="1" w:firstRowLastColumn="0" w:lastRowFirstColumn="0" w:lastRowLastColumn="0"/>
            <w:tcW w:w="3797" w:type="dxa"/>
            <w:vAlign w:val="center"/>
          </w:tcPr>
          <w:bookmarkEnd w:id="206"/>
          <w:p w14:paraId="3723A099" w14:textId="3A1D19C5" w:rsidR="004D57C4" w:rsidRPr="00537554" w:rsidRDefault="00111FFD" w:rsidP="00111FFD">
            <w:pPr>
              <w:pStyle w:val="Bodycopy"/>
              <w:spacing w:after="0" w:line="240" w:lineRule="exact"/>
              <w:ind w:left="113"/>
              <w:jc w:val="left"/>
            </w:pPr>
            <w:r w:rsidRPr="00703D8F">
              <w:rPr>
                <w:color w:val="FFFFFF" w:themeColor="background1"/>
                <w:sz w:val="20"/>
                <w:szCs w:val="20"/>
              </w:rPr>
              <w:t>Occupation before training</w:t>
            </w:r>
          </w:p>
        </w:tc>
        <w:tc>
          <w:tcPr>
            <w:tcW w:w="680" w:type="dxa"/>
            <w:vAlign w:val="center"/>
          </w:tcPr>
          <w:p w14:paraId="6CD4CEB1" w14:textId="77777777" w:rsidR="004D57C4" w:rsidRPr="00537554" w:rsidRDefault="004D57C4" w:rsidP="00111FFD">
            <w:pPr>
              <w:pStyle w:val="Bodycopy"/>
              <w:spacing w:after="0" w:line="240" w:lineRule="exact"/>
              <w:cnfStyle w:val="100000000000" w:firstRow="1" w:lastRow="0" w:firstColumn="0" w:lastColumn="0" w:oddVBand="0" w:evenVBand="0" w:oddHBand="0" w:evenHBand="0" w:firstRowFirstColumn="0" w:firstRowLastColumn="0" w:lastRowFirstColumn="0" w:lastRowLastColumn="0"/>
            </w:pPr>
          </w:p>
        </w:tc>
        <w:tc>
          <w:tcPr>
            <w:tcW w:w="3797" w:type="dxa"/>
            <w:vAlign w:val="center"/>
          </w:tcPr>
          <w:p w14:paraId="3B0A5696" w14:textId="72E1C17F" w:rsidR="004D57C4" w:rsidRPr="009F6495" w:rsidRDefault="00111FFD" w:rsidP="00111FFD">
            <w:pPr>
              <w:pStyle w:val="Bodycopy"/>
              <w:spacing w:after="0" w:line="240" w:lineRule="exact"/>
              <w:ind w:left="113"/>
              <w:jc w:val="left"/>
              <w:cnfStyle w:val="100000000000" w:firstRow="1" w:lastRow="0" w:firstColumn="0" w:lastColumn="0" w:oddVBand="0" w:evenVBand="0" w:oddHBand="0" w:evenHBand="0" w:firstRowFirstColumn="0" w:firstRowLastColumn="0" w:lastRowFirstColumn="0" w:lastRowLastColumn="0"/>
            </w:pPr>
            <w:r w:rsidRPr="00703D8F">
              <w:rPr>
                <w:color w:val="FFFFFF" w:themeColor="background1"/>
                <w:szCs w:val="20"/>
              </w:rPr>
              <w:t>Occupation after training</w:t>
            </w:r>
          </w:p>
        </w:tc>
        <w:tc>
          <w:tcPr>
            <w:tcW w:w="835" w:type="dxa"/>
            <w:vAlign w:val="center"/>
          </w:tcPr>
          <w:p w14:paraId="16A87CC1" w14:textId="77777777" w:rsidR="004D57C4" w:rsidRDefault="004D57C4" w:rsidP="00111FFD">
            <w:pPr>
              <w:pStyle w:val="Bodycopy"/>
              <w:spacing w:after="0" w:line="240" w:lineRule="exact"/>
              <w:cnfStyle w:val="100000000000" w:firstRow="1" w:lastRow="0" w:firstColumn="0" w:lastColumn="0" w:oddVBand="0" w:evenVBand="0" w:oddHBand="0" w:evenHBand="0" w:firstRowFirstColumn="0" w:firstRowLastColumn="0" w:lastRowFirstColumn="0" w:lastRowLastColumn="0"/>
            </w:pPr>
          </w:p>
        </w:tc>
      </w:tr>
      <w:tr w:rsidR="006E0927" w14:paraId="43E8DCDB" w14:textId="77777777" w:rsidTr="00111FF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7" w:type="dxa"/>
            <w:vAlign w:val="center"/>
            <w:hideMark/>
          </w:tcPr>
          <w:p w14:paraId="146F8A71" w14:textId="533CB704" w:rsidR="00D475F9" w:rsidRPr="00703D8F" w:rsidRDefault="00537554" w:rsidP="00111FFD">
            <w:pPr>
              <w:pStyle w:val="Bodycopy"/>
              <w:spacing w:after="0" w:line="240" w:lineRule="exact"/>
              <w:ind w:left="113"/>
              <w:rPr>
                <w:color w:val="auto"/>
              </w:rPr>
            </w:pPr>
            <w:r w:rsidRPr="00537554">
              <w:t>Secondary School Teachers</w:t>
            </w:r>
          </w:p>
        </w:tc>
        <w:tc>
          <w:tcPr>
            <w:tcW w:w="680" w:type="dxa"/>
            <w:vAlign w:val="center"/>
            <w:hideMark/>
          </w:tcPr>
          <w:p w14:paraId="161EBF96" w14:textId="5248E2BA" w:rsidR="00D475F9" w:rsidRPr="00703D8F" w:rsidRDefault="00537554"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rsidRPr="00537554">
              <w:t>9.8%</w:t>
            </w:r>
          </w:p>
        </w:tc>
        <w:tc>
          <w:tcPr>
            <w:tcW w:w="3797" w:type="dxa"/>
            <w:vAlign w:val="center"/>
            <w:hideMark/>
          </w:tcPr>
          <w:p w14:paraId="34A88940" w14:textId="2DE4AA4A" w:rsidR="00D475F9" w:rsidRPr="00703D8F" w:rsidRDefault="009F6495" w:rsidP="00111FFD">
            <w:pPr>
              <w:pStyle w:val="Bodycopy"/>
              <w:spacing w:after="0" w:line="240" w:lineRule="exact"/>
              <w:ind w:left="113"/>
              <w:cnfStyle w:val="000000100000" w:firstRow="0" w:lastRow="0" w:firstColumn="0" w:lastColumn="0" w:oddVBand="0" w:evenVBand="0" w:oddHBand="1" w:evenHBand="0" w:firstRowFirstColumn="0" w:firstRowLastColumn="0" w:lastRowFirstColumn="0" w:lastRowLastColumn="0"/>
            </w:pPr>
            <w:r w:rsidRPr="009F6495">
              <w:t>Vocational Education Teachers</w:t>
            </w:r>
          </w:p>
        </w:tc>
        <w:tc>
          <w:tcPr>
            <w:tcW w:w="835" w:type="dxa"/>
            <w:vAlign w:val="center"/>
            <w:hideMark/>
          </w:tcPr>
          <w:p w14:paraId="40A63916" w14:textId="5211842F" w:rsidR="00D475F9" w:rsidRPr="00703D8F" w:rsidRDefault="009F6495"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t>20.8</w:t>
            </w:r>
            <w:r w:rsidR="00D475F9" w:rsidRPr="00703D8F">
              <w:t>%</w:t>
            </w:r>
          </w:p>
        </w:tc>
      </w:tr>
      <w:tr w:rsidR="006E0927" w14:paraId="313206AC" w14:textId="77777777" w:rsidTr="00111FFD">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7" w:type="dxa"/>
            <w:vAlign w:val="center"/>
            <w:hideMark/>
          </w:tcPr>
          <w:p w14:paraId="576D8B8F" w14:textId="3D60387D" w:rsidR="00D475F9" w:rsidRPr="00703D8F" w:rsidRDefault="00537554" w:rsidP="00111FFD">
            <w:pPr>
              <w:pStyle w:val="Bodycopy"/>
              <w:spacing w:after="0" w:line="240" w:lineRule="exact"/>
              <w:ind w:left="113"/>
            </w:pPr>
            <w:r w:rsidRPr="00537554">
              <w:t>Vocational Education Teachers</w:t>
            </w:r>
          </w:p>
        </w:tc>
        <w:tc>
          <w:tcPr>
            <w:tcW w:w="680" w:type="dxa"/>
            <w:vAlign w:val="center"/>
            <w:hideMark/>
          </w:tcPr>
          <w:p w14:paraId="208FCA2A" w14:textId="40BADFB6" w:rsidR="00D475F9" w:rsidRPr="00703D8F" w:rsidRDefault="00537554"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t>9.7</w:t>
            </w:r>
            <w:r w:rsidR="00D475F9" w:rsidRPr="00703D8F">
              <w:t>%</w:t>
            </w:r>
          </w:p>
        </w:tc>
        <w:tc>
          <w:tcPr>
            <w:tcW w:w="3797" w:type="dxa"/>
            <w:vAlign w:val="center"/>
            <w:hideMark/>
          </w:tcPr>
          <w:p w14:paraId="474B5F3C" w14:textId="0508DC97" w:rsidR="00D475F9" w:rsidRPr="00703D8F" w:rsidRDefault="00D475F9" w:rsidP="00111FFD">
            <w:pPr>
              <w:pStyle w:val="Bodycopy"/>
              <w:spacing w:after="0" w:line="240" w:lineRule="exact"/>
              <w:ind w:left="113"/>
              <w:cnfStyle w:val="000000010000" w:firstRow="0" w:lastRow="0" w:firstColumn="0" w:lastColumn="0" w:oddVBand="0" w:evenVBand="0" w:oddHBand="0" w:evenHBand="1" w:firstRowFirstColumn="0" w:firstRowLastColumn="0" w:lastRowFirstColumn="0" w:lastRowLastColumn="0"/>
            </w:pPr>
            <w:r w:rsidRPr="00703D8F">
              <w:t>Secondary School Teacher</w:t>
            </w:r>
            <w:r w:rsidR="009F6495">
              <w:t>s</w:t>
            </w:r>
          </w:p>
        </w:tc>
        <w:tc>
          <w:tcPr>
            <w:tcW w:w="835" w:type="dxa"/>
            <w:vAlign w:val="center"/>
            <w:hideMark/>
          </w:tcPr>
          <w:p w14:paraId="3191608E" w14:textId="12791EAB" w:rsidR="00D475F9" w:rsidRPr="00703D8F" w:rsidRDefault="009F6495"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t>9.8</w:t>
            </w:r>
            <w:r w:rsidR="00D475F9" w:rsidRPr="00703D8F">
              <w:t>%</w:t>
            </w:r>
          </w:p>
        </w:tc>
      </w:tr>
      <w:tr w:rsidR="006E0927" w14:paraId="12BF9E5E" w14:textId="77777777" w:rsidTr="00111FF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7" w:type="dxa"/>
            <w:vAlign w:val="center"/>
            <w:hideMark/>
          </w:tcPr>
          <w:p w14:paraId="6736BB37" w14:textId="1C1AF3C0" w:rsidR="00D475F9" w:rsidRPr="00703D8F" w:rsidRDefault="00537554" w:rsidP="00111FFD">
            <w:pPr>
              <w:pStyle w:val="Bodycopy"/>
              <w:spacing w:after="0" w:line="240" w:lineRule="exact"/>
              <w:ind w:left="113"/>
            </w:pPr>
            <w:r w:rsidRPr="00537554">
              <w:t>Registered Nurses</w:t>
            </w:r>
          </w:p>
        </w:tc>
        <w:tc>
          <w:tcPr>
            <w:tcW w:w="680" w:type="dxa"/>
            <w:vAlign w:val="center"/>
            <w:hideMark/>
          </w:tcPr>
          <w:p w14:paraId="39B918CE" w14:textId="64367F0C" w:rsidR="00D475F9" w:rsidRPr="00703D8F" w:rsidRDefault="00D475F9"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rsidRPr="00703D8F">
              <w:t>4.</w:t>
            </w:r>
            <w:r w:rsidR="00537554">
              <w:t>9</w:t>
            </w:r>
            <w:r w:rsidRPr="00703D8F">
              <w:t>%</w:t>
            </w:r>
          </w:p>
        </w:tc>
        <w:tc>
          <w:tcPr>
            <w:tcW w:w="3797" w:type="dxa"/>
            <w:vAlign w:val="center"/>
            <w:hideMark/>
          </w:tcPr>
          <w:p w14:paraId="0CF958ED" w14:textId="6F620D28" w:rsidR="00D475F9" w:rsidRPr="00703D8F" w:rsidRDefault="009F6495" w:rsidP="00111FFD">
            <w:pPr>
              <w:pStyle w:val="Bodycopy"/>
              <w:spacing w:after="0" w:line="240" w:lineRule="exact"/>
              <w:ind w:left="113"/>
              <w:cnfStyle w:val="000000100000" w:firstRow="0" w:lastRow="0" w:firstColumn="0" w:lastColumn="0" w:oddVBand="0" w:evenVBand="0" w:oddHBand="1" w:evenHBand="0" w:firstRowFirstColumn="0" w:firstRowLastColumn="0" w:lastRowFirstColumn="0" w:lastRowLastColumn="0"/>
            </w:pPr>
            <w:r w:rsidRPr="009F6495">
              <w:t xml:space="preserve">Training </w:t>
            </w:r>
            <w:r w:rsidR="006F1DF9">
              <w:t>&amp;</w:t>
            </w:r>
            <w:r w:rsidRPr="009F6495">
              <w:t xml:space="preserve"> Development Professionals</w:t>
            </w:r>
          </w:p>
        </w:tc>
        <w:tc>
          <w:tcPr>
            <w:tcW w:w="835" w:type="dxa"/>
            <w:vAlign w:val="center"/>
            <w:hideMark/>
          </w:tcPr>
          <w:p w14:paraId="54D53784" w14:textId="4282D010" w:rsidR="00D475F9" w:rsidRPr="00703D8F" w:rsidRDefault="009F6495"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t>5</w:t>
            </w:r>
            <w:r w:rsidR="00D475F9" w:rsidRPr="00703D8F">
              <w:t>.</w:t>
            </w:r>
            <w:r>
              <w:t>3</w:t>
            </w:r>
            <w:r w:rsidR="00D475F9" w:rsidRPr="00703D8F">
              <w:t>%</w:t>
            </w:r>
          </w:p>
        </w:tc>
      </w:tr>
      <w:tr w:rsidR="006E0927" w14:paraId="7D42C50C" w14:textId="77777777" w:rsidTr="00111FFD">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7" w:type="dxa"/>
            <w:vAlign w:val="center"/>
            <w:hideMark/>
          </w:tcPr>
          <w:p w14:paraId="5C2B46B3" w14:textId="3D0022E5" w:rsidR="00D475F9" w:rsidRPr="00703D8F" w:rsidRDefault="00537554" w:rsidP="00111FFD">
            <w:pPr>
              <w:pStyle w:val="Bodycopy"/>
              <w:spacing w:after="0" w:line="240" w:lineRule="exact"/>
              <w:ind w:left="113"/>
            </w:pPr>
            <w:r w:rsidRPr="00537554">
              <w:t xml:space="preserve">Training </w:t>
            </w:r>
            <w:r w:rsidR="006E0927">
              <w:t>&amp;</w:t>
            </w:r>
            <w:r w:rsidRPr="00537554">
              <w:t xml:space="preserve"> Development Professionals</w:t>
            </w:r>
          </w:p>
        </w:tc>
        <w:tc>
          <w:tcPr>
            <w:tcW w:w="680" w:type="dxa"/>
            <w:vAlign w:val="center"/>
            <w:hideMark/>
          </w:tcPr>
          <w:p w14:paraId="034436F8" w14:textId="6B13DC91" w:rsidR="00D475F9" w:rsidRPr="00703D8F" w:rsidRDefault="00537554"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t>4.3</w:t>
            </w:r>
            <w:r w:rsidR="00D475F9" w:rsidRPr="00703D8F">
              <w:t>%</w:t>
            </w:r>
          </w:p>
        </w:tc>
        <w:tc>
          <w:tcPr>
            <w:tcW w:w="3797" w:type="dxa"/>
            <w:vAlign w:val="center"/>
            <w:hideMark/>
          </w:tcPr>
          <w:p w14:paraId="6AFD77D2" w14:textId="79EA3E87" w:rsidR="00D475F9" w:rsidRPr="00703D8F" w:rsidRDefault="009F6495" w:rsidP="00111FFD">
            <w:pPr>
              <w:pStyle w:val="Bodycopy"/>
              <w:spacing w:after="0" w:line="240" w:lineRule="exact"/>
              <w:ind w:left="113"/>
              <w:cnfStyle w:val="000000010000" w:firstRow="0" w:lastRow="0" w:firstColumn="0" w:lastColumn="0" w:oddVBand="0" w:evenVBand="0" w:oddHBand="0" w:evenHBand="1" w:firstRowFirstColumn="0" w:firstRowLastColumn="0" w:lastRowFirstColumn="0" w:lastRowLastColumn="0"/>
            </w:pPr>
            <w:r w:rsidRPr="009F6495">
              <w:t>Registered Nurses</w:t>
            </w:r>
          </w:p>
        </w:tc>
        <w:tc>
          <w:tcPr>
            <w:tcW w:w="835" w:type="dxa"/>
            <w:vAlign w:val="center"/>
            <w:hideMark/>
          </w:tcPr>
          <w:p w14:paraId="18EAA82F" w14:textId="5966FDDC" w:rsidR="00D475F9" w:rsidRPr="00703D8F" w:rsidRDefault="009F6495"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t>4.0</w:t>
            </w:r>
            <w:r w:rsidR="00D475F9" w:rsidRPr="00703D8F">
              <w:t>%</w:t>
            </w:r>
          </w:p>
        </w:tc>
      </w:tr>
      <w:tr w:rsidR="006E0927" w14:paraId="7D6EB7E3" w14:textId="77777777" w:rsidTr="00111FF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797" w:type="dxa"/>
            <w:vAlign w:val="center"/>
            <w:hideMark/>
          </w:tcPr>
          <w:p w14:paraId="058E637C" w14:textId="564BE6A6" w:rsidR="00D475F9" w:rsidRPr="00703D8F" w:rsidRDefault="00537554" w:rsidP="00111FFD">
            <w:pPr>
              <w:pStyle w:val="Bodycopy"/>
              <w:spacing w:after="0" w:line="240" w:lineRule="exact"/>
              <w:ind w:left="113"/>
            </w:pPr>
            <w:r w:rsidRPr="00537554">
              <w:t xml:space="preserve">Contract, Program </w:t>
            </w:r>
            <w:r w:rsidR="006E0927">
              <w:t>&amp;</w:t>
            </w:r>
            <w:r w:rsidRPr="00537554">
              <w:t xml:space="preserve"> Project Administrators</w:t>
            </w:r>
          </w:p>
        </w:tc>
        <w:tc>
          <w:tcPr>
            <w:tcW w:w="680" w:type="dxa"/>
            <w:vAlign w:val="center"/>
            <w:hideMark/>
          </w:tcPr>
          <w:p w14:paraId="428B44EB" w14:textId="18E0B06F" w:rsidR="00D475F9" w:rsidRPr="00703D8F" w:rsidRDefault="00537554"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t>2.8</w:t>
            </w:r>
            <w:r w:rsidR="00D475F9" w:rsidRPr="00703D8F">
              <w:t>%</w:t>
            </w:r>
          </w:p>
        </w:tc>
        <w:tc>
          <w:tcPr>
            <w:tcW w:w="3797" w:type="dxa"/>
            <w:vAlign w:val="center"/>
            <w:hideMark/>
          </w:tcPr>
          <w:p w14:paraId="73DFC00A" w14:textId="4DF971CD" w:rsidR="00D475F9" w:rsidRPr="00703D8F" w:rsidRDefault="00434D88" w:rsidP="00111FFD">
            <w:pPr>
              <w:pStyle w:val="Bodycopy"/>
              <w:spacing w:after="0" w:line="240" w:lineRule="exact"/>
              <w:ind w:left="113"/>
              <w:cnfStyle w:val="000000100000" w:firstRow="0" w:lastRow="0" w:firstColumn="0" w:lastColumn="0" w:oddVBand="0" w:evenVBand="0" w:oddHBand="1" w:evenHBand="0" w:firstRowFirstColumn="0" w:firstRowLastColumn="0" w:lastRowFirstColumn="0" w:lastRowLastColumn="0"/>
            </w:pPr>
            <w:r w:rsidRPr="00537554">
              <w:t xml:space="preserve">Contract, Program </w:t>
            </w:r>
            <w:r w:rsidR="006F1DF9">
              <w:t>&amp;</w:t>
            </w:r>
            <w:r w:rsidRPr="00537554">
              <w:t xml:space="preserve"> Project Administrators</w:t>
            </w:r>
          </w:p>
        </w:tc>
        <w:tc>
          <w:tcPr>
            <w:tcW w:w="835" w:type="dxa"/>
            <w:vAlign w:val="center"/>
            <w:hideMark/>
          </w:tcPr>
          <w:p w14:paraId="69D72336" w14:textId="7FAEE3F2" w:rsidR="00D475F9" w:rsidRPr="00703D8F" w:rsidRDefault="00434D88"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t>3.1</w:t>
            </w:r>
            <w:r w:rsidR="00D475F9" w:rsidRPr="00703D8F">
              <w:t>%</w:t>
            </w:r>
          </w:p>
        </w:tc>
      </w:tr>
      <w:tr w:rsidR="006E0927" w14:paraId="3753AC0C" w14:textId="77777777" w:rsidTr="00111FFD">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7" w:type="dxa"/>
            <w:vAlign w:val="center"/>
            <w:hideMark/>
          </w:tcPr>
          <w:p w14:paraId="1B91878A" w14:textId="76BFB9FD" w:rsidR="00D475F9" w:rsidRPr="00703D8F" w:rsidRDefault="00537554" w:rsidP="00111FFD">
            <w:pPr>
              <w:pStyle w:val="Bodycopy"/>
              <w:spacing w:after="0" w:line="240" w:lineRule="exact"/>
              <w:ind w:left="113"/>
            </w:pPr>
            <w:r w:rsidRPr="00537554">
              <w:t xml:space="preserve">Fire </w:t>
            </w:r>
            <w:r w:rsidR="006E0927">
              <w:t>&amp;</w:t>
            </w:r>
            <w:r w:rsidRPr="00537554">
              <w:t xml:space="preserve"> Emergency Workers</w:t>
            </w:r>
          </w:p>
        </w:tc>
        <w:tc>
          <w:tcPr>
            <w:tcW w:w="680" w:type="dxa"/>
            <w:vAlign w:val="center"/>
            <w:hideMark/>
          </w:tcPr>
          <w:p w14:paraId="39096737" w14:textId="5D0D4476" w:rsidR="00D475F9" w:rsidRPr="00703D8F" w:rsidRDefault="00537554"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t>2.6</w:t>
            </w:r>
            <w:r w:rsidR="00D475F9" w:rsidRPr="00703D8F">
              <w:t>%</w:t>
            </w:r>
          </w:p>
        </w:tc>
        <w:tc>
          <w:tcPr>
            <w:tcW w:w="3797" w:type="dxa"/>
            <w:vAlign w:val="center"/>
            <w:hideMark/>
          </w:tcPr>
          <w:p w14:paraId="38C977A8" w14:textId="22C2A785" w:rsidR="00D475F9" w:rsidRPr="00703D8F" w:rsidRDefault="00434D88" w:rsidP="00111FFD">
            <w:pPr>
              <w:pStyle w:val="Bodycopy"/>
              <w:spacing w:after="0" w:line="240" w:lineRule="exact"/>
              <w:ind w:left="113"/>
              <w:cnfStyle w:val="000000010000" w:firstRow="0" w:lastRow="0" w:firstColumn="0" w:lastColumn="0" w:oddVBand="0" w:evenVBand="0" w:oddHBand="0" w:evenHBand="1" w:firstRowFirstColumn="0" w:firstRowLastColumn="0" w:lastRowFirstColumn="0" w:lastRowLastColumn="0"/>
            </w:pPr>
            <w:r w:rsidRPr="00537554">
              <w:t xml:space="preserve">Fire </w:t>
            </w:r>
            <w:r w:rsidR="006F1DF9">
              <w:t>&amp;</w:t>
            </w:r>
            <w:r w:rsidRPr="00537554">
              <w:t xml:space="preserve"> Emergency Workers</w:t>
            </w:r>
          </w:p>
        </w:tc>
        <w:tc>
          <w:tcPr>
            <w:tcW w:w="835" w:type="dxa"/>
            <w:vAlign w:val="center"/>
            <w:hideMark/>
          </w:tcPr>
          <w:p w14:paraId="2400373C" w14:textId="557CAA4E" w:rsidR="00D475F9" w:rsidRPr="00703D8F" w:rsidRDefault="00434D88"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t>2.5</w:t>
            </w:r>
            <w:r w:rsidR="00D475F9" w:rsidRPr="00703D8F">
              <w:t>%</w:t>
            </w:r>
          </w:p>
        </w:tc>
      </w:tr>
      <w:tr w:rsidR="006E0927" w14:paraId="0CB71118" w14:textId="77777777" w:rsidTr="00111FF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7" w:type="dxa"/>
            <w:vAlign w:val="center"/>
            <w:hideMark/>
          </w:tcPr>
          <w:p w14:paraId="1FFC2B7E" w14:textId="437B98D0" w:rsidR="00D475F9" w:rsidRPr="00703D8F" w:rsidRDefault="00537554" w:rsidP="00111FFD">
            <w:pPr>
              <w:pStyle w:val="Bodycopy"/>
              <w:spacing w:after="0" w:line="240" w:lineRule="exact"/>
              <w:ind w:left="113"/>
            </w:pPr>
            <w:r w:rsidRPr="00537554">
              <w:t>Welfare Support Workers</w:t>
            </w:r>
          </w:p>
        </w:tc>
        <w:tc>
          <w:tcPr>
            <w:tcW w:w="680" w:type="dxa"/>
            <w:vAlign w:val="center"/>
            <w:hideMark/>
          </w:tcPr>
          <w:p w14:paraId="281D402A" w14:textId="6D6E9B23" w:rsidR="00D475F9" w:rsidRPr="00703D8F" w:rsidRDefault="00537554"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t>1.9</w:t>
            </w:r>
            <w:r w:rsidR="00D475F9" w:rsidRPr="00703D8F">
              <w:t>%</w:t>
            </w:r>
          </w:p>
        </w:tc>
        <w:tc>
          <w:tcPr>
            <w:tcW w:w="3797" w:type="dxa"/>
            <w:vAlign w:val="center"/>
            <w:hideMark/>
          </w:tcPr>
          <w:p w14:paraId="0533585D" w14:textId="69F1780D" w:rsidR="00D475F9" w:rsidRPr="00703D8F" w:rsidRDefault="00434D88" w:rsidP="00111FFD">
            <w:pPr>
              <w:pStyle w:val="Bodycopy"/>
              <w:spacing w:after="0" w:line="240" w:lineRule="exact"/>
              <w:ind w:left="113"/>
              <w:cnfStyle w:val="000000100000" w:firstRow="0" w:lastRow="0" w:firstColumn="0" w:lastColumn="0" w:oddVBand="0" w:evenVBand="0" w:oddHBand="1" w:evenHBand="0" w:firstRowFirstColumn="0" w:firstRowLastColumn="0" w:lastRowFirstColumn="0" w:lastRowLastColumn="0"/>
            </w:pPr>
            <w:r w:rsidRPr="00434D88">
              <w:t xml:space="preserve">Nurse Educators </w:t>
            </w:r>
            <w:r w:rsidR="006F1DF9">
              <w:t>&amp;</w:t>
            </w:r>
            <w:r w:rsidRPr="00434D88">
              <w:t xml:space="preserve"> Researchers</w:t>
            </w:r>
          </w:p>
        </w:tc>
        <w:tc>
          <w:tcPr>
            <w:tcW w:w="835" w:type="dxa"/>
            <w:vAlign w:val="center"/>
            <w:hideMark/>
          </w:tcPr>
          <w:p w14:paraId="1DD197BE" w14:textId="30DE77E6" w:rsidR="00D475F9" w:rsidRPr="00703D8F" w:rsidRDefault="00434D88"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t>1</w:t>
            </w:r>
            <w:r w:rsidR="00D475F9" w:rsidRPr="00703D8F">
              <w:t>.8%</w:t>
            </w:r>
          </w:p>
        </w:tc>
      </w:tr>
      <w:tr w:rsidR="006E0927" w14:paraId="58715A87" w14:textId="77777777" w:rsidTr="00111FFD">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7" w:type="dxa"/>
            <w:vAlign w:val="center"/>
            <w:hideMark/>
          </w:tcPr>
          <w:p w14:paraId="66177A9E" w14:textId="58F97DD6" w:rsidR="00D475F9" w:rsidRPr="00703D8F" w:rsidRDefault="00537554" w:rsidP="00111FFD">
            <w:pPr>
              <w:pStyle w:val="Bodycopy"/>
              <w:spacing w:after="0" w:line="240" w:lineRule="exact"/>
              <w:ind w:left="113"/>
            </w:pPr>
            <w:r w:rsidRPr="00537554">
              <w:t xml:space="preserve">Ambulance Officers </w:t>
            </w:r>
            <w:r w:rsidR="006E0927">
              <w:t>&amp;</w:t>
            </w:r>
            <w:r w:rsidRPr="00537554">
              <w:t xml:space="preserve"> Paramedics</w:t>
            </w:r>
          </w:p>
        </w:tc>
        <w:tc>
          <w:tcPr>
            <w:tcW w:w="680" w:type="dxa"/>
            <w:vAlign w:val="center"/>
            <w:hideMark/>
          </w:tcPr>
          <w:p w14:paraId="2DC7E261" w14:textId="3C13C580" w:rsidR="00D475F9" w:rsidRPr="00703D8F" w:rsidRDefault="00D475F9"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rsidRPr="00703D8F">
              <w:t>1</w:t>
            </w:r>
            <w:r w:rsidR="00537554">
              <w:t>.6</w:t>
            </w:r>
            <w:r w:rsidRPr="00703D8F">
              <w:t>%</w:t>
            </w:r>
          </w:p>
        </w:tc>
        <w:tc>
          <w:tcPr>
            <w:tcW w:w="3797" w:type="dxa"/>
            <w:vAlign w:val="center"/>
            <w:hideMark/>
          </w:tcPr>
          <w:p w14:paraId="68447B0D" w14:textId="1F8C27E2" w:rsidR="00D475F9" w:rsidRPr="00703D8F" w:rsidRDefault="00434D88" w:rsidP="00111FFD">
            <w:pPr>
              <w:pStyle w:val="Bodycopy"/>
              <w:spacing w:after="0" w:line="240" w:lineRule="exact"/>
              <w:ind w:left="113"/>
              <w:cnfStyle w:val="000000010000" w:firstRow="0" w:lastRow="0" w:firstColumn="0" w:lastColumn="0" w:oddVBand="0" w:evenVBand="0" w:oddHBand="0" w:evenHBand="1" w:firstRowFirstColumn="0" w:firstRowLastColumn="0" w:lastRowFirstColumn="0" w:lastRowLastColumn="0"/>
            </w:pPr>
            <w:r w:rsidRPr="00434D88">
              <w:t xml:space="preserve">Ambulance Officers </w:t>
            </w:r>
            <w:r w:rsidR="006F1DF9">
              <w:t>&amp;</w:t>
            </w:r>
            <w:r w:rsidRPr="00434D88">
              <w:t xml:space="preserve"> Paramedics</w:t>
            </w:r>
          </w:p>
        </w:tc>
        <w:tc>
          <w:tcPr>
            <w:tcW w:w="835" w:type="dxa"/>
            <w:vAlign w:val="center"/>
            <w:hideMark/>
          </w:tcPr>
          <w:p w14:paraId="26319D6E" w14:textId="34334398" w:rsidR="00D475F9" w:rsidRPr="00703D8F" w:rsidRDefault="00434D88"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t>1</w:t>
            </w:r>
            <w:r w:rsidR="00D475F9" w:rsidRPr="00703D8F">
              <w:t>.6%</w:t>
            </w:r>
          </w:p>
        </w:tc>
      </w:tr>
      <w:tr w:rsidR="006E0927" w14:paraId="5D805F1F" w14:textId="77777777" w:rsidTr="00111FF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7" w:type="dxa"/>
            <w:vAlign w:val="center"/>
            <w:hideMark/>
          </w:tcPr>
          <w:p w14:paraId="0FAAD785" w14:textId="750CCF1A" w:rsidR="00D475F9" w:rsidRPr="00703D8F" w:rsidRDefault="00537554" w:rsidP="00111FFD">
            <w:pPr>
              <w:pStyle w:val="Bodycopy"/>
              <w:spacing w:after="0" w:line="240" w:lineRule="exact"/>
              <w:ind w:left="113"/>
            </w:pPr>
            <w:r w:rsidRPr="00537554">
              <w:t xml:space="preserve">Nurse Educators </w:t>
            </w:r>
            <w:r w:rsidR="006E0927">
              <w:t>&amp;</w:t>
            </w:r>
            <w:r w:rsidRPr="00537554">
              <w:t xml:space="preserve"> Researchers</w:t>
            </w:r>
          </w:p>
        </w:tc>
        <w:tc>
          <w:tcPr>
            <w:tcW w:w="680" w:type="dxa"/>
            <w:vAlign w:val="center"/>
            <w:hideMark/>
          </w:tcPr>
          <w:p w14:paraId="281AC111" w14:textId="3DAD5038" w:rsidR="00D475F9" w:rsidRPr="00703D8F" w:rsidRDefault="00D475F9"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rsidRPr="00703D8F">
              <w:t>1.</w:t>
            </w:r>
            <w:r w:rsidR="00537554">
              <w:t>6</w:t>
            </w:r>
            <w:r w:rsidRPr="00703D8F">
              <w:t>%</w:t>
            </w:r>
          </w:p>
        </w:tc>
        <w:tc>
          <w:tcPr>
            <w:tcW w:w="3797" w:type="dxa"/>
            <w:vAlign w:val="center"/>
            <w:hideMark/>
          </w:tcPr>
          <w:p w14:paraId="256D620C" w14:textId="3B426BF4" w:rsidR="00D475F9" w:rsidRPr="00703D8F" w:rsidRDefault="00E3095D" w:rsidP="00111FFD">
            <w:pPr>
              <w:pStyle w:val="Bodycopy"/>
              <w:spacing w:after="0" w:line="240" w:lineRule="exact"/>
              <w:ind w:left="113"/>
              <w:cnfStyle w:val="000000100000" w:firstRow="0" w:lastRow="0" w:firstColumn="0" w:lastColumn="0" w:oddVBand="0" w:evenVBand="0" w:oddHBand="1" w:evenHBand="0" w:firstRowFirstColumn="0" w:firstRowLastColumn="0" w:lastRowFirstColumn="0" w:lastRowLastColumn="0"/>
            </w:pPr>
            <w:r w:rsidRPr="00E3095D">
              <w:t>Police</w:t>
            </w:r>
          </w:p>
        </w:tc>
        <w:tc>
          <w:tcPr>
            <w:tcW w:w="835" w:type="dxa"/>
            <w:vAlign w:val="center"/>
            <w:hideMark/>
          </w:tcPr>
          <w:p w14:paraId="70573B07" w14:textId="3687FA2B" w:rsidR="00D475F9" w:rsidRPr="00703D8F" w:rsidRDefault="00D475F9"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rsidRPr="00703D8F">
              <w:t>1.</w:t>
            </w:r>
            <w:r w:rsidR="00E3095D">
              <w:t>3</w:t>
            </w:r>
            <w:r w:rsidRPr="00703D8F">
              <w:t>%</w:t>
            </w:r>
          </w:p>
        </w:tc>
      </w:tr>
      <w:tr w:rsidR="006E0927" w14:paraId="6109CA16" w14:textId="77777777" w:rsidTr="00111FFD">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7" w:type="dxa"/>
            <w:vAlign w:val="center"/>
            <w:hideMark/>
          </w:tcPr>
          <w:p w14:paraId="20CE118A" w14:textId="3CEB54C7" w:rsidR="00D475F9" w:rsidRPr="00703D8F" w:rsidRDefault="00D475F9" w:rsidP="00111FFD">
            <w:pPr>
              <w:pStyle w:val="Bodycopy"/>
              <w:spacing w:after="0" w:line="240" w:lineRule="exact"/>
              <w:ind w:left="113"/>
            </w:pPr>
            <w:r w:rsidRPr="00703D8F">
              <w:t>Chef</w:t>
            </w:r>
            <w:r w:rsidR="00537554">
              <w:t>s</w:t>
            </w:r>
          </w:p>
        </w:tc>
        <w:tc>
          <w:tcPr>
            <w:tcW w:w="680" w:type="dxa"/>
            <w:vAlign w:val="center"/>
            <w:hideMark/>
          </w:tcPr>
          <w:p w14:paraId="1C83967A" w14:textId="77777777" w:rsidR="00D475F9" w:rsidRPr="00703D8F" w:rsidRDefault="00D475F9"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rsidRPr="00703D8F">
              <w:t>1.5%</w:t>
            </w:r>
          </w:p>
        </w:tc>
        <w:tc>
          <w:tcPr>
            <w:tcW w:w="3797" w:type="dxa"/>
            <w:vAlign w:val="center"/>
            <w:hideMark/>
          </w:tcPr>
          <w:p w14:paraId="7F309AC3" w14:textId="4D15062E" w:rsidR="00D475F9" w:rsidRPr="00703D8F" w:rsidRDefault="00E3095D" w:rsidP="00111FFD">
            <w:pPr>
              <w:pStyle w:val="Bodycopy"/>
              <w:spacing w:after="0" w:line="240" w:lineRule="exact"/>
              <w:ind w:left="113"/>
              <w:cnfStyle w:val="000000010000" w:firstRow="0" w:lastRow="0" w:firstColumn="0" w:lastColumn="0" w:oddVBand="0" w:evenVBand="0" w:oddHBand="0" w:evenHBand="1" w:firstRowFirstColumn="0" w:firstRowLastColumn="0" w:lastRowFirstColumn="0" w:lastRowLastColumn="0"/>
            </w:pPr>
            <w:r w:rsidRPr="00E3095D">
              <w:t>Welfare Support Workers</w:t>
            </w:r>
          </w:p>
        </w:tc>
        <w:tc>
          <w:tcPr>
            <w:tcW w:w="835" w:type="dxa"/>
            <w:vAlign w:val="center"/>
            <w:hideMark/>
          </w:tcPr>
          <w:p w14:paraId="06AE1FE2" w14:textId="6249C7B9" w:rsidR="00D475F9" w:rsidRPr="00703D8F" w:rsidRDefault="00D475F9"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rsidRPr="00703D8F">
              <w:t>1.</w:t>
            </w:r>
            <w:r w:rsidR="00E3095D">
              <w:t>3</w:t>
            </w:r>
            <w:r w:rsidRPr="00703D8F">
              <w:t>%</w:t>
            </w:r>
          </w:p>
        </w:tc>
      </w:tr>
      <w:tr w:rsidR="006E0927" w14:paraId="643DDB1E" w14:textId="77777777" w:rsidTr="00111FF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797" w:type="dxa"/>
            <w:vAlign w:val="center"/>
            <w:hideMark/>
          </w:tcPr>
          <w:p w14:paraId="4F9A958B" w14:textId="32EB91A8" w:rsidR="00D475F9" w:rsidRPr="00703D8F" w:rsidRDefault="00537554" w:rsidP="00111FFD">
            <w:pPr>
              <w:pStyle w:val="Bodycopy"/>
              <w:spacing w:after="0" w:line="240" w:lineRule="exact"/>
              <w:ind w:left="113"/>
            </w:pPr>
            <w:r w:rsidRPr="00537554">
              <w:t>Police</w:t>
            </w:r>
          </w:p>
        </w:tc>
        <w:tc>
          <w:tcPr>
            <w:tcW w:w="680" w:type="dxa"/>
            <w:vAlign w:val="center"/>
            <w:hideMark/>
          </w:tcPr>
          <w:p w14:paraId="7867D062" w14:textId="77777777" w:rsidR="00D475F9" w:rsidRPr="00703D8F" w:rsidRDefault="00D475F9"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rsidRPr="00703D8F">
              <w:t>1.4%</w:t>
            </w:r>
          </w:p>
        </w:tc>
        <w:tc>
          <w:tcPr>
            <w:tcW w:w="3797" w:type="dxa"/>
            <w:vAlign w:val="center"/>
            <w:hideMark/>
          </w:tcPr>
          <w:p w14:paraId="41B2261B" w14:textId="1FCB050F" w:rsidR="00D475F9" w:rsidRPr="00703D8F" w:rsidRDefault="00E3095D" w:rsidP="00111FFD">
            <w:pPr>
              <w:pStyle w:val="Bodycopy"/>
              <w:spacing w:after="0" w:line="240" w:lineRule="exact"/>
              <w:ind w:left="113"/>
              <w:cnfStyle w:val="000000100000" w:firstRow="0" w:lastRow="0" w:firstColumn="0" w:lastColumn="0" w:oddVBand="0" w:evenVBand="0" w:oddHBand="1" w:evenHBand="0" w:firstRowFirstColumn="0" w:firstRowLastColumn="0" w:lastRowFirstColumn="0" w:lastRowLastColumn="0"/>
            </w:pPr>
            <w:r w:rsidRPr="00E3095D">
              <w:t xml:space="preserve">Teachers of English to Speakers </w:t>
            </w:r>
            <w:r w:rsidR="006F1DF9">
              <w:br/>
            </w:r>
            <w:r w:rsidRPr="00E3095D">
              <w:t>of Other Languages</w:t>
            </w:r>
          </w:p>
        </w:tc>
        <w:tc>
          <w:tcPr>
            <w:tcW w:w="835" w:type="dxa"/>
            <w:vAlign w:val="center"/>
            <w:hideMark/>
          </w:tcPr>
          <w:p w14:paraId="6A6C9FDD" w14:textId="54AC4CB5" w:rsidR="00D475F9" w:rsidRPr="00703D8F" w:rsidRDefault="00D475F9"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rsidRPr="00703D8F">
              <w:t>1.</w:t>
            </w:r>
            <w:r w:rsidR="00E3095D">
              <w:t>3</w:t>
            </w:r>
            <w:r w:rsidRPr="00703D8F">
              <w:t>%</w:t>
            </w:r>
          </w:p>
        </w:tc>
      </w:tr>
      <w:tr w:rsidR="006E0927" w14:paraId="123F4AAF" w14:textId="77777777" w:rsidTr="00111FFD">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797" w:type="dxa"/>
            <w:vAlign w:val="center"/>
            <w:hideMark/>
          </w:tcPr>
          <w:p w14:paraId="340BF513" w14:textId="044D51F1" w:rsidR="00D475F9" w:rsidRPr="00703D8F" w:rsidRDefault="00537554" w:rsidP="00111FFD">
            <w:pPr>
              <w:pStyle w:val="Bodycopy"/>
              <w:spacing w:after="0" w:line="240" w:lineRule="exact"/>
              <w:ind w:left="113"/>
            </w:pPr>
            <w:r w:rsidRPr="00537554">
              <w:t>General Clerks</w:t>
            </w:r>
          </w:p>
        </w:tc>
        <w:tc>
          <w:tcPr>
            <w:tcW w:w="680" w:type="dxa"/>
            <w:vAlign w:val="center"/>
            <w:hideMark/>
          </w:tcPr>
          <w:p w14:paraId="49C5B850" w14:textId="7B451763" w:rsidR="00D475F9" w:rsidRPr="00703D8F" w:rsidRDefault="00537554"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t>1.4</w:t>
            </w:r>
            <w:r w:rsidR="00D475F9" w:rsidRPr="00703D8F">
              <w:t>%</w:t>
            </w:r>
          </w:p>
        </w:tc>
        <w:tc>
          <w:tcPr>
            <w:tcW w:w="3797" w:type="dxa"/>
            <w:vAlign w:val="center"/>
            <w:hideMark/>
          </w:tcPr>
          <w:p w14:paraId="413CA9CF" w14:textId="3B244E8B" w:rsidR="00D475F9" w:rsidRPr="00703D8F" w:rsidRDefault="00E3095D" w:rsidP="00111FFD">
            <w:pPr>
              <w:pStyle w:val="Bodycopy"/>
              <w:spacing w:after="0" w:line="240" w:lineRule="exact"/>
              <w:ind w:left="113"/>
              <w:cnfStyle w:val="000000010000" w:firstRow="0" w:lastRow="0" w:firstColumn="0" w:lastColumn="0" w:oddVBand="0" w:evenVBand="0" w:oddHBand="0" w:evenHBand="1" w:firstRowFirstColumn="0" w:firstRowLastColumn="0" w:lastRowFirstColumn="0" w:lastRowLastColumn="0"/>
            </w:pPr>
            <w:r w:rsidRPr="00E3095D">
              <w:t xml:space="preserve">Occupational </w:t>
            </w:r>
            <w:r w:rsidR="006F1DF9">
              <w:t>&amp;</w:t>
            </w:r>
            <w:r w:rsidRPr="00E3095D">
              <w:t xml:space="preserve"> Environmental Health Professionals</w:t>
            </w:r>
          </w:p>
        </w:tc>
        <w:tc>
          <w:tcPr>
            <w:tcW w:w="835" w:type="dxa"/>
            <w:vAlign w:val="center"/>
            <w:hideMark/>
          </w:tcPr>
          <w:p w14:paraId="4F4B2E62" w14:textId="746078DB" w:rsidR="00D475F9" w:rsidRPr="00703D8F" w:rsidRDefault="00D475F9"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rsidRPr="00703D8F">
              <w:t>1.</w:t>
            </w:r>
            <w:r w:rsidR="00E3095D">
              <w:t>2</w:t>
            </w:r>
            <w:r w:rsidRPr="00703D8F">
              <w:t>%</w:t>
            </w:r>
          </w:p>
        </w:tc>
      </w:tr>
      <w:tr w:rsidR="006E0927" w14:paraId="7039F796" w14:textId="77777777" w:rsidTr="00111FF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797" w:type="dxa"/>
            <w:vAlign w:val="center"/>
            <w:hideMark/>
          </w:tcPr>
          <w:p w14:paraId="2120D053" w14:textId="64C058A4" w:rsidR="00D475F9" w:rsidRPr="00703D8F" w:rsidRDefault="00537554" w:rsidP="00111FFD">
            <w:pPr>
              <w:pStyle w:val="Bodycopy"/>
              <w:spacing w:after="0" w:line="240" w:lineRule="exact"/>
              <w:ind w:left="113"/>
            </w:pPr>
            <w:r w:rsidRPr="00537554">
              <w:t xml:space="preserve">Occupational </w:t>
            </w:r>
            <w:r w:rsidR="006F1DF9">
              <w:t>&amp;</w:t>
            </w:r>
            <w:r w:rsidRPr="00537554">
              <w:t xml:space="preserve"> Environmental </w:t>
            </w:r>
            <w:r w:rsidR="006E0927">
              <w:br/>
            </w:r>
            <w:r w:rsidRPr="00537554">
              <w:t>Health Professionals</w:t>
            </w:r>
          </w:p>
        </w:tc>
        <w:tc>
          <w:tcPr>
            <w:tcW w:w="680" w:type="dxa"/>
            <w:vAlign w:val="center"/>
            <w:hideMark/>
          </w:tcPr>
          <w:p w14:paraId="02E4D533" w14:textId="29A7A765" w:rsidR="00D475F9" w:rsidRPr="00703D8F" w:rsidRDefault="00537554"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t>1.4</w:t>
            </w:r>
            <w:r w:rsidR="00D475F9" w:rsidRPr="00703D8F">
              <w:t>%</w:t>
            </w:r>
          </w:p>
        </w:tc>
        <w:tc>
          <w:tcPr>
            <w:tcW w:w="3797" w:type="dxa"/>
            <w:vAlign w:val="center"/>
            <w:hideMark/>
          </w:tcPr>
          <w:p w14:paraId="1FD3BF39" w14:textId="7112B39F" w:rsidR="00D475F9" w:rsidRPr="00703D8F" w:rsidRDefault="00E3095D" w:rsidP="00111FFD">
            <w:pPr>
              <w:pStyle w:val="Bodycopy"/>
              <w:spacing w:after="0" w:line="240" w:lineRule="exact"/>
              <w:ind w:left="113"/>
              <w:cnfStyle w:val="000000100000" w:firstRow="0" w:lastRow="0" w:firstColumn="0" w:lastColumn="0" w:oddVBand="0" w:evenVBand="0" w:oddHBand="1" w:evenHBand="0" w:firstRowFirstColumn="0" w:firstRowLastColumn="0" w:lastRowFirstColumn="0" w:lastRowLastColumn="0"/>
            </w:pPr>
            <w:r w:rsidRPr="00E3095D">
              <w:t>Human Resource Managers</w:t>
            </w:r>
          </w:p>
        </w:tc>
        <w:tc>
          <w:tcPr>
            <w:tcW w:w="835" w:type="dxa"/>
            <w:vAlign w:val="center"/>
            <w:hideMark/>
          </w:tcPr>
          <w:p w14:paraId="195BC24E" w14:textId="02D003FB" w:rsidR="00D475F9" w:rsidRPr="00703D8F" w:rsidRDefault="00E3095D"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t>1.1</w:t>
            </w:r>
            <w:r w:rsidR="00D475F9" w:rsidRPr="00703D8F">
              <w:t>%</w:t>
            </w:r>
          </w:p>
        </w:tc>
      </w:tr>
      <w:tr w:rsidR="006E0927" w14:paraId="137C00AF" w14:textId="77777777" w:rsidTr="00111FFD">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7" w:type="dxa"/>
            <w:vAlign w:val="center"/>
            <w:hideMark/>
          </w:tcPr>
          <w:p w14:paraId="7ADC19BE" w14:textId="01ADB8E1" w:rsidR="00D475F9" w:rsidRPr="00703D8F" w:rsidRDefault="00537554" w:rsidP="00111FFD">
            <w:pPr>
              <w:pStyle w:val="Bodycopy"/>
              <w:spacing w:after="0" w:line="240" w:lineRule="exact"/>
              <w:ind w:left="113"/>
            </w:pPr>
            <w:r w:rsidRPr="00537554">
              <w:t>Electricians</w:t>
            </w:r>
          </w:p>
        </w:tc>
        <w:tc>
          <w:tcPr>
            <w:tcW w:w="680" w:type="dxa"/>
            <w:vAlign w:val="center"/>
            <w:hideMark/>
          </w:tcPr>
          <w:p w14:paraId="68D48FB9" w14:textId="5C1D0CDC" w:rsidR="00D475F9" w:rsidRPr="00703D8F" w:rsidRDefault="00D475F9"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rsidRPr="00703D8F">
              <w:t>1</w:t>
            </w:r>
            <w:r w:rsidR="00537554">
              <w:t>.3</w:t>
            </w:r>
            <w:r w:rsidRPr="00703D8F">
              <w:t>%</w:t>
            </w:r>
          </w:p>
        </w:tc>
        <w:tc>
          <w:tcPr>
            <w:tcW w:w="3797" w:type="dxa"/>
            <w:vAlign w:val="center"/>
            <w:hideMark/>
          </w:tcPr>
          <w:p w14:paraId="3D9A963B" w14:textId="4A25BDF0" w:rsidR="00D475F9" w:rsidRPr="00703D8F" w:rsidRDefault="00E3095D" w:rsidP="00111FFD">
            <w:pPr>
              <w:pStyle w:val="Bodycopy"/>
              <w:spacing w:after="0" w:line="240" w:lineRule="exact"/>
              <w:ind w:left="113"/>
              <w:cnfStyle w:val="000000010000" w:firstRow="0" w:lastRow="0" w:firstColumn="0" w:lastColumn="0" w:oddVBand="0" w:evenVBand="0" w:oddHBand="0" w:evenHBand="1" w:firstRowFirstColumn="0" w:firstRowLastColumn="0" w:lastRowFirstColumn="0" w:lastRowLastColumn="0"/>
            </w:pPr>
            <w:r w:rsidRPr="00E3095D">
              <w:t xml:space="preserve">University Lecturers </w:t>
            </w:r>
            <w:r w:rsidR="006F1DF9">
              <w:t>&amp;</w:t>
            </w:r>
            <w:r w:rsidRPr="00E3095D">
              <w:t xml:space="preserve"> Tutors</w:t>
            </w:r>
          </w:p>
        </w:tc>
        <w:tc>
          <w:tcPr>
            <w:tcW w:w="835" w:type="dxa"/>
            <w:vAlign w:val="center"/>
            <w:hideMark/>
          </w:tcPr>
          <w:p w14:paraId="6E823018" w14:textId="57C1D45C" w:rsidR="00D475F9" w:rsidRPr="00703D8F" w:rsidRDefault="00E3095D"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t>1.1</w:t>
            </w:r>
            <w:r w:rsidR="00D475F9" w:rsidRPr="00703D8F">
              <w:t>%</w:t>
            </w:r>
          </w:p>
        </w:tc>
      </w:tr>
      <w:tr w:rsidR="006E0927" w14:paraId="64D59F26" w14:textId="77777777" w:rsidTr="00111FF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797" w:type="dxa"/>
            <w:vAlign w:val="center"/>
            <w:hideMark/>
          </w:tcPr>
          <w:p w14:paraId="1732E5B6" w14:textId="00DF2982" w:rsidR="00D475F9" w:rsidRPr="00703D8F" w:rsidRDefault="00537554" w:rsidP="00111FFD">
            <w:pPr>
              <w:pStyle w:val="Bodycopy"/>
              <w:spacing w:after="0" w:line="240" w:lineRule="exact"/>
              <w:ind w:left="113"/>
            </w:pPr>
            <w:r w:rsidRPr="00537554">
              <w:t>Early Childhood (Pre-primary School) Teachers</w:t>
            </w:r>
          </w:p>
        </w:tc>
        <w:tc>
          <w:tcPr>
            <w:tcW w:w="680" w:type="dxa"/>
            <w:vAlign w:val="center"/>
            <w:hideMark/>
          </w:tcPr>
          <w:p w14:paraId="16A32A12" w14:textId="4268463D" w:rsidR="00D475F9" w:rsidRPr="00703D8F" w:rsidRDefault="00537554"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t>1</w:t>
            </w:r>
            <w:r w:rsidR="00D475F9" w:rsidRPr="00703D8F">
              <w:t>.2%</w:t>
            </w:r>
          </w:p>
        </w:tc>
        <w:tc>
          <w:tcPr>
            <w:tcW w:w="3797" w:type="dxa"/>
            <w:vAlign w:val="center"/>
            <w:hideMark/>
          </w:tcPr>
          <w:p w14:paraId="0C91BBCD" w14:textId="675D8A37" w:rsidR="00D475F9" w:rsidRPr="00703D8F" w:rsidRDefault="00E3095D" w:rsidP="00111FFD">
            <w:pPr>
              <w:pStyle w:val="Bodycopy"/>
              <w:spacing w:after="0" w:line="240" w:lineRule="exact"/>
              <w:ind w:left="113"/>
              <w:cnfStyle w:val="000000100000" w:firstRow="0" w:lastRow="0" w:firstColumn="0" w:lastColumn="0" w:oddVBand="0" w:evenVBand="0" w:oddHBand="1" w:evenHBand="0" w:firstRowFirstColumn="0" w:firstRowLastColumn="0" w:lastRowFirstColumn="0" w:lastRowLastColumn="0"/>
            </w:pPr>
            <w:r w:rsidRPr="00E3095D">
              <w:t>General Clerks</w:t>
            </w:r>
          </w:p>
        </w:tc>
        <w:tc>
          <w:tcPr>
            <w:tcW w:w="835" w:type="dxa"/>
            <w:vAlign w:val="center"/>
            <w:hideMark/>
          </w:tcPr>
          <w:p w14:paraId="4DDE50FB" w14:textId="33CF27FB" w:rsidR="00D475F9" w:rsidRPr="00703D8F" w:rsidRDefault="00E3095D"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t>1.0</w:t>
            </w:r>
            <w:r w:rsidR="00D475F9" w:rsidRPr="00703D8F">
              <w:t>%</w:t>
            </w:r>
          </w:p>
        </w:tc>
      </w:tr>
      <w:tr w:rsidR="006E0927" w14:paraId="512CEF53" w14:textId="77777777" w:rsidTr="00111FFD">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7" w:type="dxa"/>
            <w:vAlign w:val="center"/>
            <w:hideMark/>
          </w:tcPr>
          <w:p w14:paraId="72475935" w14:textId="3DD0B873" w:rsidR="00D475F9" w:rsidRPr="00703D8F" w:rsidRDefault="00537554" w:rsidP="00111FFD">
            <w:pPr>
              <w:pStyle w:val="Bodycopy"/>
              <w:spacing w:after="0" w:line="240" w:lineRule="exact"/>
              <w:ind w:left="113"/>
            </w:pPr>
            <w:r w:rsidRPr="00537554">
              <w:t>Education Aides</w:t>
            </w:r>
          </w:p>
        </w:tc>
        <w:tc>
          <w:tcPr>
            <w:tcW w:w="680" w:type="dxa"/>
            <w:vAlign w:val="center"/>
            <w:hideMark/>
          </w:tcPr>
          <w:p w14:paraId="36362F61" w14:textId="56A62406" w:rsidR="00D475F9" w:rsidRPr="00703D8F" w:rsidRDefault="00537554"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t>1</w:t>
            </w:r>
            <w:r w:rsidR="00D475F9" w:rsidRPr="00703D8F">
              <w:t>.2%</w:t>
            </w:r>
          </w:p>
        </w:tc>
        <w:tc>
          <w:tcPr>
            <w:tcW w:w="3797" w:type="dxa"/>
            <w:vAlign w:val="center"/>
            <w:hideMark/>
          </w:tcPr>
          <w:p w14:paraId="57C47015" w14:textId="6D2E72CD" w:rsidR="00D475F9" w:rsidRPr="00703D8F" w:rsidRDefault="00E3095D" w:rsidP="00111FFD">
            <w:pPr>
              <w:pStyle w:val="Bodycopy"/>
              <w:spacing w:after="0" w:line="240" w:lineRule="exact"/>
              <w:ind w:left="113"/>
              <w:cnfStyle w:val="000000010000" w:firstRow="0" w:lastRow="0" w:firstColumn="0" w:lastColumn="0" w:oddVBand="0" w:evenVBand="0" w:oddHBand="0" w:evenHBand="1" w:firstRowFirstColumn="0" w:firstRowLastColumn="0" w:lastRowFirstColumn="0" w:lastRowLastColumn="0"/>
            </w:pPr>
            <w:r w:rsidRPr="00E3095D">
              <w:t>Specialist Managers</w:t>
            </w:r>
          </w:p>
        </w:tc>
        <w:tc>
          <w:tcPr>
            <w:tcW w:w="835" w:type="dxa"/>
            <w:vAlign w:val="center"/>
            <w:hideMark/>
          </w:tcPr>
          <w:p w14:paraId="260CB949" w14:textId="63950F9D" w:rsidR="00D475F9" w:rsidRPr="00703D8F" w:rsidRDefault="00E3095D"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t>1.0</w:t>
            </w:r>
            <w:r w:rsidR="00D475F9" w:rsidRPr="00703D8F">
              <w:t>%</w:t>
            </w:r>
          </w:p>
        </w:tc>
      </w:tr>
      <w:tr w:rsidR="006E0927" w14:paraId="769DBEF0" w14:textId="77777777" w:rsidTr="00111FF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7" w:type="dxa"/>
            <w:vAlign w:val="center"/>
            <w:hideMark/>
          </w:tcPr>
          <w:p w14:paraId="43E619C5" w14:textId="51742BE6" w:rsidR="00D475F9" w:rsidRPr="00703D8F" w:rsidRDefault="00537554" w:rsidP="00111FFD">
            <w:pPr>
              <w:pStyle w:val="Bodycopy"/>
              <w:spacing w:after="0" w:line="240" w:lineRule="exact"/>
              <w:ind w:left="113"/>
            </w:pPr>
            <w:r w:rsidRPr="00537554">
              <w:t>Human Resource Managers</w:t>
            </w:r>
          </w:p>
        </w:tc>
        <w:tc>
          <w:tcPr>
            <w:tcW w:w="680" w:type="dxa"/>
            <w:vAlign w:val="center"/>
            <w:hideMark/>
          </w:tcPr>
          <w:p w14:paraId="6D777381" w14:textId="50102FCD" w:rsidR="00D475F9" w:rsidRPr="00703D8F" w:rsidRDefault="00D475F9"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rsidRPr="00703D8F">
              <w:t>1.</w:t>
            </w:r>
            <w:r w:rsidR="00537554">
              <w:t>1</w:t>
            </w:r>
            <w:r w:rsidRPr="00703D8F">
              <w:t>%</w:t>
            </w:r>
          </w:p>
        </w:tc>
        <w:tc>
          <w:tcPr>
            <w:tcW w:w="3797" w:type="dxa"/>
            <w:vAlign w:val="center"/>
            <w:hideMark/>
          </w:tcPr>
          <w:p w14:paraId="1A970D02" w14:textId="79926D78" w:rsidR="00D475F9" w:rsidRPr="00703D8F" w:rsidRDefault="00E3095D" w:rsidP="00111FFD">
            <w:pPr>
              <w:pStyle w:val="Bodycopy"/>
              <w:spacing w:after="0" w:line="240" w:lineRule="exact"/>
              <w:ind w:left="113"/>
              <w:cnfStyle w:val="000000100000" w:firstRow="0" w:lastRow="0" w:firstColumn="0" w:lastColumn="0" w:oddVBand="0" w:evenVBand="0" w:oddHBand="1" w:evenHBand="0" w:firstRowFirstColumn="0" w:firstRowLastColumn="0" w:lastRowFirstColumn="0" w:lastRowLastColumn="0"/>
            </w:pPr>
            <w:r w:rsidRPr="00E3095D">
              <w:t>Child Carers</w:t>
            </w:r>
          </w:p>
        </w:tc>
        <w:tc>
          <w:tcPr>
            <w:tcW w:w="835" w:type="dxa"/>
            <w:vAlign w:val="center"/>
            <w:hideMark/>
          </w:tcPr>
          <w:p w14:paraId="2FDAC3FE" w14:textId="7D9D437B" w:rsidR="00D475F9" w:rsidRPr="00703D8F" w:rsidRDefault="00E3095D"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t>1.0</w:t>
            </w:r>
            <w:r w:rsidR="00D475F9" w:rsidRPr="00703D8F">
              <w:t>%</w:t>
            </w:r>
          </w:p>
        </w:tc>
      </w:tr>
      <w:tr w:rsidR="006E0927" w14:paraId="75A5C4C4" w14:textId="77777777" w:rsidTr="00111FFD">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797" w:type="dxa"/>
            <w:tcBorders>
              <w:bottom w:val="nil"/>
            </w:tcBorders>
            <w:vAlign w:val="center"/>
            <w:hideMark/>
          </w:tcPr>
          <w:p w14:paraId="1CB2EAF6" w14:textId="5164B6F0" w:rsidR="00D475F9" w:rsidRPr="00703D8F" w:rsidRDefault="00537554" w:rsidP="00111FFD">
            <w:pPr>
              <w:pStyle w:val="Bodycopy"/>
              <w:spacing w:after="0" w:line="240" w:lineRule="exact"/>
              <w:ind w:left="113"/>
            </w:pPr>
            <w:r w:rsidRPr="00537554">
              <w:t xml:space="preserve">Teachers of English to Speakers </w:t>
            </w:r>
            <w:r w:rsidR="006F1DF9">
              <w:br/>
            </w:r>
            <w:r w:rsidRPr="00537554">
              <w:t>of Other Languages</w:t>
            </w:r>
          </w:p>
        </w:tc>
        <w:tc>
          <w:tcPr>
            <w:tcW w:w="680" w:type="dxa"/>
            <w:tcBorders>
              <w:bottom w:val="nil"/>
            </w:tcBorders>
            <w:vAlign w:val="center"/>
            <w:hideMark/>
          </w:tcPr>
          <w:p w14:paraId="16EC96E4" w14:textId="17C29437" w:rsidR="00D475F9" w:rsidRPr="00703D8F" w:rsidRDefault="00D475F9"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rsidRPr="00703D8F">
              <w:t>1.</w:t>
            </w:r>
            <w:r w:rsidR="00537554">
              <w:t>0</w:t>
            </w:r>
            <w:r w:rsidRPr="00703D8F">
              <w:t>%</w:t>
            </w:r>
          </w:p>
        </w:tc>
        <w:tc>
          <w:tcPr>
            <w:tcW w:w="3797" w:type="dxa"/>
            <w:tcBorders>
              <w:bottom w:val="nil"/>
            </w:tcBorders>
            <w:vAlign w:val="center"/>
            <w:hideMark/>
          </w:tcPr>
          <w:p w14:paraId="0D657329" w14:textId="0B060782" w:rsidR="00D475F9" w:rsidRPr="00703D8F" w:rsidRDefault="00E3095D" w:rsidP="00111FFD">
            <w:pPr>
              <w:pStyle w:val="Bodycopy"/>
              <w:spacing w:after="0" w:line="240" w:lineRule="exact"/>
              <w:ind w:left="113"/>
              <w:cnfStyle w:val="000000010000" w:firstRow="0" w:lastRow="0" w:firstColumn="0" w:lastColumn="0" w:oddVBand="0" w:evenVBand="0" w:oddHBand="0" w:evenHBand="1" w:firstRowFirstColumn="0" w:firstRowLastColumn="0" w:lastRowFirstColumn="0" w:lastRowLastColumn="0"/>
            </w:pPr>
            <w:r w:rsidRPr="00E3095D">
              <w:t>Education Aides</w:t>
            </w:r>
          </w:p>
        </w:tc>
        <w:tc>
          <w:tcPr>
            <w:tcW w:w="835" w:type="dxa"/>
            <w:tcBorders>
              <w:bottom w:val="nil"/>
            </w:tcBorders>
            <w:vAlign w:val="center"/>
            <w:hideMark/>
          </w:tcPr>
          <w:p w14:paraId="07FFA691" w14:textId="6B70EA29" w:rsidR="00D475F9" w:rsidRPr="00703D8F" w:rsidRDefault="00E3095D"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t>1.0</w:t>
            </w:r>
            <w:r w:rsidR="00D475F9" w:rsidRPr="00703D8F">
              <w:t>%</w:t>
            </w:r>
          </w:p>
        </w:tc>
      </w:tr>
      <w:tr w:rsidR="006E0927" w14:paraId="3EFC9172" w14:textId="77777777" w:rsidTr="00111FF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7" w:type="dxa"/>
            <w:tcBorders>
              <w:bottom w:val="nil"/>
            </w:tcBorders>
            <w:vAlign w:val="center"/>
            <w:hideMark/>
          </w:tcPr>
          <w:p w14:paraId="737A86F7" w14:textId="11891967" w:rsidR="00D475F9" w:rsidRPr="00703D8F" w:rsidRDefault="00537554" w:rsidP="00111FFD">
            <w:pPr>
              <w:pStyle w:val="Bodycopy"/>
              <w:spacing w:after="0" w:line="240" w:lineRule="exact"/>
              <w:ind w:left="113"/>
            </w:pPr>
            <w:r w:rsidRPr="00537554">
              <w:t>Beauty Therapists</w:t>
            </w:r>
          </w:p>
        </w:tc>
        <w:tc>
          <w:tcPr>
            <w:tcW w:w="680" w:type="dxa"/>
            <w:tcBorders>
              <w:bottom w:val="nil"/>
            </w:tcBorders>
            <w:vAlign w:val="center"/>
            <w:hideMark/>
          </w:tcPr>
          <w:p w14:paraId="3E98A3FF" w14:textId="5D22E949" w:rsidR="00D475F9" w:rsidRPr="00703D8F" w:rsidRDefault="00537554"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t>1.0</w:t>
            </w:r>
            <w:r w:rsidR="00D475F9" w:rsidRPr="00703D8F">
              <w:t>%</w:t>
            </w:r>
          </w:p>
        </w:tc>
        <w:tc>
          <w:tcPr>
            <w:tcW w:w="3797" w:type="dxa"/>
            <w:tcBorders>
              <w:bottom w:val="nil"/>
            </w:tcBorders>
            <w:vAlign w:val="center"/>
            <w:hideMark/>
          </w:tcPr>
          <w:p w14:paraId="00D847A1" w14:textId="6203AC64" w:rsidR="00D475F9" w:rsidRPr="00703D8F" w:rsidRDefault="00E3095D" w:rsidP="00111FFD">
            <w:pPr>
              <w:pStyle w:val="Bodycopy"/>
              <w:spacing w:after="0" w:line="240" w:lineRule="exact"/>
              <w:ind w:left="113"/>
              <w:cnfStyle w:val="000000100000" w:firstRow="0" w:lastRow="0" w:firstColumn="0" w:lastColumn="0" w:oddVBand="0" w:evenVBand="0" w:oddHBand="1" w:evenHBand="0" w:firstRowFirstColumn="0" w:firstRowLastColumn="0" w:lastRowFirstColumn="0" w:lastRowLastColumn="0"/>
            </w:pPr>
            <w:r w:rsidRPr="00E3095D">
              <w:t>Total 1% or more</w:t>
            </w:r>
          </w:p>
        </w:tc>
        <w:tc>
          <w:tcPr>
            <w:tcW w:w="835" w:type="dxa"/>
            <w:tcBorders>
              <w:bottom w:val="nil"/>
            </w:tcBorders>
            <w:vAlign w:val="center"/>
            <w:hideMark/>
          </w:tcPr>
          <w:p w14:paraId="0440A4BD" w14:textId="69CB743F" w:rsidR="00D475F9" w:rsidRPr="00703D8F" w:rsidRDefault="00E3095D" w:rsidP="00111FFD">
            <w:pPr>
              <w:pStyle w:val="Bodycopy"/>
              <w:spacing w:after="0" w:line="240" w:lineRule="exact"/>
              <w:jc w:val="center"/>
              <w:cnfStyle w:val="000000100000" w:firstRow="0" w:lastRow="0" w:firstColumn="0" w:lastColumn="0" w:oddVBand="0" w:evenVBand="0" w:oddHBand="1" w:evenHBand="0" w:firstRowFirstColumn="0" w:firstRowLastColumn="0" w:lastRowFirstColumn="0" w:lastRowLastColumn="0"/>
            </w:pPr>
            <w:r>
              <w:t>63.1</w:t>
            </w:r>
            <w:r w:rsidR="00D475F9" w:rsidRPr="00703D8F">
              <w:t>%</w:t>
            </w:r>
          </w:p>
        </w:tc>
      </w:tr>
      <w:tr w:rsidR="006F1DF9" w14:paraId="47316E65" w14:textId="77777777" w:rsidTr="00111FFD">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7" w:type="dxa"/>
            <w:vAlign w:val="center"/>
            <w:hideMark/>
          </w:tcPr>
          <w:p w14:paraId="7A649CE2" w14:textId="06C9B9C6" w:rsidR="00D475F9" w:rsidRPr="00703D8F" w:rsidRDefault="00537554" w:rsidP="00111FFD">
            <w:pPr>
              <w:pStyle w:val="Bodycopy"/>
              <w:spacing w:after="0" w:line="240" w:lineRule="exact"/>
              <w:ind w:left="113"/>
            </w:pPr>
            <w:r w:rsidRPr="00537554">
              <w:t>Specialist Managers</w:t>
            </w:r>
          </w:p>
        </w:tc>
        <w:tc>
          <w:tcPr>
            <w:tcW w:w="680" w:type="dxa"/>
            <w:vAlign w:val="center"/>
            <w:hideMark/>
          </w:tcPr>
          <w:p w14:paraId="00E37C39" w14:textId="0AEA3DF3" w:rsidR="00D475F9" w:rsidRPr="00703D8F" w:rsidRDefault="00537554"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r>
              <w:t>1.0</w:t>
            </w:r>
            <w:r w:rsidR="00D475F9" w:rsidRPr="00703D8F">
              <w:t>%</w:t>
            </w:r>
          </w:p>
        </w:tc>
        <w:tc>
          <w:tcPr>
            <w:tcW w:w="3797" w:type="dxa"/>
            <w:vAlign w:val="center"/>
            <w:hideMark/>
          </w:tcPr>
          <w:p w14:paraId="32213C66" w14:textId="454635C8" w:rsidR="00D475F9" w:rsidRPr="00703D8F" w:rsidRDefault="00D475F9" w:rsidP="00111FFD">
            <w:pPr>
              <w:pStyle w:val="Bodycopy"/>
              <w:spacing w:after="0" w:line="240" w:lineRule="exact"/>
              <w:ind w:left="113"/>
              <w:cnfStyle w:val="000000010000" w:firstRow="0" w:lastRow="0" w:firstColumn="0" w:lastColumn="0" w:oddVBand="0" w:evenVBand="0" w:oddHBand="0" w:evenHBand="1" w:firstRowFirstColumn="0" w:firstRowLastColumn="0" w:lastRowFirstColumn="0" w:lastRowLastColumn="0"/>
            </w:pPr>
          </w:p>
        </w:tc>
        <w:tc>
          <w:tcPr>
            <w:tcW w:w="835" w:type="dxa"/>
            <w:vAlign w:val="center"/>
            <w:hideMark/>
          </w:tcPr>
          <w:p w14:paraId="4016D68B" w14:textId="049943EF" w:rsidR="00D475F9" w:rsidRPr="00703D8F" w:rsidRDefault="00D475F9" w:rsidP="00111FFD">
            <w:pPr>
              <w:pStyle w:val="Bodycopy"/>
              <w:spacing w:after="0" w:line="240" w:lineRule="exact"/>
              <w:jc w:val="center"/>
              <w:cnfStyle w:val="000000010000" w:firstRow="0" w:lastRow="0" w:firstColumn="0" w:lastColumn="0" w:oddVBand="0" w:evenVBand="0" w:oddHBand="0" w:evenHBand="1" w:firstRowFirstColumn="0" w:firstRowLastColumn="0" w:lastRowFirstColumn="0" w:lastRowLastColumn="0"/>
            </w:pPr>
          </w:p>
        </w:tc>
      </w:tr>
      <w:tr w:rsidR="006F1DF9" w14:paraId="546D044F" w14:textId="77777777" w:rsidTr="00EC21C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7" w:type="dxa"/>
            <w:tcBorders>
              <w:bottom w:val="nil"/>
            </w:tcBorders>
            <w:vAlign w:val="center"/>
            <w:hideMark/>
          </w:tcPr>
          <w:p w14:paraId="4E64FD65" w14:textId="4E38F97E" w:rsidR="00D475F9" w:rsidRPr="00703D8F" w:rsidRDefault="00537554" w:rsidP="00111FFD">
            <w:pPr>
              <w:pStyle w:val="Bodycopy"/>
              <w:spacing w:after="0"/>
              <w:ind w:left="113"/>
            </w:pPr>
            <w:r w:rsidRPr="00537554">
              <w:t xml:space="preserve">University Lecturers </w:t>
            </w:r>
            <w:r w:rsidR="006F1DF9">
              <w:t>&amp;</w:t>
            </w:r>
            <w:r w:rsidRPr="00537554">
              <w:t xml:space="preserve"> Tutors</w:t>
            </w:r>
          </w:p>
        </w:tc>
        <w:tc>
          <w:tcPr>
            <w:tcW w:w="680" w:type="dxa"/>
            <w:tcBorders>
              <w:bottom w:val="nil"/>
            </w:tcBorders>
            <w:vAlign w:val="center"/>
            <w:hideMark/>
          </w:tcPr>
          <w:p w14:paraId="1359EA54" w14:textId="13D772AC" w:rsidR="00D475F9" w:rsidRPr="00703D8F" w:rsidRDefault="00537554" w:rsidP="00111FFD">
            <w:pPr>
              <w:pStyle w:val="Bodycopy"/>
              <w:spacing w:after="0"/>
              <w:jc w:val="center"/>
              <w:cnfStyle w:val="000000100000" w:firstRow="0" w:lastRow="0" w:firstColumn="0" w:lastColumn="0" w:oddVBand="0" w:evenVBand="0" w:oddHBand="1" w:evenHBand="0" w:firstRowFirstColumn="0" w:firstRowLastColumn="0" w:lastRowFirstColumn="0" w:lastRowLastColumn="0"/>
            </w:pPr>
            <w:r w:rsidRPr="00537554">
              <w:t>1.0%</w:t>
            </w:r>
          </w:p>
        </w:tc>
        <w:tc>
          <w:tcPr>
            <w:tcW w:w="3797" w:type="dxa"/>
            <w:tcBorders>
              <w:bottom w:val="nil"/>
            </w:tcBorders>
            <w:vAlign w:val="center"/>
            <w:hideMark/>
          </w:tcPr>
          <w:p w14:paraId="7B7F5BCC" w14:textId="204EC383" w:rsidR="00D475F9" w:rsidRPr="00703D8F" w:rsidRDefault="00D475F9" w:rsidP="00111FFD">
            <w:pPr>
              <w:pStyle w:val="Bodycopy"/>
              <w:spacing w:after="0"/>
              <w:ind w:left="113"/>
              <w:cnfStyle w:val="000000100000" w:firstRow="0" w:lastRow="0" w:firstColumn="0" w:lastColumn="0" w:oddVBand="0" w:evenVBand="0" w:oddHBand="1" w:evenHBand="0" w:firstRowFirstColumn="0" w:firstRowLastColumn="0" w:lastRowFirstColumn="0" w:lastRowLastColumn="0"/>
            </w:pPr>
          </w:p>
        </w:tc>
        <w:tc>
          <w:tcPr>
            <w:tcW w:w="835" w:type="dxa"/>
            <w:tcBorders>
              <w:bottom w:val="nil"/>
            </w:tcBorders>
            <w:vAlign w:val="center"/>
            <w:hideMark/>
          </w:tcPr>
          <w:p w14:paraId="5FF1A5A8" w14:textId="1573242A" w:rsidR="00D475F9" w:rsidRPr="00703D8F" w:rsidRDefault="00D475F9" w:rsidP="00111FFD">
            <w:pPr>
              <w:pStyle w:val="Bodycopy"/>
              <w:spacing w:after="0"/>
              <w:jc w:val="center"/>
              <w:cnfStyle w:val="000000100000" w:firstRow="0" w:lastRow="0" w:firstColumn="0" w:lastColumn="0" w:oddVBand="0" w:evenVBand="0" w:oddHBand="1" w:evenHBand="0" w:firstRowFirstColumn="0" w:firstRowLastColumn="0" w:lastRowFirstColumn="0" w:lastRowLastColumn="0"/>
            </w:pPr>
          </w:p>
        </w:tc>
      </w:tr>
      <w:tr w:rsidR="008E2922" w14:paraId="056CFED2" w14:textId="77777777" w:rsidTr="00EC21C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7" w:type="dxa"/>
            <w:tcBorders>
              <w:bottom w:val="single" w:sz="8" w:space="0" w:color="2F005F"/>
            </w:tcBorders>
            <w:vAlign w:val="center"/>
          </w:tcPr>
          <w:p w14:paraId="754B2236" w14:textId="495752DC" w:rsidR="00D475F9" w:rsidRPr="00703D8F" w:rsidRDefault="00537554" w:rsidP="00111FFD">
            <w:pPr>
              <w:pStyle w:val="Bodycopy"/>
              <w:spacing w:after="0"/>
              <w:ind w:left="113"/>
            </w:pPr>
            <w:r w:rsidRPr="00537554">
              <w:t xml:space="preserve">Total 1% or more </w:t>
            </w:r>
          </w:p>
        </w:tc>
        <w:tc>
          <w:tcPr>
            <w:tcW w:w="680" w:type="dxa"/>
            <w:tcBorders>
              <w:bottom w:val="single" w:sz="8" w:space="0" w:color="2F005F"/>
            </w:tcBorders>
            <w:vAlign w:val="center"/>
          </w:tcPr>
          <w:p w14:paraId="5E6C77D0" w14:textId="3612AE58" w:rsidR="00D475F9" w:rsidRPr="00703D8F" w:rsidRDefault="00537554" w:rsidP="00111FFD">
            <w:pPr>
              <w:pStyle w:val="Bodycopy"/>
              <w:spacing w:after="0"/>
              <w:jc w:val="center"/>
              <w:cnfStyle w:val="000000010000" w:firstRow="0" w:lastRow="0" w:firstColumn="0" w:lastColumn="0" w:oddVBand="0" w:evenVBand="0" w:oddHBand="0" w:evenHBand="1" w:firstRowFirstColumn="0" w:firstRowLastColumn="0" w:lastRowFirstColumn="0" w:lastRowLastColumn="0"/>
            </w:pPr>
            <w:r w:rsidRPr="00537554">
              <w:t>53.9%</w:t>
            </w:r>
          </w:p>
        </w:tc>
        <w:tc>
          <w:tcPr>
            <w:tcW w:w="3797" w:type="dxa"/>
            <w:tcBorders>
              <w:bottom w:val="single" w:sz="8" w:space="0" w:color="2F005F"/>
            </w:tcBorders>
            <w:vAlign w:val="center"/>
            <w:hideMark/>
          </w:tcPr>
          <w:p w14:paraId="023D4CB2" w14:textId="1BA83D92" w:rsidR="00D475F9" w:rsidRPr="00703D8F" w:rsidRDefault="00D475F9" w:rsidP="00111FFD">
            <w:pPr>
              <w:pStyle w:val="Bodycopy"/>
              <w:spacing w:after="0"/>
              <w:ind w:left="113"/>
              <w:cnfStyle w:val="000000010000" w:firstRow="0" w:lastRow="0" w:firstColumn="0" w:lastColumn="0" w:oddVBand="0" w:evenVBand="0" w:oddHBand="0" w:evenHBand="1" w:firstRowFirstColumn="0" w:firstRowLastColumn="0" w:lastRowFirstColumn="0" w:lastRowLastColumn="0"/>
            </w:pPr>
          </w:p>
        </w:tc>
        <w:tc>
          <w:tcPr>
            <w:tcW w:w="835" w:type="dxa"/>
            <w:tcBorders>
              <w:bottom w:val="single" w:sz="8" w:space="0" w:color="2F005F"/>
            </w:tcBorders>
            <w:vAlign w:val="center"/>
            <w:hideMark/>
          </w:tcPr>
          <w:p w14:paraId="04B3EBE2" w14:textId="0D1B40BA" w:rsidR="00D475F9" w:rsidRPr="00703D8F" w:rsidRDefault="00D475F9" w:rsidP="00111FFD">
            <w:pPr>
              <w:pStyle w:val="Bodycopy"/>
              <w:spacing w:after="0"/>
              <w:jc w:val="center"/>
              <w:cnfStyle w:val="000000010000" w:firstRow="0" w:lastRow="0" w:firstColumn="0" w:lastColumn="0" w:oddVBand="0" w:evenVBand="0" w:oddHBand="0" w:evenHBand="1" w:firstRowFirstColumn="0" w:firstRowLastColumn="0" w:lastRowFirstColumn="0" w:lastRowLastColumn="0"/>
            </w:pPr>
          </w:p>
        </w:tc>
      </w:tr>
    </w:tbl>
    <w:p w14:paraId="6CB38715" w14:textId="77777777" w:rsidR="00386683" w:rsidRDefault="00386683" w:rsidP="008B2387">
      <w:pPr>
        <w:pStyle w:val="Source"/>
      </w:pPr>
      <w:r w:rsidRPr="008E2EB2">
        <w:t>Source: National Student Outcomes Survey (NCVER 2022)</w:t>
      </w:r>
    </w:p>
    <w:p w14:paraId="3E522165" w14:textId="24EBAA26" w:rsidR="00386683" w:rsidRDefault="007B5889" w:rsidP="00386683">
      <w:pPr>
        <w:pStyle w:val="Caption"/>
        <w:keepNext/>
      </w:pPr>
      <w:bookmarkStart w:id="207" w:name="Figure_4_6"/>
      <w:r>
        <w:rPr>
          <w:noProof/>
        </w:rPr>
        <w:lastRenderedPageBreak/>
        <w:drawing>
          <wp:anchor distT="0" distB="0" distL="114300" distR="114300" simplePos="0" relativeHeight="251658258" behindDoc="0" locked="0" layoutInCell="1" allowOverlap="1" wp14:anchorId="1E0FC834" wp14:editId="33AB2E47">
            <wp:simplePos x="0" y="0"/>
            <wp:positionH relativeFrom="column">
              <wp:posOffset>-7378</wp:posOffset>
            </wp:positionH>
            <wp:positionV relativeFrom="paragraph">
              <wp:posOffset>441894</wp:posOffset>
            </wp:positionV>
            <wp:extent cx="5743353" cy="3312000"/>
            <wp:effectExtent l="19050" t="19050" r="10160" b="22225"/>
            <wp:wrapNone/>
            <wp:docPr id="2021214138"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214138" name="Picture 3">
                      <a:extLst>
                        <a:ext uri="{C183D7F6-B498-43B3-948B-1728B52AA6E4}">
                          <adec:decorative xmlns:adec="http://schemas.microsoft.com/office/drawing/2017/decorative" val="1"/>
                        </a:ext>
                      </a:extLst>
                    </pic:cNvPr>
                    <pic:cNvPicPr/>
                  </pic:nvPicPr>
                  <pic:blipFill rotWithShape="1">
                    <a:blip r:embed="rId64" cstate="print">
                      <a:extLst>
                        <a:ext uri="{28A0092B-C50C-407E-A947-70E740481C1C}">
                          <a14:useLocalDpi xmlns:a14="http://schemas.microsoft.com/office/drawing/2010/main" val="0"/>
                        </a:ext>
                      </a:extLst>
                    </a:blip>
                    <a:srcRect t="-1129" b="-1129"/>
                    <a:stretch/>
                  </pic:blipFill>
                  <pic:spPr bwMode="auto">
                    <a:xfrm>
                      <a:off x="0" y="0"/>
                      <a:ext cx="5743353" cy="3312000"/>
                    </a:xfrm>
                    <a:prstGeom prst="rect">
                      <a:avLst/>
                    </a:prstGeom>
                    <a:solidFill>
                      <a:schemeClr val="bg1"/>
                    </a:solidFill>
                    <a:ln w="635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6683">
        <w:t xml:space="preserve">Figure </w:t>
      </w:r>
      <w:r w:rsidR="006558DC">
        <w:fldChar w:fldCharType="begin"/>
      </w:r>
      <w:r w:rsidR="006558DC">
        <w:instrText xml:space="preserve"> STYLEREF 1 \s </w:instrText>
      </w:r>
      <w:r w:rsidR="006558DC">
        <w:fldChar w:fldCharType="separate"/>
      </w:r>
      <w:r w:rsidR="00E7704E">
        <w:rPr>
          <w:noProof/>
        </w:rPr>
        <w:t>4</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6</w:t>
      </w:r>
      <w:r w:rsidR="006558DC">
        <w:fldChar w:fldCharType="end"/>
      </w:r>
      <w:r w:rsidR="00386683">
        <w:t xml:space="preserve"> </w:t>
      </w:r>
      <w:r w:rsidR="00386683" w:rsidRPr="001D5D0B">
        <w:t xml:space="preserve">Top 5 occupations for Certificate IV in Training and Assessment qualification graduates before and after training (of those employed), 2022 </w:t>
      </w:r>
    </w:p>
    <w:bookmarkEnd w:id="207"/>
    <w:tbl>
      <w:tblPr>
        <w:tblW w:w="3800" w:type="dxa"/>
        <w:tblCellMar>
          <w:left w:w="0" w:type="dxa"/>
          <w:right w:w="0" w:type="dxa"/>
        </w:tblCellMar>
        <w:tblLook w:val="04A0" w:firstRow="1" w:lastRow="0" w:firstColumn="1" w:lastColumn="0" w:noHBand="0" w:noVBand="1"/>
        <w:tblCaption w:val="Figure 4.6 Top 5 occupations for Certificate IV in Training and Assessment qualification graduates before and after training (of those employed), 2022 "/>
      </w:tblPr>
      <w:tblGrid>
        <w:gridCol w:w="1240"/>
        <w:gridCol w:w="1280"/>
        <w:gridCol w:w="1280"/>
      </w:tblGrid>
      <w:tr w:rsidR="00E90164" w:rsidRPr="00E90164" w14:paraId="4C8F1293" w14:textId="77777777" w:rsidTr="00E90164">
        <w:trPr>
          <w:trHeight w:val="276"/>
        </w:trPr>
        <w:tc>
          <w:tcPr>
            <w:tcW w:w="1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5B37893" w14:textId="55816952" w:rsidR="00E90164" w:rsidRPr="00E90164" w:rsidRDefault="00E90164" w:rsidP="00E90164">
            <w:pPr>
              <w:spacing w:after="0" w:line="240" w:lineRule="auto"/>
              <w:rPr>
                <w:rFonts w:ascii="Times New Roman" w:eastAsia="Times New Roman" w:hAnsi="Times New Roman" w:cs="Times New Roman"/>
                <w:color w:val="auto"/>
                <w:sz w:val="24"/>
                <w:szCs w:val="24"/>
                <w:lang w:eastAsia="en-AU"/>
              </w:rPr>
            </w:pPr>
          </w:p>
        </w:tc>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256769" w14:textId="1FB00DB8" w:rsidR="00E90164" w:rsidRPr="00E90164" w:rsidRDefault="00E90164" w:rsidP="00E90164">
            <w:pPr>
              <w:spacing w:line="256" w:lineRule="auto"/>
              <w:jc w:val="center"/>
              <w:rPr>
                <w:rFonts w:eastAsia="Times New Roman" w:cs="Arial"/>
                <w:color w:val="auto"/>
                <w:sz w:val="36"/>
                <w:szCs w:val="36"/>
                <w:lang w:eastAsia="en-AU"/>
              </w:rPr>
            </w:pPr>
            <w:r w:rsidRPr="00E90164">
              <w:rPr>
                <w:rFonts w:eastAsia="Arial" w:cs="Arial"/>
                <w:color w:val="000000"/>
                <w:kern w:val="24"/>
                <w:sz w:val="14"/>
                <w:szCs w:val="14"/>
                <w:lang w:eastAsia="en-AU"/>
              </w:rPr>
              <w:t>Employed in occupation after training</w:t>
            </w:r>
          </w:p>
        </w:tc>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2FCEFF9" w14:textId="1CE1CF81" w:rsidR="00E90164" w:rsidRPr="00E90164" w:rsidRDefault="00E90164" w:rsidP="00E90164">
            <w:pPr>
              <w:spacing w:line="256" w:lineRule="auto"/>
              <w:jc w:val="center"/>
              <w:rPr>
                <w:rFonts w:eastAsia="Times New Roman" w:cs="Arial"/>
                <w:color w:val="auto"/>
                <w:sz w:val="36"/>
                <w:szCs w:val="36"/>
                <w:lang w:eastAsia="en-AU"/>
              </w:rPr>
            </w:pPr>
            <w:r w:rsidRPr="00E90164">
              <w:rPr>
                <w:rFonts w:eastAsia="Arial" w:cs="Arial"/>
                <w:color w:val="000000"/>
                <w:kern w:val="24"/>
                <w:sz w:val="14"/>
                <w:szCs w:val="14"/>
                <w:lang w:eastAsia="en-AU"/>
              </w:rPr>
              <w:t>Employed in occupation before training</w:t>
            </w:r>
          </w:p>
        </w:tc>
      </w:tr>
      <w:tr w:rsidR="00E90164" w:rsidRPr="00E90164" w14:paraId="72E99A89" w14:textId="77777777" w:rsidTr="00E90164">
        <w:trPr>
          <w:trHeight w:val="276"/>
        </w:trPr>
        <w:tc>
          <w:tcPr>
            <w:tcW w:w="1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7C8798E" w14:textId="77777777" w:rsidR="00E90164" w:rsidRPr="00E90164" w:rsidRDefault="00E90164" w:rsidP="00E90164">
            <w:pPr>
              <w:spacing w:line="256" w:lineRule="auto"/>
              <w:rPr>
                <w:rFonts w:eastAsia="Times New Roman" w:cs="Arial"/>
                <w:color w:val="auto"/>
                <w:sz w:val="36"/>
                <w:szCs w:val="36"/>
                <w:lang w:eastAsia="en-AU"/>
              </w:rPr>
            </w:pPr>
            <w:r w:rsidRPr="00E90164">
              <w:rPr>
                <w:rFonts w:eastAsia="Arial" w:cs="Arial"/>
                <w:color w:val="000000"/>
                <w:kern w:val="24"/>
                <w:sz w:val="14"/>
                <w:szCs w:val="14"/>
                <w:lang w:eastAsia="en-AU"/>
              </w:rPr>
              <w:t>Vocational Education Teachers</w:t>
            </w:r>
          </w:p>
        </w:tc>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0EC027E" w14:textId="77777777" w:rsidR="00E90164" w:rsidRPr="00E90164" w:rsidRDefault="00E90164" w:rsidP="00E90164">
            <w:pPr>
              <w:spacing w:line="256" w:lineRule="auto"/>
              <w:jc w:val="center"/>
              <w:rPr>
                <w:rFonts w:eastAsia="Times New Roman" w:cs="Arial"/>
                <w:color w:val="auto"/>
                <w:sz w:val="36"/>
                <w:szCs w:val="36"/>
                <w:lang w:eastAsia="en-AU"/>
              </w:rPr>
            </w:pPr>
            <w:r w:rsidRPr="00E90164">
              <w:rPr>
                <w:rFonts w:eastAsia="Arial" w:cs="Arial"/>
                <w:color w:val="000000"/>
                <w:kern w:val="24"/>
                <w:sz w:val="14"/>
                <w:szCs w:val="14"/>
                <w:lang w:eastAsia="en-AU"/>
              </w:rPr>
              <w:t>19.9%</w:t>
            </w:r>
          </w:p>
        </w:tc>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92887AD" w14:textId="31A7BEB8" w:rsidR="00E90164" w:rsidRPr="00E90164" w:rsidRDefault="00E90164" w:rsidP="00E90164">
            <w:pPr>
              <w:spacing w:line="256" w:lineRule="auto"/>
              <w:jc w:val="center"/>
              <w:rPr>
                <w:rFonts w:eastAsia="Times New Roman" w:cs="Arial"/>
                <w:color w:val="auto"/>
                <w:sz w:val="36"/>
                <w:szCs w:val="36"/>
                <w:lang w:eastAsia="en-AU"/>
              </w:rPr>
            </w:pPr>
            <w:r w:rsidRPr="00E90164">
              <w:rPr>
                <w:rFonts w:eastAsia="Arial" w:cs="Arial"/>
                <w:color w:val="000000"/>
                <w:kern w:val="24"/>
                <w:sz w:val="14"/>
                <w:szCs w:val="14"/>
                <w:lang w:eastAsia="en-AU"/>
              </w:rPr>
              <w:t>8.8%</w:t>
            </w:r>
          </w:p>
        </w:tc>
      </w:tr>
      <w:tr w:rsidR="00E90164" w:rsidRPr="00E90164" w14:paraId="60B7F396" w14:textId="77777777" w:rsidTr="00E90164">
        <w:trPr>
          <w:trHeight w:val="276"/>
        </w:trPr>
        <w:tc>
          <w:tcPr>
            <w:tcW w:w="1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6DA7DCC" w14:textId="77777777" w:rsidR="00E90164" w:rsidRPr="00E90164" w:rsidRDefault="00E90164" w:rsidP="00E90164">
            <w:pPr>
              <w:spacing w:line="256" w:lineRule="auto"/>
              <w:rPr>
                <w:rFonts w:eastAsia="Times New Roman" w:cs="Arial"/>
                <w:color w:val="auto"/>
                <w:sz w:val="36"/>
                <w:szCs w:val="36"/>
                <w:lang w:eastAsia="en-AU"/>
              </w:rPr>
            </w:pPr>
            <w:r w:rsidRPr="00E90164">
              <w:rPr>
                <w:rFonts w:eastAsia="Arial" w:cs="Arial"/>
                <w:color w:val="000000"/>
                <w:kern w:val="24"/>
                <w:sz w:val="14"/>
                <w:szCs w:val="14"/>
                <w:lang w:eastAsia="en-AU"/>
              </w:rPr>
              <w:t>Secondary School Teachers</w:t>
            </w:r>
          </w:p>
        </w:tc>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718B0B0" w14:textId="77777777" w:rsidR="00E90164" w:rsidRPr="00E90164" w:rsidRDefault="00E90164" w:rsidP="00E90164">
            <w:pPr>
              <w:spacing w:line="256" w:lineRule="auto"/>
              <w:jc w:val="center"/>
              <w:rPr>
                <w:rFonts w:eastAsia="Times New Roman" w:cs="Arial"/>
                <w:color w:val="auto"/>
                <w:sz w:val="36"/>
                <w:szCs w:val="36"/>
                <w:lang w:eastAsia="en-AU"/>
              </w:rPr>
            </w:pPr>
            <w:r w:rsidRPr="00E90164">
              <w:rPr>
                <w:rFonts w:eastAsia="Arial" w:cs="Arial"/>
                <w:color w:val="000000"/>
                <w:kern w:val="24"/>
                <w:sz w:val="14"/>
                <w:szCs w:val="14"/>
                <w:lang w:eastAsia="en-AU"/>
              </w:rPr>
              <w:t>8.3%</w:t>
            </w:r>
          </w:p>
        </w:tc>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93EFE8B" w14:textId="4624D92A" w:rsidR="00E90164" w:rsidRPr="00E90164" w:rsidRDefault="00E90164" w:rsidP="00E90164">
            <w:pPr>
              <w:spacing w:line="256" w:lineRule="auto"/>
              <w:jc w:val="center"/>
              <w:rPr>
                <w:rFonts w:eastAsia="Times New Roman" w:cs="Arial"/>
                <w:color w:val="auto"/>
                <w:sz w:val="36"/>
                <w:szCs w:val="36"/>
                <w:lang w:eastAsia="en-AU"/>
              </w:rPr>
            </w:pPr>
            <w:r w:rsidRPr="00E90164">
              <w:rPr>
                <w:rFonts w:eastAsia="Arial" w:cs="Arial"/>
                <w:color w:val="000000"/>
                <w:kern w:val="24"/>
                <w:sz w:val="14"/>
                <w:szCs w:val="14"/>
                <w:lang w:eastAsia="en-AU"/>
              </w:rPr>
              <w:t>8.4%</w:t>
            </w:r>
          </w:p>
        </w:tc>
      </w:tr>
      <w:tr w:rsidR="00E90164" w:rsidRPr="00E90164" w14:paraId="1D48F939" w14:textId="77777777" w:rsidTr="00E90164">
        <w:trPr>
          <w:trHeight w:val="276"/>
        </w:trPr>
        <w:tc>
          <w:tcPr>
            <w:tcW w:w="1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C089A36" w14:textId="77777777" w:rsidR="00E90164" w:rsidRPr="00E90164" w:rsidRDefault="00E90164" w:rsidP="00E90164">
            <w:pPr>
              <w:spacing w:line="256" w:lineRule="auto"/>
              <w:rPr>
                <w:rFonts w:eastAsia="Times New Roman" w:cs="Arial"/>
                <w:color w:val="auto"/>
                <w:sz w:val="36"/>
                <w:szCs w:val="36"/>
                <w:lang w:eastAsia="en-AU"/>
              </w:rPr>
            </w:pPr>
            <w:r w:rsidRPr="00E90164">
              <w:rPr>
                <w:rFonts w:eastAsia="Arial" w:cs="Arial"/>
                <w:color w:val="000000"/>
                <w:kern w:val="24"/>
                <w:sz w:val="14"/>
                <w:szCs w:val="14"/>
                <w:lang w:eastAsia="en-AU"/>
              </w:rPr>
              <w:t>Training and Development Professionals</w:t>
            </w:r>
          </w:p>
        </w:tc>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10BF7E" w14:textId="77777777" w:rsidR="00E90164" w:rsidRPr="00E90164" w:rsidRDefault="00E90164" w:rsidP="00E90164">
            <w:pPr>
              <w:spacing w:line="256" w:lineRule="auto"/>
              <w:jc w:val="center"/>
              <w:rPr>
                <w:rFonts w:eastAsia="Times New Roman" w:cs="Arial"/>
                <w:color w:val="auto"/>
                <w:sz w:val="36"/>
                <w:szCs w:val="36"/>
                <w:lang w:eastAsia="en-AU"/>
              </w:rPr>
            </w:pPr>
            <w:r w:rsidRPr="00E90164">
              <w:rPr>
                <w:rFonts w:eastAsia="Arial" w:cs="Arial"/>
                <w:color w:val="000000"/>
                <w:kern w:val="24"/>
                <w:sz w:val="14"/>
                <w:szCs w:val="14"/>
                <w:lang w:eastAsia="en-AU"/>
              </w:rPr>
              <w:t>5.1%</w:t>
            </w:r>
          </w:p>
        </w:tc>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A8F0F41" w14:textId="0F403A52" w:rsidR="00E90164" w:rsidRPr="00E90164" w:rsidRDefault="00E90164" w:rsidP="00E90164">
            <w:pPr>
              <w:spacing w:line="256" w:lineRule="auto"/>
              <w:jc w:val="center"/>
              <w:rPr>
                <w:rFonts w:eastAsia="Times New Roman" w:cs="Arial"/>
                <w:color w:val="auto"/>
                <w:sz w:val="36"/>
                <w:szCs w:val="36"/>
                <w:lang w:eastAsia="en-AU"/>
              </w:rPr>
            </w:pPr>
            <w:r w:rsidRPr="00E90164">
              <w:rPr>
                <w:rFonts w:eastAsia="Arial" w:cs="Arial"/>
                <w:color w:val="000000"/>
                <w:kern w:val="24"/>
                <w:sz w:val="14"/>
                <w:szCs w:val="14"/>
                <w:lang w:eastAsia="en-AU"/>
              </w:rPr>
              <w:t>4.1%</w:t>
            </w:r>
          </w:p>
        </w:tc>
      </w:tr>
      <w:tr w:rsidR="00E90164" w:rsidRPr="00E90164" w14:paraId="60290488" w14:textId="77777777" w:rsidTr="00E90164">
        <w:trPr>
          <w:trHeight w:val="276"/>
        </w:trPr>
        <w:tc>
          <w:tcPr>
            <w:tcW w:w="1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38DB38F" w14:textId="77777777" w:rsidR="00E90164" w:rsidRPr="00E90164" w:rsidRDefault="00E90164" w:rsidP="00E90164">
            <w:pPr>
              <w:spacing w:line="256" w:lineRule="auto"/>
              <w:rPr>
                <w:rFonts w:eastAsia="Times New Roman" w:cs="Arial"/>
                <w:color w:val="auto"/>
                <w:sz w:val="36"/>
                <w:szCs w:val="36"/>
                <w:lang w:eastAsia="en-AU"/>
              </w:rPr>
            </w:pPr>
            <w:r w:rsidRPr="00E90164">
              <w:rPr>
                <w:rFonts w:eastAsia="Arial" w:cs="Arial"/>
                <w:color w:val="000000"/>
                <w:kern w:val="24"/>
                <w:sz w:val="14"/>
                <w:szCs w:val="14"/>
                <w:lang w:eastAsia="en-AU"/>
              </w:rPr>
              <w:t>Registered Nurses</w:t>
            </w:r>
          </w:p>
        </w:tc>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E2E431A" w14:textId="77777777" w:rsidR="00E90164" w:rsidRPr="00E90164" w:rsidRDefault="00E90164" w:rsidP="00E90164">
            <w:pPr>
              <w:spacing w:line="256" w:lineRule="auto"/>
              <w:jc w:val="center"/>
              <w:rPr>
                <w:rFonts w:eastAsia="Times New Roman" w:cs="Arial"/>
                <w:color w:val="auto"/>
                <w:sz w:val="36"/>
                <w:szCs w:val="36"/>
                <w:lang w:eastAsia="en-AU"/>
              </w:rPr>
            </w:pPr>
            <w:r w:rsidRPr="00E90164">
              <w:rPr>
                <w:rFonts w:eastAsia="Arial" w:cs="Arial"/>
                <w:color w:val="000000"/>
                <w:kern w:val="24"/>
                <w:sz w:val="14"/>
                <w:szCs w:val="14"/>
                <w:lang w:eastAsia="en-AU"/>
              </w:rPr>
              <w:t>3.4%</w:t>
            </w:r>
          </w:p>
        </w:tc>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FD1013C" w14:textId="1DA460C4" w:rsidR="00E90164" w:rsidRPr="00E90164" w:rsidRDefault="00E90164" w:rsidP="00E90164">
            <w:pPr>
              <w:spacing w:line="256" w:lineRule="auto"/>
              <w:jc w:val="center"/>
              <w:rPr>
                <w:rFonts w:eastAsia="Times New Roman" w:cs="Arial"/>
                <w:color w:val="auto"/>
                <w:sz w:val="36"/>
                <w:szCs w:val="36"/>
                <w:lang w:eastAsia="en-AU"/>
              </w:rPr>
            </w:pPr>
            <w:r w:rsidRPr="00E90164">
              <w:rPr>
                <w:rFonts w:eastAsia="Arial" w:cs="Arial"/>
                <w:color w:val="000000"/>
                <w:kern w:val="24"/>
                <w:sz w:val="14"/>
                <w:szCs w:val="14"/>
                <w:lang w:eastAsia="en-AU"/>
              </w:rPr>
              <w:t>4.7%</w:t>
            </w:r>
          </w:p>
        </w:tc>
      </w:tr>
      <w:tr w:rsidR="00E90164" w:rsidRPr="00E90164" w14:paraId="44A9C1E0" w14:textId="77777777" w:rsidTr="00E90164">
        <w:trPr>
          <w:trHeight w:val="276"/>
        </w:trPr>
        <w:tc>
          <w:tcPr>
            <w:tcW w:w="1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09FB5EB" w14:textId="77777777" w:rsidR="00E90164" w:rsidRPr="00E90164" w:rsidRDefault="00E90164" w:rsidP="00E90164">
            <w:pPr>
              <w:spacing w:line="256" w:lineRule="auto"/>
              <w:rPr>
                <w:rFonts w:eastAsia="Times New Roman" w:cs="Arial"/>
                <w:color w:val="auto"/>
                <w:sz w:val="36"/>
                <w:szCs w:val="36"/>
                <w:lang w:eastAsia="en-AU"/>
              </w:rPr>
            </w:pPr>
            <w:r w:rsidRPr="00E90164">
              <w:rPr>
                <w:rFonts w:eastAsia="Arial" w:cs="Arial"/>
                <w:color w:val="000000"/>
                <w:kern w:val="24"/>
                <w:sz w:val="14"/>
                <w:szCs w:val="14"/>
                <w:lang w:eastAsia="en-AU"/>
              </w:rPr>
              <w:t>Contract, Program and Project Administrators</w:t>
            </w:r>
          </w:p>
        </w:tc>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A12AA0D" w14:textId="77777777" w:rsidR="00E90164" w:rsidRPr="00E90164" w:rsidRDefault="00E90164" w:rsidP="00E90164">
            <w:pPr>
              <w:spacing w:line="256" w:lineRule="auto"/>
              <w:jc w:val="center"/>
              <w:rPr>
                <w:rFonts w:eastAsia="Times New Roman" w:cs="Arial"/>
                <w:color w:val="auto"/>
                <w:sz w:val="36"/>
                <w:szCs w:val="36"/>
                <w:lang w:eastAsia="en-AU"/>
              </w:rPr>
            </w:pPr>
            <w:r w:rsidRPr="00E90164">
              <w:rPr>
                <w:rFonts w:eastAsia="Arial" w:cs="Arial"/>
                <w:color w:val="000000"/>
                <w:kern w:val="24"/>
                <w:sz w:val="14"/>
                <w:szCs w:val="14"/>
                <w:lang w:eastAsia="en-AU"/>
              </w:rPr>
              <w:t>2.8%</w:t>
            </w:r>
          </w:p>
        </w:tc>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912789C" w14:textId="40F227BF" w:rsidR="00E90164" w:rsidRPr="00E90164" w:rsidRDefault="00E90164" w:rsidP="00E90164">
            <w:pPr>
              <w:spacing w:line="256" w:lineRule="auto"/>
              <w:jc w:val="center"/>
              <w:rPr>
                <w:rFonts w:eastAsia="Times New Roman" w:cs="Arial"/>
                <w:color w:val="auto"/>
                <w:sz w:val="36"/>
                <w:szCs w:val="36"/>
                <w:lang w:eastAsia="en-AU"/>
              </w:rPr>
            </w:pPr>
            <w:r w:rsidRPr="00E90164">
              <w:rPr>
                <w:rFonts w:eastAsia="Arial" w:cs="Arial"/>
                <w:color w:val="000000"/>
                <w:kern w:val="24"/>
                <w:sz w:val="14"/>
                <w:szCs w:val="14"/>
                <w:lang w:eastAsia="en-AU"/>
              </w:rPr>
              <w:t>2.2%</w:t>
            </w:r>
          </w:p>
        </w:tc>
      </w:tr>
    </w:tbl>
    <w:p w14:paraId="4FBF438B" w14:textId="3FFC54BD" w:rsidR="00E90164" w:rsidRDefault="00E90164" w:rsidP="00E90164">
      <w:pPr>
        <w:rPr>
          <w:lang w:val="en-US"/>
        </w:rPr>
      </w:pPr>
    </w:p>
    <w:p w14:paraId="6FD807C4" w14:textId="2D866294" w:rsidR="00386683" w:rsidRDefault="00386683" w:rsidP="00386683"/>
    <w:p w14:paraId="4DAECF81" w14:textId="7602615C" w:rsidR="00386683" w:rsidRDefault="00A31876" w:rsidP="008B2387">
      <w:pPr>
        <w:pStyle w:val="Source"/>
      </w:pPr>
      <w:r>
        <w:br/>
      </w:r>
      <w:r w:rsidR="00386683" w:rsidRPr="008E2EB2">
        <w:t>Source: National Student Outcomes Survey (NCVER 2022)</w:t>
      </w:r>
    </w:p>
    <w:p w14:paraId="167C7812" w14:textId="77777777" w:rsidR="00A31876" w:rsidRPr="00A31876" w:rsidRDefault="00A31876" w:rsidP="00A31876"/>
    <w:p w14:paraId="3E12E1C8" w14:textId="7AEEBF8C" w:rsidR="00386683" w:rsidRDefault="007B5889" w:rsidP="002F75DD">
      <w:pPr>
        <w:pStyle w:val="ChartandTablelabel"/>
      </w:pPr>
      <w:bookmarkStart w:id="208" w:name="Figure_4_7"/>
      <w:r>
        <w:rPr>
          <w:noProof/>
        </w:rPr>
        <w:drawing>
          <wp:anchor distT="0" distB="0" distL="114300" distR="114300" simplePos="0" relativeHeight="251658259" behindDoc="0" locked="0" layoutInCell="1" allowOverlap="1" wp14:anchorId="739EF7E4" wp14:editId="74708DA5">
            <wp:simplePos x="0" y="0"/>
            <wp:positionH relativeFrom="column">
              <wp:posOffset>3193</wp:posOffset>
            </wp:positionH>
            <wp:positionV relativeFrom="paragraph">
              <wp:posOffset>446783</wp:posOffset>
            </wp:positionV>
            <wp:extent cx="5721216" cy="3888000"/>
            <wp:effectExtent l="19050" t="19050" r="13335" b="17780"/>
            <wp:wrapNone/>
            <wp:docPr id="172837098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370985" name="Picture 5">
                      <a:extLst>
                        <a:ext uri="{C183D7F6-B498-43B3-948B-1728B52AA6E4}">
                          <adec:decorative xmlns:adec="http://schemas.microsoft.com/office/drawing/2017/decorative" val="1"/>
                        </a:ext>
                      </a:extLst>
                    </pic:cNvPr>
                    <pic:cNvPicPr/>
                  </pic:nvPicPr>
                  <pic:blipFill rotWithShape="1">
                    <a:blip r:embed="rId65" cstate="print">
                      <a:extLst>
                        <a:ext uri="{28A0092B-C50C-407E-A947-70E740481C1C}">
                          <a14:useLocalDpi xmlns:a14="http://schemas.microsoft.com/office/drawing/2010/main" val="0"/>
                        </a:ext>
                      </a:extLst>
                    </a:blip>
                    <a:srcRect l="-1" t="-1203" r="-5124" b="-3133"/>
                    <a:stretch/>
                  </pic:blipFill>
                  <pic:spPr bwMode="auto">
                    <a:xfrm>
                      <a:off x="0" y="0"/>
                      <a:ext cx="5721216" cy="3888000"/>
                    </a:xfrm>
                    <a:prstGeom prst="rect">
                      <a:avLst/>
                    </a:prstGeom>
                    <a:solidFill>
                      <a:schemeClr val="bg1"/>
                    </a:solidFill>
                    <a:ln w="635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6683">
        <w:t xml:space="preserve">Figure </w:t>
      </w:r>
      <w:r w:rsidR="006558DC">
        <w:fldChar w:fldCharType="begin"/>
      </w:r>
      <w:r w:rsidR="006558DC">
        <w:instrText xml:space="preserve"> STYLEREF 1 \s </w:instrText>
      </w:r>
      <w:r w:rsidR="006558DC">
        <w:fldChar w:fldCharType="separate"/>
      </w:r>
      <w:r w:rsidR="00E7704E">
        <w:rPr>
          <w:noProof/>
        </w:rPr>
        <w:t>4</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7</w:t>
      </w:r>
      <w:r w:rsidR="006558DC">
        <w:fldChar w:fldCharType="end"/>
      </w:r>
      <w:r w:rsidR="00386683">
        <w:t xml:space="preserve"> </w:t>
      </w:r>
      <w:r w:rsidR="00386683" w:rsidRPr="001B7025">
        <w:t xml:space="preserve">Industry of employment for Certificate IV in Training and Assessment qualification graduates after training (of those employed), 2022 </w:t>
      </w:r>
    </w:p>
    <w:tbl>
      <w:tblPr>
        <w:tblStyle w:val="TableGrid"/>
        <w:tblW w:w="6480" w:type="dxa"/>
        <w:tblLook w:val="04A0" w:firstRow="1" w:lastRow="0" w:firstColumn="1" w:lastColumn="0" w:noHBand="0" w:noVBand="1"/>
        <w:tblCaption w:val="Figure 4.7 Industry of employment for Certificate IV in Training and Assessment qualification graduates after training (of those employed), 2022 "/>
      </w:tblPr>
      <w:tblGrid>
        <w:gridCol w:w="5040"/>
        <w:gridCol w:w="1440"/>
      </w:tblGrid>
      <w:tr w:rsidR="00333CFF" w:rsidRPr="00333CFF" w14:paraId="0A590FD3" w14:textId="77777777" w:rsidTr="00333CFF">
        <w:trPr>
          <w:cnfStyle w:val="100000000000" w:firstRow="1" w:lastRow="0" w:firstColumn="0" w:lastColumn="0" w:oddVBand="0" w:evenVBand="0" w:oddHBand="0" w:evenHBand="0" w:firstRowFirstColumn="0" w:firstRowLastColumn="0" w:lastRowFirstColumn="0" w:lastRowLastColumn="0"/>
          <w:trHeight w:val="276"/>
        </w:trPr>
        <w:tc>
          <w:tcPr>
            <w:tcW w:w="5040" w:type="dxa"/>
            <w:noWrap/>
            <w:hideMark/>
          </w:tcPr>
          <w:bookmarkEnd w:id="208"/>
          <w:p w14:paraId="17094CB5" w14:textId="708D4F7C"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Education and training</w:t>
            </w:r>
          </w:p>
        </w:tc>
        <w:tc>
          <w:tcPr>
            <w:tcW w:w="1440" w:type="dxa"/>
            <w:noWrap/>
            <w:hideMark/>
          </w:tcPr>
          <w:p w14:paraId="5AD07659" w14:textId="71A4EADC"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42.2%</w:t>
            </w:r>
          </w:p>
        </w:tc>
      </w:tr>
      <w:tr w:rsidR="00333CFF" w:rsidRPr="00333CFF" w14:paraId="23CFC6EC" w14:textId="77777777" w:rsidTr="00333CFF">
        <w:trPr>
          <w:trHeight w:val="276"/>
        </w:trPr>
        <w:tc>
          <w:tcPr>
            <w:tcW w:w="5040" w:type="dxa"/>
            <w:noWrap/>
            <w:hideMark/>
          </w:tcPr>
          <w:p w14:paraId="15C0BCD0" w14:textId="3F878026"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Health care and social assistance</w:t>
            </w:r>
          </w:p>
        </w:tc>
        <w:tc>
          <w:tcPr>
            <w:tcW w:w="1440" w:type="dxa"/>
            <w:noWrap/>
            <w:hideMark/>
          </w:tcPr>
          <w:p w14:paraId="1E184305" w14:textId="19CCBDB5"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17.0%</w:t>
            </w:r>
          </w:p>
        </w:tc>
      </w:tr>
      <w:tr w:rsidR="00333CFF" w:rsidRPr="00333CFF" w14:paraId="0AADADF2" w14:textId="77777777" w:rsidTr="00333CFF">
        <w:trPr>
          <w:trHeight w:val="276"/>
        </w:trPr>
        <w:tc>
          <w:tcPr>
            <w:tcW w:w="5040" w:type="dxa"/>
            <w:noWrap/>
            <w:hideMark/>
          </w:tcPr>
          <w:p w14:paraId="750F16BC" w14:textId="77777777"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Public administration and safety</w:t>
            </w:r>
          </w:p>
        </w:tc>
        <w:tc>
          <w:tcPr>
            <w:tcW w:w="1440" w:type="dxa"/>
            <w:noWrap/>
            <w:hideMark/>
          </w:tcPr>
          <w:p w14:paraId="5EE823AE" w14:textId="77777777"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9.1%</w:t>
            </w:r>
          </w:p>
        </w:tc>
      </w:tr>
      <w:tr w:rsidR="00333CFF" w:rsidRPr="00333CFF" w14:paraId="39CBF29F" w14:textId="77777777" w:rsidTr="00333CFF">
        <w:trPr>
          <w:trHeight w:val="276"/>
        </w:trPr>
        <w:tc>
          <w:tcPr>
            <w:tcW w:w="5040" w:type="dxa"/>
            <w:noWrap/>
            <w:hideMark/>
          </w:tcPr>
          <w:p w14:paraId="43F6C753" w14:textId="77777777"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Mining</w:t>
            </w:r>
          </w:p>
        </w:tc>
        <w:tc>
          <w:tcPr>
            <w:tcW w:w="1440" w:type="dxa"/>
            <w:noWrap/>
            <w:hideMark/>
          </w:tcPr>
          <w:p w14:paraId="6D498DA5" w14:textId="77777777"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5.5%</w:t>
            </w:r>
          </w:p>
        </w:tc>
      </w:tr>
      <w:tr w:rsidR="00333CFF" w:rsidRPr="00333CFF" w14:paraId="5986B1E7" w14:textId="77777777" w:rsidTr="00333CFF">
        <w:trPr>
          <w:trHeight w:val="276"/>
        </w:trPr>
        <w:tc>
          <w:tcPr>
            <w:tcW w:w="5040" w:type="dxa"/>
            <w:noWrap/>
            <w:hideMark/>
          </w:tcPr>
          <w:p w14:paraId="60278504" w14:textId="76677B36"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Transport, postal and warehousing</w:t>
            </w:r>
          </w:p>
        </w:tc>
        <w:tc>
          <w:tcPr>
            <w:tcW w:w="1440" w:type="dxa"/>
            <w:noWrap/>
            <w:hideMark/>
          </w:tcPr>
          <w:p w14:paraId="6726E0B0" w14:textId="77777777"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4.1%</w:t>
            </w:r>
          </w:p>
        </w:tc>
      </w:tr>
      <w:tr w:rsidR="00333CFF" w:rsidRPr="00333CFF" w14:paraId="76F395C6" w14:textId="77777777" w:rsidTr="00333CFF">
        <w:trPr>
          <w:trHeight w:val="276"/>
        </w:trPr>
        <w:tc>
          <w:tcPr>
            <w:tcW w:w="5040" w:type="dxa"/>
            <w:noWrap/>
            <w:hideMark/>
          </w:tcPr>
          <w:p w14:paraId="1F63CF53" w14:textId="649D9973"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Construction</w:t>
            </w:r>
          </w:p>
        </w:tc>
        <w:tc>
          <w:tcPr>
            <w:tcW w:w="1440" w:type="dxa"/>
            <w:noWrap/>
            <w:hideMark/>
          </w:tcPr>
          <w:p w14:paraId="531565EA" w14:textId="77777777"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3.6%</w:t>
            </w:r>
          </w:p>
        </w:tc>
      </w:tr>
      <w:tr w:rsidR="00333CFF" w:rsidRPr="00333CFF" w14:paraId="0F694E5D" w14:textId="77777777" w:rsidTr="00333CFF">
        <w:trPr>
          <w:trHeight w:val="276"/>
        </w:trPr>
        <w:tc>
          <w:tcPr>
            <w:tcW w:w="5040" w:type="dxa"/>
            <w:noWrap/>
            <w:hideMark/>
          </w:tcPr>
          <w:p w14:paraId="79C5CFFA" w14:textId="356D4F46"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Professional, scientific and technical services</w:t>
            </w:r>
          </w:p>
        </w:tc>
        <w:tc>
          <w:tcPr>
            <w:tcW w:w="1440" w:type="dxa"/>
            <w:noWrap/>
            <w:hideMark/>
          </w:tcPr>
          <w:p w14:paraId="34C89E2F" w14:textId="77777777"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3.3%</w:t>
            </w:r>
          </w:p>
        </w:tc>
      </w:tr>
      <w:tr w:rsidR="00333CFF" w:rsidRPr="00333CFF" w14:paraId="3456EB80" w14:textId="77777777" w:rsidTr="00333CFF">
        <w:trPr>
          <w:trHeight w:val="276"/>
        </w:trPr>
        <w:tc>
          <w:tcPr>
            <w:tcW w:w="5040" w:type="dxa"/>
            <w:noWrap/>
            <w:hideMark/>
          </w:tcPr>
          <w:p w14:paraId="55EFFEBB" w14:textId="662784F0"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Other services</w:t>
            </w:r>
          </w:p>
        </w:tc>
        <w:tc>
          <w:tcPr>
            <w:tcW w:w="1440" w:type="dxa"/>
            <w:noWrap/>
            <w:hideMark/>
          </w:tcPr>
          <w:p w14:paraId="730C2791" w14:textId="432F3B13"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2.8%</w:t>
            </w:r>
          </w:p>
        </w:tc>
      </w:tr>
      <w:tr w:rsidR="00333CFF" w:rsidRPr="00333CFF" w14:paraId="17D2D3FC" w14:textId="77777777" w:rsidTr="00333CFF">
        <w:trPr>
          <w:trHeight w:val="276"/>
        </w:trPr>
        <w:tc>
          <w:tcPr>
            <w:tcW w:w="5040" w:type="dxa"/>
            <w:noWrap/>
            <w:hideMark/>
          </w:tcPr>
          <w:p w14:paraId="059550DD" w14:textId="7355DD6D"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Manufacturing</w:t>
            </w:r>
          </w:p>
        </w:tc>
        <w:tc>
          <w:tcPr>
            <w:tcW w:w="1440" w:type="dxa"/>
            <w:noWrap/>
            <w:hideMark/>
          </w:tcPr>
          <w:p w14:paraId="4C4BED13" w14:textId="790C4E60"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2.7%</w:t>
            </w:r>
          </w:p>
        </w:tc>
      </w:tr>
      <w:tr w:rsidR="00333CFF" w:rsidRPr="00333CFF" w14:paraId="3CDC1C9E" w14:textId="77777777" w:rsidTr="00333CFF">
        <w:trPr>
          <w:trHeight w:val="276"/>
        </w:trPr>
        <w:tc>
          <w:tcPr>
            <w:tcW w:w="5040" w:type="dxa"/>
            <w:noWrap/>
            <w:hideMark/>
          </w:tcPr>
          <w:p w14:paraId="0E1B3B79" w14:textId="10C54E0E"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Accommodation and food services</w:t>
            </w:r>
          </w:p>
        </w:tc>
        <w:tc>
          <w:tcPr>
            <w:tcW w:w="1440" w:type="dxa"/>
            <w:noWrap/>
            <w:hideMark/>
          </w:tcPr>
          <w:p w14:paraId="45C54B07" w14:textId="28163CAA"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2.1%</w:t>
            </w:r>
          </w:p>
        </w:tc>
      </w:tr>
      <w:tr w:rsidR="00333CFF" w:rsidRPr="00333CFF" w14:paraId="6993DECA" w14:textId="77777777" w:rsidTr="00333CFF">
        <w:trPr>
          <w:trHeight w:val="276"/>
        </w:trPr>
        <w:tc>
          <w:tcPr>
            <w:tcW w:w="5040" w:type="dxa"/>
            <w:noWrap/>
            <w:hideMark/>
          </w:tcPr>
          <w:p w14:paraId="6342A167" w14:textId="77777777"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Administrative and support services</w:t>
            </w:r>
          </w:p>
        </w:tc>
        <w:tc>
          <w:tcPr>
            <w:tcW w:w="1440" w:type="dxa"/>
            <w:noWrap/>
            <w:hideMark/>
          </w:tcPr>
          <w:p w14:paraId="0E36DB9D" w14:textId="77777777"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1.4%</w:t>
            </w:r>
          </w:p>
        </w:tc>
      </w:tr>
      <w:tr w:rsidR="00333CFF" w:rsidRPr="00333CFF" w14:paraId="3F207CBF" w14:textId="77777777" w:rsidTr="00333CFF">
        <w:trPr>
          <w:trHeight w:val="276"/>
        </w:trPr>
        <w:tc>
          <w:tcPr>
            <w:tcW w:w="5040" w:type="dxa"/>
            <w:noWrap/>
            <w:hideMark/>
          </w:tcPr>
          <w:p w14:paraId="68D6D388" w14:textId="77777777"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Retail trade</w:t>
            </w:r>
          </w:p>
        </w:tc>
        <w:tc>
          <w:tcPr>
            <w:tcW w:w="1440" w:type="dxa"/>
            <w:noWrap/>
            <w:hideMark/>
          </w:tcPr>
          <w:p w14:paraId="147DF4AE" w14:textId="77777777"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1.3%</w:t>
            </w:r>
          </w:p>
        </w:tc>
      </w:tr>
      <w:tr w:rsidR="00333CFF" w:rsidRPr="00333CFF" w14:paraId="2F1051E8" w14:textId="77777777" w:rsidTr="00333CFF">
        <w:trPr>
          <w:trHeight w:val="276"/>
        </w:trPr>
        <w:tc>
          <w:tcPr>
            <w:tcW w:w="5040" w:type="dxa"/>
            <w:noWrap/>
            <w:hideMark/>
          </w:tcPr>
          <w:p w14:paraId="5C5E7471" w14:textId="10C636CE"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Financial and insurance services</w:t>
            </w:r>
          </w:p>
        </w:tc>
        <w:tc>
          <w:tcPr>
            <w:tcW w:w="1440" w:type="dxa"/>
            <w:noWrap/>
            <w:hideMark/>
          </w:tcPr>
          <w:p w14:paraId="2EA5F0B6" w14:textId="77777777"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1.1%</w:t>
            </w:r>
          </w:p>
        </w:tc>
      </w:tr>
      <w:tr w:rsidR="00333CFF" w:rsidRPr="00333CFF" w14:paraId="38A558A8" w14:textId="77777777" w:rsidTr="00333CFF">
        <w:trPr>
          <w:trHeight w:val="276"/>
        </w:trPr>
        <w:tc>
          <w:tcPr>
            <w:tcW w:w="5040" w:type="dxa"/>
            <w:noWrap/>
            <w:hideMark/>
          </w:tcPr>
          <w:p w14:paraId="2022F851" w14:textId="00196735"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Arts and recreational services</w:t>
            </w:r>
          </w:p>
        </w:tc>
        <w:tc>
          <w:tcPr>
            <w:tcW w:w="1440" w:type="dxa"/>
            <w:noWrap/>
            <w:hideMark/>
          </w:tcPr>
          <w:p w14:paraId="789CF664" w14:textId="77777777"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1.1%</w:t>
            </w:r>
          </w:p>
        </w:tc>
      </w:tr>
      <w:tr w:rsidR="00333CFF" w:rsidRPr="00333CFF" w14:paraId="28533EF8" w14:textId="77777777" w:rsidTr="00333CFF">
        <w:trPr>
          <w:trHeight w:val="276"/>
        </w:trPr>
        <w:tc>
          <w:tcPr>
            <w:tcW w:w="5040" w:type="dxa"/>
            <w:noWrap/>
            <w:hideMark/>
          </w:tcPr>
          <w:p w14:paraId="3A470876" w14:textId="77777777"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Electricity, gas, water and waste services</w:t>
            </w:r>
          </w:p>
        </w:tc>
        <w:tc>
          <w:tcPr>
            <w:tcW w:w="1440" w:type="dxa"/>
            <w:noWrap/>
            <w:hideMark/>
          </w:tcPr>
          <w:p w14:paraId="521C7221" w14:textId="77777777"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1.0%</w:t>
            </w:r>
          </w:p>
        </w:tc>
      </w:tr>
      <w:tr w:rsidR="00333CFF" w:rsidRPr="00333CFF" w14:paraId="01F5217B" w14:textId="77777777" w:rsidTr="00333CFF">
        <w:trPr>
          <w:trHeight w:val="276"/>
        </w:trPr>
        <w:tc>
          <w:tcPr>
            <w:tcW w:w="5040" w:type="dxa"/>
            <w:noWrap/>
            <w:hideMark/>
          </w:tcPr>
          <w:p w14:paraId="1CA387EA" w14:textId="0357E8DC"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Information media and telecommunications</w:t>
            </w:r>
          </w:p>
        </w:tc>
        <w:tc>
          <w:tcPr>
            <w:tcW w:w="1440" w:type="dxa"/>
            <w:noWrap/>
            <w:hideMark/>
          </w:tcPr>
          <w:p w14:paraId="48A1CAFD" w14:textId="77777777"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0.8%</w:t>
            </w:r>
          </w:p>
        </w:tc>
      </w:tr>
      <w:tr w:rsidR="00333CFF" w:rsidRPr="00333CFF" w14:paraId="46B733CC" w14:textId="77777777" w:rsidTr="00333CFF">
        <w:trPr>
          <w:trHeight w:val="276"/>
        </w:trPr>
        <w:tc>
          <w:tcPr>
            <w:tcW w:w="5040" w:type="dxa"/>
            <w:noWrap/>
            <w:hideMark/>
          </w:tcPr>
          <w:p w14:paraId="34122FCB" w14:textId="01741A5E"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Agriculture, forestry and fishing</w:t>
            </w:r>
          </w:p>
        </w:tc>
        <w:tc>
          <w:tcPr>
            <w:tcW w:w="1440" w:type="dxa"/>
            <w:noWrap/>
            <w:hideMark/>
          </w:tcPr>
          <w:p w14:paraId="38C05CDC" w14:textId="77777777"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0.4%</w:t>
            </w:r>
          </w:p>
        </w:tc>
      </w:tr>
      <w:tr w:rsidR="00333CFF" w:rsidRPr="00333CFF" w14:paraId="35151D71" w14:textId="77777777" w:rsidTr="00333CFF">
        <w:trPr>
          <w:trHeight w:val="276"/>
        </w:trPr>
        <w:tc>
          <w:tcPr>
            <w:tcW w:w="5040" w:type="dxa"/>
            <w:noWrap/>
            <w:hideMark/>
          </w:tcPr>
          <w:p w14:paraId="7D4AE4B5" w14:textId="7D1D7BB0"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Rental hiring and real estate services</w:t>
            </w:r>
          </w:p>
        </w:tc>
        <w:tc>
          <w:tcPr>
            <w:tcW w:w="1440" w:type="dxa"/>
            <w:noWrap/>
            <w:hideMark/>
          </w:tcPr>
          <w:p w14:paraId="3D34FE86" w14:textId="77777777"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0.3%</w:t>
            </w:r>
          </w:p>
        </w:tc>
      </w:tr>
      <w:tr w:rsidR="00333CFF" w:rsidRPr="00333CFF" w14:paraId="7E6DABBE" w14:textId="77777777" w:rsidTr="00333CFF">
        <w:trPr>
          <w:trHeight w:val="276"/>
        </w:trPr>
        <w:tc>
          <w:tcPr>
            <w:tcW w:w="5040" w:type="dxa"/>
            <w:noWrap/>
            <w:hideMark/>
          </w:tcPr>
          <w:p w14:paraId="06174BD3" w14:textId="16B4ED42" w:rsidR="00333CFF" w:rsidRPr="00333CFF" w:rsidRDefault="00333CFF" w:rsidP="00333CFF">
            <w:pPr>
              <w:rPr>
                <w:rFonts w:eastAsia="Times New Roman" w:cs="Arial"/>
                <w:color w:val="000000"/>
                <w:sz w:val="16"/>
                <w:szCs w:val="16"/>
                <w:lang w:eastAsia="en-AU"/>
              </w:rPr>
            </w:pPr>
            <w:r w:rsidRPr="00333CFF">
              <w:rPr>
                <w:rFonts w:eastAsia="Times New Roman" w:cs="Arial"/>
                <w:color w:val="000000"/>
                <w:sz w:val="16"/>
                <w:szCs w:val="16"/>
                <w:lang w:eastAsia="en-AU"/>
              </w:rPr>
              <w:t>Wholesale trade</w:t>
            </w:r>
          </w:p>
        </w:tc>
        <w:tc>
          <w:tcPr>
            <w:tcW w:w="1440" w:type="dxa"/>
            <w:noWrap/>
            <w:hideMark/>
          </w:tcPr>
          <w:p w14:paraId="46C493FA" w14:textId="77777777" w:rsidR="00333CFF" w:rsidRPr="00333CFF" w:rsidRDefault="00333CFF" w:rsidP="00333CFF">
            <w:pPr>
              <w:jc w:val="right"/>
              <w:rPr>
                <w:rFonts w:eastAsia="Times New Roman" w:cs="Arial"/>
                <w:color w:val="000000"/>
                <w:sz w:val="16"/>
                <w:szCs w:val="16"/>
                <w:lang w:eastAsia="en-AU"/>
              </w:rPr>
            </w:pPr>
            <w:r w:rsidRPr="00333CFF">
              <w:rPr>
                <w:rFonts w:eastAsia="Times New Roman" w:cs="Arial"/>
                <w:color w:val="000000"/>
                <w:sz w:val="16"/>
                <w:szCs w:val="16"/>
                <w:lang w:eastAsia="en-AU"/>
              </w:rPr>
              <w:t>0.2%</w:t>
            </w:r>
          </w:p>
        </w:tc>
      </w:tr>
    </w:tbl>
    <w:p w14:paraId="560506AF" w14:textId="77777777" w:rsidR="00333CFF" w:rsidRPr="00333CFF" w:rsidRDefault="00333CFF" w:rsidP="00333CFF">
      <w:pPr>
        <w:rPr>
          <w:lang w:val="en-US"/>
        </w:rPr>
      </w:pPr>
    </w:p>
    <w:p w14:paraId="104937D3" w14:textId="77777777" w:rsidR="00333CFF" w:rsidRDefault="00333CFF" w:rsidP="008B2387">
      <w:pPr>
        <w:pStyle w:val="Source"/>
      </w:pPr>
    </w:p>
    <w:p w14:paraId="61E38022" w14:textId="34007304" w:rsidR="00386683" w:rsidRDefault="00386683" w:rsidP="008B2387">
      <w:pPr>
        <w:pStyle w:val="Source"/>
        <w:rPr>
          <w:rFonts w:eastAsia="Arial"/>
          <w:b/>
          <w:bCs/>
        </w:rPr>
      </w:pPr>
      <w:r>
        <w:t xml:space="preserve">Source: National Student Outcomes Survey (NCVER 2022) </w:t>
      </w:r>
    </w:p>
    <w:p w14:paraId="6E4AF4F3" w14:textId="2435E4EB" w:rsidR="00386683" w:rsidRDefault="00386683" w:rsidP="00060E7C">
      <w:pPr>
        <w:pStyle w:val="Bodycopy"/>
      </w:pPr>
      <w:r w:rsidRPr="71BE244F">
        <w:lastRenderedPageBreak/>
        <w:t xml:space="preserve">Analysis by JSA using PLIDA confirms a similar pattern for the occupational outcomes of Certificate IV TAE graduates. This data suggests that even a smaller proportion of these graduates are </w:t>
      </w:r>
      <w:r w:rsidR="00785EC3" w:rsidRPr="71BE244F">
        <w:t xml:space="preserve">moving </w:t>
      </w:r>
      <w:r w:rsidRPr="71BE244F">
        <w:t xml:space="preserve">into VET Teacher or Training and Development Professional roles from other occupations. Less than 5% of the 2019 Certificate IV graduates </w:t>
      </w:r>
      <w:r w:rsidR="00785EC3" w:rsidRPr="71BE244F">
        <w:t>moved</w:t>
      </w:r>
      <w:r w:rsidRPr="71BE244F">
        <w:t xml:space="preserve"> into VET Teacher or Training and Development Professional roles in 2020-21 from other occupations in 2017-18</w:t>
      </w:r>
      <w:r w:rsidR="7CD4254E" w:rsidRPr="71BE244F">
        <w:t xml:space="preserve">. </w:t>
      </w:r>
    </w:p>
    <w:p w14:paraId="4CA400B1" w14:textId="77777777" w:rsidR="00386683" w:rsidRDefault="00386683" w:rsidP="00060E7C">
      <w:pPr>
        <w:pStyle w:val="Bodycopy"/>
      </w:pPr>
      <w:r w:rsidRPr="72D744D6">
        <w:t>Secondary school teachers</w:t>
      </w:r>
      <w:r w:rsidRPr="72D744D6" w:rsidDel="00C264AC">
        <w:t xml:space="preserve"> </w:t>
      </w:r>
      <w:r>
        <w:t>we</w:t>
      </w:r>
      <w:r w:rsidRPr="72D744D6">
        <w:t>re the largest occupational group undertaking the Certificate</w:t>
      </w:r>
      <w:r>
        <w:t> </w:t>
      </w:r>
      <w:r w:rsidRPr="72D744D6">
        <w:t>IV</w:t>
      </w:r>
      <w:r>
        <w:t> </w:t>
      </w:r>
      <w:r w:rsidRPr="72D744D6">
        <w:t xml:space="preserve">TAE – 19% in 2018 and 17% in 2019, and over 90% remained secondary school teachers before and after undertaking the training. </w:t>
      </w:r>
    </w:p>
    <w:p w14:paraId="4ABB6E3A" w14:textId="443FB97F" w:rsidR="00386683" w:rsidRDefault="3B9DAA52" w:rsidP="00060E7C">
      <w:pPr>
        <w:pStyle w:val="Bodycopy"/>
      </w:pPr>
      <w:r w:rsidRPr="3EA8C90E">
        <w:t xml:space="preserve">Looking more closely at those Certificate IV TAE graduates who do </w:t>
      </w:r>
      <w:r w:rsidR="203B3099" w:rsidRPr="3EA8C90E">
        <w:t>move</w:t>
      </w:r>
      <w:r w:rsidRPr="3EA8C90E">
        <w:t xml:space="preserve"> into VET teacher roles, t</w:t>
      </w:r>
      <w:r>
        <w:t xml:space="preserve">he entrants come from occupations that align with key VET qualifications. For 2018 and 2019 graduates, the most common previous occupations included Chefs, Hairdressers, Child Carers, Motor Mechanics, as well as Training and Development Professionals but this group made up less than 20 per cent of </w:t>
      </w:r>
      <w:r w:rsidR="2A8D218F">
        <w:t xml:space="preserve">moving </w:t>
      </w:r>
      <w:r w:rsidR="00CC6D50">
        <w:t>VET teachers</w:t>
      </w:r>
      <w:r>
        <w:t xml:space="preserve"> in both years. These e</w:t>
      </w:r>
      <w:r w:rsidRPr="3EA8C90E">
        <w:t xml:space="preserve">ntrants typically experience an increase in median income, but this is generally because of the lower paid </w:t>
      </w:r>
      <w:r w:rsidR="37521793" w:rsidRPr="3EA8C90E">
        <w:t xml:space="preserve">vocational </w:t>
      </w:r>
      <w:r w:rsidR="7FCA5214" w:rsidRPr="3EA8C90E">
        <w:t>occupation</w:t>
      </w:r>
      <w:r w:rsidR="06DC4E97" w:rsidRPr="3EA8C90E">
        <w:t xml:space="preserve"> they are coming from.</w:t>
      </w:r>
      <w:r w:rsidRPr="3EA8C90E">
        <w:t xml:space="preserve"> 2018 graduates gained income increases from around $48,000 in 2016-17 to $62,000 in 2019-20. Similarly, for 2019 graduates, median income increased from approximately $51,000 in 2017-18 to $66,000 in 2019-20. </w:t>
      </w:r>
    </w:p>
    <w:p w14:paraId="13807E71" w14:textId="483777F5" w:rsidR="00386683" w:rsidRDefault="00386683" w:rsidP="00060E7C">
      <w:pPr>
        <w:pStyle w:val="Bodycopy"/>
      </w:pPr>
      <w:r w:rsidRPr="4879449A">
        <w:t xml:space="preserve">In contrast to Certificate IV TAE graduates, around 1 in 5 (22.6%) 2020 graduates of Diplomas in Adult Education (delivered in the VET system) were already </w:t>
      </w:r>
      <w:r w:rsidR="00CC6D50">
        <w:t>VET teachers</w:t>
      </w:r>
      <w:r w:rsidRPr="4879449A">
        <w:t xml:space="preserve"> in the year before they graduated. In the year post-graduation, the proportion who were </w:t>
      </w:r>
      <w:r w:rsidR="00CC6D50">
        <w:t>VET teachers</w:t>
      </w:r>
      <w:r w:rsidRPr="4879449A">
        <w:t xml:space="preserve"> increased to 23.6%. Training and Development professionals were the next highest proportion of entrants (8.7%), followed by Corporate General Managers and Chief Executives and Managing Directors (combined) which accounted for 4.0% of Diploma level graduates. Post-graduation, there was a lower proportion of Training and Development professionals (8.5%) but an increase in management level occupations (5.2%). This aligns with our commentary in Chapter 3 where we identified that Diplomas in Adult Education are a pathway to more senior roles. </w:t>
      </w:r>
    </w:p>
    <w:p w14:paraId="08A9226D" w14:textId="7FA8482B" w:rsidR="00386683" w:rsidRDefault="00386683" w:rsidP="00060E7C">
      <w:pPr>
        <w:pStyle w:val="Bodycopy"/>
      </w:pPr>
      <w:r w:rsidRPr="4879449A">
        <w:t xml:space="preserve">Other non-VET occupations with comparatively high participation were </w:t>
      </w:r>
      <w:r w:rsidR="005B5425">
        <w:t>p</w:t>
      </w:r>
      <w:r w:rsidRPr="4879449A">
        <w:t xml:space="preserve">rimary </w:t>
      </w:r>
      <w:r w:rsidR="005B5425">
        <w:t>s</w:t>
      </w:r>
      <w:r w:rsidRPr="4879449A">
        <w:t xml:space="preserve">chool </w:t>
      </w:r>
      <w:r w:rsidR="005B5425">
        <w:t>t</w:t>
      </w:r>
      <w:r w:rsidRPr="4879449A">
        <w:t xml:space="preserve">eachers (7.9% of graduates pre-training and 8.2% post-training) and </w:t>
      </w:r>
      <w:r w:rsidR="005B5425">
        <w:t>s</w:t>
      </w:r>
      <w:r w:rsidR="00F13473">
        <w:t>econdary school teachers</w:t>
      </w:r>
      <w:r w:rsidRPr="4879449A">
        <w:t xml:space="preserve"> (5.7% pre-training and 5.9% post-training). Regarding some other occupations of interest to the VET workforce, 1.8% were TESOL teachers pre-training, rising to 3.0% post-training, 1.7% were </w:t>
      </w:r>
      <w:r w:rsidR="005B5425">
        <w:t>r</w:t>
      </w:r>
      <w:r w:rsidRPr="4879449A">
        <w:t xml:space="preserve">egistered </w:t>
      </w:r>
      <w:r w:rsidR="005B5425">
        <w:t>n</w:t>
      </w:r>
      <w:r w:rsidRPr="4879449A">
        <w:t xml:space="preserve">urses (not elsewhere classified) (falling to 1.5% post-training), 1.5% were </w:t>
      </w:r>
      <w:r w:rsidR="005B5425">
        <w:t>n</w:t>
      </w:r>
      <w:r w:rsidRPr="4879449A">
        <w:t xml:space="preserve">urse </w:t>
      </w:r>
      <w:r w:rsidR="005B5425">
        <w:t>e</w:t>
      </w:r>
      <w:r w:rsidRPr="4879449A">
        <w:t xml:space="preserve">ducators pre- and post-training and 1.1% were </w:t>
      </w:r>
      <w:r w:rsidR="005B5425">
        <w:t>e</w:t>
      </w:r>
      <w:r w:rsidRPr="4879449A">
        <w:t xml:space="preserve">ducation </w:t>
      </w:r>
      <w:r w:rsidR="005B5425">
        <w:t>a</w:t>
      </w:r>
      <w:r w:rsidRPr="4879449A">
        <w:t xml:space="preserve">dvisers, rising to 1.7% post-training. </w:t>
      </w:r>
    </w:p>
    <w:p w14:paraId="5B9A7175" w14:textId="20AD0076" w:rsidR="009E144C" w:rsidRDefault="00386683" w:rsidP="00060E7C">
      <w:pPr>
        <w:pStyle w:val="Bodycopy"/>
      </w:pPr>
      <w:r w:rsidRPr="4879449A">
        <w:t xml:space="preserve">This study also requested qualification to employment outcomes for VET teaching skill sets including assessor only skill sets, but the data could not be released due to small numbers so cannot add nuance to the quite complex training pipeline and supply dilemma in VET. </w:t>
      </w:r>
    </w:p>
    <w:p w14:paraId="27F76C3C" w14:textId="77777777" w:rsidR="009E144C" w:rsidRDefault="009E144C">
      <w:pPr>
        <w:rPr>
          <w:spacing w:val="2"/>
        </w:rPr>
      </w:pPr>
      <w:r>
        <w:br w:type="page"/>
      </w:r>
    </w:p>
    <w:p w14:paraId="4EFF88BE" w14:textId="19DB4D56" w:rsidR="00386683" w:rsidRDefault="00386683" w:rsidP="00386683">
      <w:pPr>
        <w:pStyle w:val="Heading2"/>
      </w:pPr>
      <w:bookmarkStart w:id="209" w:name="_Toc164447514"/>
      <w:bookmarkStart w:id="210" w:name="_Toc176770993"/>
      <w:r>
        <w:lastRenderedPageBreak/>
        <w:t xml:space="preserve">Workforce </w:t>
      </w:r>
      <w:r w:rsidR="00681E36">
        <w:t>t</w:t>
      </w:r>
      <w:r>
        <w:t>ransitions</w:t>
      </w:r>
      <w:bookmarkEnd w:id="209"/>
      <w:bookmarkEnd w:id="210"/>
    </w:p>
    <w:p w14:paraId="3C2DC8CD" w14:textId="103CF4DE" w:rsidR="00386683" w:rsidRPr="00060E7C" w:rsidRDefault="00386683" w:rsidP="00060E7C">
      <w:pPr>
        <w:pStyle w:val="Bodycopy"/>
      </w:pPr>
      <w:r w:rsidRPr="00060E7C">
        <w:t xml:space="preserve">The last section of the chapter expands on the above analysis of occupational outcomes from a VET teaching qualifications perspective to look at the broader occupational flows in and out of the VET workforce using PLIDA data. This 'occupation mobility’ data adds a new layer of analysis to skills shortages and labour market dynamics – including retention, attraction and pay issues at play </w:t>
      </w:r>
      <w:r w:rsidR="0000395E">
        <w:t>–</w:t>
      </w:r>
      <w:r w:rsidRPr="00060E7C">
        <w:t xml:space="preserve"> by analysing how workers move between occupations.</w:t>
      </w:r>
    </w:p>
    <w:p w14:paraId="437D29E7" w14:textId="77777777" w:rsidR="00386683" w:rsidRPr="00060E7C" w:rsidRDefault="00386683" w:rsidP="00060E7C">
      <w:pPr>
        <w:pStyle w:val="Bodycopy"/>
      </w:pPr>
      <w:r w:rsidRPr="00060E7C">
        <w:t xml:space="preserve">JSA’s January 2024 report </w:t>
      </w:r>
      <w:r w:rsidRPr="00A60F9D">
        <w:rPr>
          <w:i/>
          <w:iCs/>
        </w:rPr>
        <w:t>‘Data on Occupation Mobility Unpacking Workers’ Movements’</w:t>
      </w:r>
      <w:r w:rsidRPr="00060E7C">
        <w:t xml:space="preserve"> gave a labour-market wide view finding that most workers don’t change occupations and that some occupations are ‘stickier’ than others due to licencing, registration, qualifications, longer training times or even pay reasons. </w:t>
      </w:r>
    </w:p>
    <w:p w14:paraId="33BD5D0F" w14:textId="1FA8FA60" w:rsidR="00386683" w:rsidRPr="00A266D5" w:rsidRDefault="00386683" w:rsidP="00060E7C">
      <w:pPr>
        <w:pStyle w:val="Bodycopy"/>
        <w:rPr>
          <w:rStyle w:val="SubtleEmphasis"/>
          <w:i w:val="0"/>
          <w:iCs w:val="0"/>
          <w:color w:val="000000" w:themeColor="text1"/>
        </w:rPr>
      </w:pPr>
      <w:r w:rsidRPr="7AD33374">
        <w:rPr>
          <w:rStyle w:val="SubtleEmphasis"/>
          <w:i w:val="0"/>
          <w:iCs w:val="0"/>
          <w:color w:val="000000" w:themeColor="text1"/>
        </w:rPr>
        <w:t xml:space="preserve">In general, most workers do not change occupations. Data on individuals’ Income Tax Returns from the Australian Taxation Office indicates that over the ten-year period </w:t>
      </w:r>
      <w:r w:rsidRPr="00A266D5">
        <w:rPr>
          <w:i/>
          <w:iCs/>
        </w:rPr>
        <w:br/>
      </w:r>
      <w:r w:rsidRPr="7AD33374">
        <w:rPr>
          <w:rStyle w:val="SubtleEmphasis"/>
          <w:i w:val="0"/>
          <w:iCs w:val="0"/>
          <w:color w:val="000000" w:themeColor="text1"/>
        </w:rPr>
        <w:t>2011-2012 to 2020-2021 the percentage of people who remained in the same occupation varied between 83% and 92%.</w:t>
      </w:r>
      <w:r w:rsidR="00070143">
        <w:rPr>
          <w:rStyle w:val="EndnoteReference"/>
        </w:rPr>
        <w:endnoteReference w:id="79"/>
      </w:r>
    </w:p>
    <w:p w14:paraId="02A7CFA3" w14:textId="08529325" w:rsidR="00386683" w:rsidRPr="00060E7C" w:rsidRDefault="00386683" w:rsidP="00060E7C">
      <w:pPr>
        <w:pStyle w:val="Bodycopy"/>
      </w:pPr>
      <w:r w:rsidRPr="00060E7C">
        <w:t xml:space="preserve">Unsurprisingly, occupations with the smallest transitions (otherwise known as inflows and outflows) tend to be those with a smaller workforce and/or very specialised skills. For example </w:t>
      </w:r>
      <w:r w:rsidR="005A6607">
        <w:t>–</w:t>
      </w:r>
      <w:r w:rsidRPr="00060E7C">
        <w:t xml:space="preserve"> Teachers of the Sight Impaired. Conversely, there are areas of the labour market from both an occupational and industry perspective which have higher transitions. Occupations with the largest inflows include roles like Disability Services Officers and Community workers whereas the largest outflows are for hospitality occupations </w:t>
      </w:r>
      <w:r w:rsidR="005A6607">
        <w:t>–</w:t>
      </w:r>
      <w:r w:rsidRPr="00060E7C">
        <w:t xml:space="preserve"> cooks, waiters, housekeepers, and kitchenhands. </w:t>
      </w:r>
    </w:p>
    <w:p w14:paraId="7AD542C1" w14:textId="69DA8446" w:rsidR="00386683" w:rsidRDefault="00386683" w:rsidP="00C76A37">
      <w:pPr>
        <w:pStyle w:val="Heading3"/>
        <w:spacing w:before="240"/>
      </w:pPr>
      <w:r>
        <w:t xml:space="preserve">VET </w:t>
      </w:r>
      <w:r w:rsidR="009951FA">
        <w:t>t</w:t>
      </w:r>
      <w:r>
        <w:t xml:space="preserve">eacher </w:t>
      </w:r>
      <w:r w:rsidR="009951FA">
        <w:t>j</w:t>
      </w:r>
      <w:r>
        <w:t xml:space="preserve">ob </w:t>
      </w:r>
      <w:r w:rsidR="009951FA">
        <w:t>m</w:t>
      </w:r>
      <w:r>
        <w:t>obility</w:t>
      </w:r>
    </w:p>
    <w:p w14:paraId="4004F87D" w14:textId="1F5144D2" w:rsidR="002F75DD" w:rsidRPr="002F75DD" w:rsidRDefault="00386683" w:rsidP="002F75DD">
      <w:pPr>
        <w:pStyle w:val="Bodycopy"/>
      </w:pPr>
      <w:r w:rsidRPr="002F75DD">
        <w:t xml:space="preserve">Like Census data, this job mobility data is limited to ANZSCO classifications so we can only offer analysis of </w:t>
      </w:r>
      <w:r w:rsidR="74B2A958" w:rsidRPr="002F75DD">
        <w:t xml:space="preserve">the </w:t>
      </w:r>
      <w:r w:rsidRPr="002F75DD">
        <w:t xml:space="preserve">transitions </w:t>
      </w:r>
      <w:r w:rsidR="707B4206" w:rsidRPr="002F75DD">
        <w:t>of</w:t>
      </w:r>
      <w:r w:rsidRPr="002F75DD">
        <w:t xml:space="preserve"> Vocational Education Teachers specifically, not the overall VET workforce. Over the eight-year financial years from 2011/12 to 2018/19 inclusive, the percentage of </w:t>
      </w:r>
      <w:r w:rsidR="00CC6D50">
        <w:t>VET teachers</w:t>
      </w:r>
      <w:r w:rsidRPr="002F75DD">
        <w:t xml:space="preserve"> staying in the same occupation was consistently between 85% and 88% indicating a potentially ‘stickier’ occupation and higher level of retention in the workforce. </w:t>
      </w:r>
    </w:p>
    <w:p w14:paraId="626EDC33" w14:textId="4BF21C6E" w:rsidR="00386683" w:rsidRPr="002F75DD" w:rsidRDefault="00386683" w:rsidP="002F75DD">
      <w:pPr>
        <w:pStyle w:val="Bodycopy"/>
      </w:pPr>
      <w:r w:rsidRPr="002F75DD">
        <w:t xml:space="preserve">However, during this period the VET teacher occupation did lose more people to other occupations than it gained. VET Teacher inflows were greater than outflows as the pandemic began but without more recent data, firmer insights on this data from a demand and supply perspective is limited </w:t>
      </w:r>
      <w:r w:rsidR="00535A0B" w:rsidRPr="002F75DD">
        <w:t>(s</w:t>
      </w:r>
      <w:r w:rsidRPr="002F75DD">
        <w:t xml:space="preserve">ee </w:t>
      </w:r>
      <w:hyperlink w:anchor="Figure_4_8" w:history="1">
        <w:r w:rsidRPr="00135DA7">
          <w:rPr>
            <w:rStyle w:val="Hyperlink"/>
          </w:rPr>
          <w:t>Figure 4.</w:t>
        </w:r>
        <w:r w:rsidR="005862F8" w:rsidRPr="00135DA7">
          <w:rPr>
            <w:rStyle w:val="Hyperlink"/>
          </w:rPr>
          <w:t>8</w:t>
        </w:r>
      </w:hyperlink>
      <w:r w:rsidR="00535A0B" w:rsidRPr="002F75DD">
        <w:t>)</w:t>
      </w:r>
      <w:r w:rsidRPr="002F75DD">
        <w:t xml:space="preserve">. Training and Development Professionals also follow this trend, where more people were </w:t>
      </w:r>
      <w:r w:rsidR="00E84261" w:rsidRPr="002F75DD">
        <w:t>moving</w:t>
      </w:r>
      <w:r w:rsidRPr="002F75DD">
        <w:t xml:space="preserve"> out of the occupation than into it from 2013/14 until the pandemic hit. </w:t>
      </w:r>
    </w:p>
    <w:p w14:paraId="5C4DFC61" w14:textId="73717099" w:rsidR="00D522FF" w:rsidRPr="002F75DD" w:rsidRDefault="00386683" w:rsidP="002F75DD">
      <w:pPr>
        <w:pStyle w:val="Bodycopy"/>
      </w:pPr>
      <w:r w:rsidRPr="002F75DD">
        <w:t xml:space="preserve">It is also notable that a higher proportion of </w:t>
      </w:r>
      <w:r w:rsidR="00CC6D50">
        <w:t>VET teachers</w:t>
      </w:r>
      <w:r w:rsidRPr="002F75DD">
        <w:t xml:space="preserve"> changed jobs to a different occupation each year relative to teaching occupations in other sectors and, in most years, relative to individuals across all professional occupations (ANZSCO Major Group 2: Professionals). Primary, </w:t>
      </w:r>
      <w:r w:rsidR="00961A50">
        <w:t>secondary</w:t>
      </w:r>
      <w:r w:rsidRPr="002F75DD">
        <w:t xml:space="preserve"> and </w:t>
      </w:r>
      <w:r w:rsidR="00961A50">
        <w:t>e</w:t>
      </w:r>
      <w:r w:rsidRPr="002F75DD">
        <w:t xml:space="preserve">arly </w:t>
      </w:r>
      <w:r w:rsidR="00961A50">
        <w:t>c</w:t>
      </w:r>
      <w:r w:rsidRPr="002F75DD">
        <w:t xml:space="preserve">hildhood (pre-primary school) teachers are far ‘stickier’ occupations and, unlike </w:t>
      </w:r>
      <w:r w:rsidR="00CC6D50">
        <w:t>VET teachers</w:t>
      </w:r>
      <w:r w:rsidRPr="002F75DD">
        <w:t>, inflows into these teaching positions outnumber outflows over the decade.</w:t>
      </w:r>
      <w:r w:rsidR="00C160FD" w:rsidRPr="002F75DD">
        <w:t xml:space="preserve"> VET teacher outflows </w:t>
      </w:r>
      <w:r w:rsidR="00F96337" w:rsidRPr="002F75DD">
        <w:t>also exceed</w:t>
      </w:r>
      <w:r w:rsidR="00C160FD" w:rsidRPr="002F75DD">
        <w:t xml:space="preserve"> those in </w:t>
      </w:r>
      <w:r w:rsidR="00961A50">
        <w:t>u</w:t>
      </w:r>
      <w:r w:rsidR="00F96337" w:rsidRPr="002F75DD">
        <w:t xml:space="preserve">niversity </w:t>
      </w:r>
      <w:r w:rsidR="00961A50">
        <w:t>l</w:t>
      </w:r>
      <w:r w:rsidR="00F96337" w:rsidRPr="002F75DD">
        <w:t xml:space="preserve">ecturer and </w:t>
      </w:r>
      <w:r w:rsidR="00961A50">
        <w:t>secondary</w:t>
      </w:r>
      <w:r w:rsidR="00F13473">
        <w:t xml:space="preserve"> school teachers</w:t>
      </w:r>
      <w:r w:rsidR="00906FFE" w:rsidRPr="002F75DD">
        <w:t>.</w:t>
      </w:r>
      <w:r w:rsidR="00F96337" w:rsidRPr="002F75DD">
        <w:t xml:space="preserve"> </w:t>
      </w:r>
    </w:p>
    <w:p w14:paraId="46B3B066" w14:textId="265F57F2" w:rsidR="00386683" w:rsidRDefault="00386683" w:rsidP="002F75DD">
      <w:pPr>
        <w:pStyle w:val="Bodycopy"/>
      </w:pPr>
      <w:r w:rsidRPr="002F75DD">
        <w:lastRenderedPageBreak/>
        <w:t xml:space="preserve">The ability to meet rising demand can be understood by comparing the inflow and outflow of workers as per the previous year’s total workforce size. In the case </w:t>
      </w:r>
      <w:r w:rsidR="00E108B5" w:rsidRPr="002F75DD">
        <w:t>of</w:t>
      </w:r>
      <w:r w:rsidRPr="002F75DD">
        <w:t xml:space="preserve"> </w:t>
      </w:r>
      <w:r w:rsidR="00CC6D50">
        <w:t>VET teachers</w:t>
      </w:r>
      <w:r w:rsidRPr="002F75DD">
        <w:t xml:space="preserve">, outflows have exceeded inflows for eight out of the nine reference years, a potential threat to adequate supply in an environment of increasing demand (see </w:t>
      </w:r>
      <w:hyperlink w:anchor="Figure_4_8" w:history="1">
        <w:r w:rsidRPr="00135DA7">
          <w:rPr>
            <w:rStyle w:val="Hyperlink"/>
          </w:rPr>
          <w:t>Figure 4.</w:t>
        </w:r>
        <w:r w:rsidR="005862F8" w:rsidRPr="00135DA7">
          <w:rPr>
            <w:rStyle w:val="Hyperlink"/>
          </w:rPr>
          <w:t>8</w:t>
        </w:r>
      </w:hyperlink>
      <w:r w:rsidRPr="002F75DD">
        <w:t xml:space="preserve">). </w:t>
      </w:r>
    </w:p>
    <w:p w14:paraId="48975E70" w14:textId="16828C9B" w:rsidR="00F35ADD" w:rsidRDefault="00F35ADD" w:rsidP="00F35ADD">
      <w:pPr>
        <w:pStyle w:val="ChartandTablelabel"/>
      </w:pPr>
      <w:bookmarkStart w:id="211" w:name="Figure_4_8"/>
      <w:r>
        <w:t xml:space="preserve">Figure </w:t>
      </w:r>
      <w:r w:rsidR="006558DC">
        <w:fldChar w:fldCharType="begin"/>
      </w:r>
      <w:r w:rsidR="006558DC">
        <w:instrText xml:space="preserve"> STYLEREF 1 \s </w:instrText>
      </w:r>
      <w:r w:rsidR="006558DC">
        <w:fldChar w:fldCharType="separate"/>
      </w:r>
      <w:r w:rsidR="00E7704E">
        <w:rPr>
          <w:noProof/>
        </w:rPr>
        <w:t>4</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8</w:t>
      </w:r>
      <w:r w:rsidR="006558DC">
        <w:fldChar w:fldCharType="end"/>
      </w:r>
      <w:r>
        <w:t xml:space="preserve"> Movements into and out of Vocational Education Teacher, 2011/2012 to 2019/2020</w:t>
      </w:r>
    </w:p>
    <w:bookmarkEnd w:id="211"/>
    <w:p w14:paraId="720EC108" w14:textId="77777777" w:rsidR="00F35ADD" w:rsidRDefault="00F35ADD" w:rsidP="00F35ADD">
      <w:pPr>
        <w:pStyle w:val="ChartandTablelabel"/>
      </w:pPr>
      <w:r>
        <w:rPr>
          <w:noProof/>
        </w:rPr>
        <w:drawing>
          <wp:inline distT="0" distB="0" distL="0" distR="0" wp14:anchorId="79B34CF3" wp14:editId="08479D96">
            <wp:extent cx="5645643" cy="3420000"/>
            <wp:effectExtent l="19050" t="19050" r="12700" b="28575"/>
            <wp:docPr id="231402127" name="Picture 1" descr="Trend described in preceding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02127" name="Picture 1" descr="Trend described in preceding text.&#10;"/>
                    <pic:cNvPicPr/>
                  </pic:nvPicPr>
                  <pic:blipFill rotWithShape="1">
                    <a:blip r:embed="rId66" cstate="print">
                      <a:extLst>
                        <a:ext uri="{28A0092B-C50C-407E-A947-70E740481C1C}">
                          <a14:useLocalDpi xmlns:a14="http://schemas.microsoft.com/office/drawing/2010/main" val="0"/>
                        </a:ext>
                      </a:extLst>
                    </a:blip>
                    <a:srcRect t="-5084" b="-2816"/>
                    <a:stretch/>
                  </pic:blipFill>
                  <pic:spPr bwMode="auto">
                    <a:xfrm>
                      <a:off x="0" y="0"/>
                      <a:ext cx="5652000" cy="3423851"/>
                    </a:xfrm>
                    <a:prstGeom prst="rect">
                      <a:avLst/>
                    </a:prstGeom>
                    <a:solidFill>
                      <a:schemeClr val="bg1"/>
                    </a:solidFill>
                    <a:ln w="635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B1041A6" w14:textId="77777777" w:rsidR="00F35ADD" w:rsidRDefault="00F35ADD" w:rsidP="00F35ADD">
      <w:pPr>
        <w:pStyle w:val="Source"/>
      </w:pPr>
      <w:r>
        <w:t>Source: Jobs and Skills Australia (PLIDA ITR data 2011-2012 to 2019-2020)</w:t>
      </w:r>
    </w:p>
    <w:p w14:paraId="1F27D977" w14:textId="4C438C30" w:rsidR="00386683" w:rsidRPr="006264B2" w:rsidRDefault="00386683" w:rsidP="00386683"/>
    <w:p w14:paraId="416334BE" w14:textId="77777777" w:rsidR="00C36FFA" w:rsidRDefault="00386683" w:rsidP="00E16D4F">
      <w:pPr>
        <w:pStyle w:val="Bodycopy"/>
      </w:pPr>
      <w:r w:rsidRPr="71BE244F">
        <w:t xml:space="preserve">Regarding specific occupational transitions, the strongest pathways </w:t>
      </w:r>
      <w:r w:rsidRPr="71BE244F">
        <w:rPr>
          <w:i/>
          <w:iCs/>
        </w:rPr>
        <w:t>into</w:t>
      </w:r>
      <w:r w:rsidRPr="71BE244F">
        <w:t xml:space="preserve"> the occupation of VET teacher were, consistent with analysis earlier in this chapter, other teaching or education focused roles and vocational occupations that align with high-enrolment courses taught in VET. </w:t>
      </w:r>
    </w:p>
    <w:p w14:paraId="4AF5807D" w14:textId="469D441F" w:rsidR="00386683" w:rsidRDefault="00386683" w:rsidP="00E16D4F">
      <w:pPr>
        <w:pStyle w:val="Bodycopy"/>
      </w:pPr>
      <w:r w:rsidRPr="71BE244F">
        <w:t xml:space="preserve">Outflows are focused more on managerial or executive occupational transitions, but education focused roles also remain common. These </w:t>
      </w:r>
      <w:r w:rsidR="00D1689D" w:rsidRPr="71BE244F">
        <w:t>movements</w:t>
      </w:r>
      <w:r w:rsidR="1BB46680" w:rsidRPr="71BE244F">
        <w:t xml:space="preserve"> out of VET </w:t>
      </w:r>
      <w:r w:rsidR="009C1BE6" w:rsidRPr="71BE244F">
        <w:t>teaching likely</w:t>
      </w:r>
      <w:r w:rsidR="20574DB3" w:rsidRPr="71BE244F">
        <w:t xml:space="preserve"> </w:t>
      </w:r>
      <w:r w:rsidRPr="71BE244F">
        <w:t xml:space="preserve">represent career progression within the VET sector and across taxonomy segments like </w:t>
      </w:r>
      <w:r w:rsidR="00CB29F6">
        <w:t>Teach, Train, and Assess</w:t>
      </w:r>
      <w:r w:rsidRPr="71BE244F">
        <w:t xml:space="preserve"> to Leadership and/or Curriculum and Learning design. See </w:t>
      </w:r>
      <w:hyperlink w:anchor="Figure_4_9" w:history="1">
        <w:r w:rsidRPr="00135DA7">
          <w:rPr>
            <w:rStyle w:val="Hyperlink"/>
          </w:rPr>
          <w:t>Figure 4.</w:t>
        </w:r>
        <w:r w:rsidR="00242BEB" w:rsidRPr="00135DA7">
          <w:rPr>
            <w:rStyle w:val="Hyperlink"/>
          </w:rPr>
          <w:t>9</w:t>
        </w:r>
      </w:hyperlink>
      <w:r w:rsidRPr="71BE244F">
        <w:t xml:space="preserve"> for the top ten </w:t>
      </w:r>
      <w:r w:rsidR="00D1689D" w:rsidRPr="71BE244F">
        <w:t>movements</w:t>
      </w:r>
      <w:r w:rsidRPr="71BE244F">
        <w:t xml:space="preserve"> into and out of the VET teacher occupation. </w:t>
      </w:r>
    </w:p>
    <w:p w14:paraId="3A9A95FF" w14:textId="77777777" w:rsidR="00F35ADD" w:rsidRDefault="00F35ADD" w:rsidP="00E16D4F">
      <w:pPr>
        <w:pStyle w:val="Bodycopy"/>
      </w:pPr>
    </w:p>
    <w:p w14:paraId="7BA76DD3" w14:textId="77777777" w:rsidR="00C36FFA" w:rsidRDefault="00C36FFA">
      <w:pPr>
        <w:rPr>
          <w:b/>
          <w:sz w:val="20"/>
          <w:lang w:val="en-US"/>
        </w:rPr>
      </w:pPr>
      <w:r>
        <w:br w:type="page"/>
      </w:r>
    </w:p>
    <w:p w14:paraId="474F1001" w14:textId="696B1C7A" w:rsidR="00386683" w:rsidRDefault="00386683" w:rsidP="002723D0">
      <w:pPr>
        <w:pStyle w:val="ChartandTablelabel"/>
        <w:rPr>
          <w:noProof/>
        </w:rPr>
      </w:pPr>
      <w:bookmarkStart w:id="212" w:name="Figure_4_9"/>
      <w:r>
        <w:lastRenderedPageBreak/>
        <w:t xml:space="preserve">Figure </w:t>
      </w:r>
      <w:r w:rsidR="006558DC">
        <w:fldChar w:fldCharType="begin"/>
      </w:r>
      <w:r w:rsidR="006558DC">
        <w:instrText xml:space="preserve"> STYLEREF 1 \s </w:instrText>
      </w:r>
      <w:r w:rsidR="006558DC">
        <w:fldChar w:fldCharType="separate"/>
      </w:r>
      <w:r w:rsidR="00E7704E">
        <w:rPr>
          <w:noProof/>
        </w:rPr>
        <w:t>4</w:t>
      </w:r>
      <w:r w:rsidR="006558DC">
        <w:fldChar w:fldCharType="end"/>
      </w:r>
      <w:r w:rsidR="00A30652">
        <w:t>.</w:t>
      </w:r>
      <w:r w:rsidR="006558DC">
        <w:fldChar w:fldCharType="begin"/>
      </w:r>
      <w:r w:rsidR="006558DC">
        <w:instrText xml:space="preserve"> SEQ Figure \* ARABIC \s 1 </w:instrText>
      </w:r>
      <w:r w:rsidR="006558DC">
        <w:fldChar w:fldCharType="separate"/>
      </w:r>
      <w:r w:rsidR="00E7704E">
        <w:rPr>
          <w:noProof/>
        </w:rPr>
        <w:t>9</w:t>
      </w:r>
      <w:r w:rsidR="006558DC">
        <w:fldChar w:fldCharType="end"/>
      </w:r>
      <w:r>
        <w:t xml:space="preserve"> Top 10 occupation </w:t>
      </w:r>
      <w:r w:rsidR="00D1689D">
        <w:t>movements</w:t>
      </w:r>
      <w:r>
        <w:t xml:space="preserve"> into and out of VET teacher, FY2011/12-FY2020/21</w:t>
      </w:r>
    </w:p>
    <w:bookmarkEnd w:id="212"/>
    <w:p w14:paraId="7F917815" w14:textId="0B6BD327" w:rsidR="0085488B" w:rsidRDefault="0085488B" w:rsidP="002723D0">
      <w:pPr>
        <w:pStyle w:val="ChartandTablelabel"/>
      </w:pPr>
      <w:r>
        <w:rPr>
          <w:noProof/>
        </w:rPr>
        <w:drawing>
          <wp:inline distT="0" distB="0" distL="0" distR="0" wp14:anchorId="42903664" wp14:editId="6F0438AA">
            <wp:extent cx="5796000" cy="6724513"/>
            <wp:effectExtent l="0" t="0" r="0" b="635"/>
            <wp:docPr id="624635417" name="Picture 1" descr="Common transitions into Vocational Education Teacher (in order of volume, decreasing), include chef, child care work, university lecturer, secondary school teacher, sales assistant, general clerk, teacher’s aide, motor mechanic, electrician.&#10;&#10;Common transitions out of Vocational Education Teacher (in order of volume, decreasing), include secondary school teacher, university lecturer, primary school teacher, program or project administrator, education adviser, office manager, chief executive or managing director, corporate general manager, training and development professional, general cler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35417" name="Picture 1" descr="Common transitions into Vocational Education Teacher (in order of volume, decreasing), include chef, child care work, university lecturer, secondary school teacher, sales assistant, general clerk, teacher’s aide, motor mechanic, electrician.&#10;&#10;Common transitions out of Vocational Education Teacher (in order of volume, decreasing), include secondary school teacher, university lecturer, primary school teacher, program or project administrator, education adviser, office manager, chief executive or managing director, corporate general manager, training and development professional, general clerk.&#1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96000" cy="6724513"/>
                    </a:xfrm>
                    <a:prstGeom prst="rect">
                      <a:avLst/>
                    </a:prstGeom>
                  </pic:spPr>
                </pic:pic>
              </a:graphicData>
            </a:graphic>
          </wp:inline>
        </w:drawing>
      </w:r>
    </w:p>
    <w:p w14:paraId="3F25D2FA" w14:textId="23ED939B" w:rsidR="00386683" w:rsidRDefault="00386683" w:rsidP="008B2387">
      <w:pPr>
        <w:pStyle w:val="Source"/>
        <w:rPr>
          <w:lang w:val="en-US"/>
        </w:rPr>
      </w:pPr>
      <w:r w:rsidRPr="273F34A9">
        <w:rPr>
          <w:lang w:val="en-US"/>
        </w:rPr>
        <w:t xml:space="preserve">Source: Jobs and Skills Australia (PLIDA ITR data 2011-2012 to 2020-2021) </w:t>
      </w:r>
      <w:r w:rsidR="00E329BE">
        <w:rPr>
          <w:lang w:val="en-US"/>
        </w:rPr>
        <w:br/>
      </w:r>
      <w:r w:rsidRPr="273F34A9">
        <w:rPr>
          <w:lang w:val="en-US"/>
        </w:rPr>
        <w:t>*T&amp;D Professional is Training and Development Professional</w:t>
      </w:r>
    </w:p>
    <w:p w14:paraId="615755A2" w14:textId="77777777" w:rsidR="00E329BE" w:rsidRDefault="00E329BE" w:rsidP="00E329BE">
      <w:pPr>
        <w:rPr>
          <w:lang w:val="en-US"/>
        </w:rPr>
      </w:pPr>
    </w:p>
    <w:p w14:paraId="502C0D24" w14:textId="77777777" w:rsidR="00E329BE" w:rsidRDefault="00E329BE" w:rsidP="00E329BE">
      <w:pPr>
        <w:rPr>
          <w:lang w:val="en-US"/>
        </w:rPr>
      </w:pPr>
    </w:p>
    <w:p w14:paraId="50A9CA40" w14:textId="77777777" w:rsidR="00E329BE" w:rsidRDefault="00E329BE" w:rsidP="00E329BE">
      <w:pPr>
        <w:rPr>
          <w:lang w:val="en-US"/>
        </w:rPr>
      </w:pPr>
    </w:p>
    <w:p w14:paraId="2D43A175" w14:textId="77777777" w:rsidR="00E329BE" w:rsidRDefault="00E329BE" w:rsidP="00E329BE">
      <w:pPr>
        <w:rPr>
          <w:lang w:val="en-US"/>
        </w:rPr>
      </w:pPr>
    </w:p>
    <w:p w14:paraId="0EDF820F" w14:textId="77777777" w:rsidR="00E329BE" w:rsidRPr="00E329BE" w:rsidRDefault="00E329BE" w:rsidP="00E329BE">
      <w:pPr>
        <w:rPr>
          <w:lang w:val="en-US"/>
        </w:rPr>
      </w:pPr>
    </w:p>
    <w:p w14:paraId="291B87C7" w14:textId="0F04F727" w:rsidR="00386683" w:rsidRPr="00153B2E" w:rsidRDefault="00386683" w:rsidP="009E4064">
      <w:pPr>
        <w:pStyle w:val="Bodycopy"/>
        <w:spacing w:after="240"/>
      </w:pPr>
      <w:r>
        <w:lastRenderedPageBreak/>
        <w:t xml:space="preserve">Looking at occupational </w:t>
      </w:r>
      <w:r w:rsidR="00E72E57">
        <w:t>movements</w:t>
      </w:r>
      <w:r>
        <w:t xml:space="preserve"> over a longer period (the decade of 2011/12 to 2020/21) there are </w:t>
      </w:r>
      <w:r w:rsidR="009F796B">
        <w:t>three</w:t>
      </w:r>
      <w:r>
        <w:t xml:space="preserve"> pathways into the VET Teacher role which can be categorised as:</w:t>
      </w:r>
    </w:p>
    <w:p w14:paraId="2034B7A9" w14:textId="1E468463" w:rsidR="00386683" w:rsidRPr="00153B2E" w:rsidRDefault="00386683" w:rsidP="009E4064">
      <w:pPr>
        <w:pStyle w:val="ListBullet"/>
        <w:spacing w:after="240"/>
        <w:rPr>
          <w:rFonts w:eastAsia="Arial" w:cs="Arial"/>
        </w:rPr>
      </w:pPr>
      <w:r w:rsidRPr="71BE244F">
        <w:rPr>
          <w:b/>
          <w:bCs/>
        </w:rPr>
        <w:t xml:space="preserve">Education-related occupation </w:t>
      </w:r>
      <w:r w:rsidR="002963B2" w:rsidRPr="71BE244F">
        <w:rPr>
          <w:b/>
          <w:bCs/>
        </w:rPr>
        <w:t>movements</w:t>
      </w:r>
      <w:r>
        <w:t>, involving other teaching or training occupations, education management, or education aide roles.</w:t>
      </w:r>
    </w:p>
    <w:p w14:paraId="2176841F" w14:textId="6051951A" w:rsidR="00386683" w:rsidRPr="0069220A" w:rsidRDefault="00386683" w:rsidP="009E4064">
      <w:pPr>
        <w:pStyle w:val="ListBullet"/>
        <w:spacing w:after="240"/>
        <w:rPr>
          <w:rFonts w:eastAsia="Arial" w:cs="Arial"/>
        </w:rPr>
      </w:pPr>
      <w:r w:rsidRPr="71BE244F">
        <w:rPr>
          <w:b/>
          <w:bCs/>
        </w:rPr>
        <w:t xml:space="preserve">Corporate occupation </w:t>
      </w:r>
      <w:r w:rsidR="002963B2" w:rsidRPr="71BE244F">
        <w:rPr>
          <w:b/>
          <w:bCs/>
        </w:rPr>
        <w:t>movements</w:t>
      </w:r>
      <w:r w:rsidRPr="71BE244F">
        <w:rPr>
          <w:b/>
          <w:bCs/>
        </w:rPr>
        <w:t>,</w:t>
      </w:r>
      <w:r>
        <w:t xml:space="preserve"> which are those most connected to the training and development function within organisations. These include general manager roles, human resource manager roles, and human resource professionals.</w:t>
      </w:r>
    </w:p>
    <w:p w14:paraId="5AB755CD" w14:textId="26E0BF24" w:rsidR="00386683" w:rsidRPr="0069220A" w:rsidRDefault="00386683" w:rsidP="009E4064">
      <w:pPr>
        <w:pStyle w:val="ListBullet"/>
        <w:spacing w:after="240"/>
        <w:rPr>
          <w:rFonts w:eastAsia="Arial" w:cs="Arial"/>
        </w:rPr>
      </w:pPr>
      <w:r w:rsidRPr="71BE244F">
        <w:rPr>
          <w:b/>
          <w:bCs/>
        </w:rPr>
        <w:t xml:space="preserve">Industry occupation </w:t>
      </w:r>
      <w:r w:rsidR="002963B2" w:rsidRPr="71BE244F">
        <w:rPr>
          <w:b/>
          <w:bCs/>
        </w:rPr>
        <w:t>movements</w:t>
      </w:r>
      <w:r>
        <w:t>, which have been defined as all other roles at Skill level 4 and above (although we do not know that the individuals are applying the industry knowledge from their most recent role).</w:t>
      </w:r>
      <w:r w:rsidR="006B297A">
        <w:rPr>
          <w:rStyle w:val="FootnoteReference"/>
        </w:rPr>
        <w:footnoteReference w:id="14"/>
      </w:r>
    </w:p>
    <w:p w14:paraId="74B26309" w14:textId="2A22F334" w:rsidR="00B538A9" w:rsidRDefault="3B9DAA52" w:rsidP="002723D0">
      <w:pPr>
        <w:pStyle w:val="Bodycopy"/>
      </w:pPr>
      <w:r w:rsidRPr="3EA8C90E">
        <w:t xml:space="preserve">More </w:t>
      </w:r>
      <w:r w:rsidR="00CC6D50">
        <w:t>VET teachers</w:t>
      </w:r>
      <w:r w:rsidRPr="3EA8C90E">
        <w:t xml:space="preserve"> move into the role from education-related roles, such as School Teachers and university lecturers, than from vocational industry-related roles (</w:t>
      </w:r>
      <w:r w:rsidR="36E2467C" w:rsidRPr="3EA8C90E">
        <w:t>28.</w:t>
      </w:r>
      <w:r w:rsidRPr="3EA8C90E">
        <w:t xml:space="preserve">3% compared to </w:t>
      </w:r>
      <w:r w:rsidR="36E2467C" w:rsidRPr="3EA8C90E">
        <w:t>16.5</w:t>
      </w:r>
      <w:r w:rsidRPr="3EA8C90E">
        <w:t xml:space="preserve">%; see </w:t>
      </w:r>
      <w:hyperlink w:anchor="Table_4_6" w:history="1">
        <w:r w:rsidRPr="00E20E5E">
          <w:rPr>
            <w:rStyle w:val="Hyperlink"/>
          </w:rPr>
          <w:t>Table 4.6</w:t>
        </w:r>
      </w:hyperlink>
      <w:r w:rsidRPr="3EA8C90E">
        <w:t xml:space="preserve">). </w:t>
      </w:r>
      <w:r w:rsidR="00CC6D50">
        <w:t>VET teachers</w:t>
      </w:r>
      <w:r w:rsidRPr="3EA8C90E">
        <w:t xml:space="preserve"> who left for another known role (as opposed to retiring or where the occupation is unknown) mostly stayed within education, </w:t>
      </w:r>
      <w:r w:rsidR="6475A934" w:rsidRPr="3EA8C90E">
        <w:t xml:space="preserve">moving </w:t>
      </w:r>
      <w:r w:rsidRPr="3EA8C90E">
        <w:t xml:space="preserve">to </w:t>
      </w:r>
      <w:r w:rsidR="6C66BADB" w:rsidRPr="3EA8C90E">
        <w:t xml:space="preserve">roles like </w:t>
      </w:r>
      <w:r w:rsidRPr="3EA8C90E">
        <w:t xml:space="preserve">School Teacher, University Lecturer or Training and Development </w:t>
      </w:r>
      <w:r w:rsidR="473515A3" w:rsidRPr="3EA8C90E">
        <w:t>Professional.</w:t>
      </w:r>
      <w:r w:rsidRPr="3EA8C90E">
        <w:t xml:space="preserve"> Returning to vocational roles was less common than </w:t>
      </w:r>
      <w:r w:rsidR="5A1D7EFC" w:rsidRPr="3EA8C90E">
        <w:t>shifting to</w:t>
      </w:r>
      <w:r w:rsidRPr="3EA8C90E">
        <w:t xml:space="preserve"> corporate or administrative roles (</w:t>
      </w:r>
      <w:r w:rsidR="36E2467C" w:rsidRPr="3EA8C90E">
        <w:t>7.2</w:t>
      </w:r>
      <w:r w:rsidRPr="3EA8C90E">
        <w:t>% compared to 9.6%)</w:t>
      </w:r>
      <w:r w:rsidR="63B85291" w:rsidRPr="3EA8C90E">
        <w:t>. As</w:t>
      </w:r>
      <w:r w:rsidR="00B538A9">
        <w:t xml:space="preserve"> a</w:t>
      </w:r>
      <w:r w:rsidR="63B85291" w:rsidRPr="3EA8C90E">
        <w:t xml:space="preserve">bove, this </w:t>
      </w:r>
      <w:r w:rsidR="49340E48" w:rsidRPr="3EA8C90E">
        <w:t>likely reflects</w:t>
      </w:r>
      <w:r w:rsidRPr="3EA8C90E">
        <w:t xml:space="preserve"> career progressions within VET as opposed to </w:t>
      </w:r>
      <w:r w:rsidR="00CC6D50">
        <w:t>VET teachers</w:t>
      </w:r>
      <w:r w:rsidR="4D98E2D0" w:rsidRPr="3EA8C90E">
        <w:t xml:space="preserve"> leaving the sector completely.</w:t>
      </w:r>
    </w:p>
    <w:p w14:paraId="650012C0" w14:textId="77777777" w:rsidR="000B1F9E" w:rsidRDefault="000B1F9E">
      <w:pPr>
        <w:rPr>
          <w:b/>
          <w:sz w:val="20"/>
          <w:lang w:val="en-US"/>
        </w:rPr>
      </w:pPr>
      <w:r>
        <w:br w:type="page"/>
      </w:r>
    </w:p>
    <w:p w14:paraId="72473710" w14:textId="4F0FA2D8" w:rsidR="001554E1" w:rsidRDefault="00386683" w:rsidP="00B538A9">
      <w:pPr>
        <w:pStyle w:val="ChartandTablelabel"/>
      </w:pPr>
      <w:bookmarkStart w:id="213" w:name="Table_4_6"/>
      <w:r>
        <w:lastRenderedPageBreak/>
        <w:t xml:space="preserve">Table </w:t>
      </w:r>
      <w:r>
        <w:fldChar w:fldCharType="begin"/>
      </w:r>
      <w:r>
        <w:instrText xml:space="preserve"> STYLEREF 1 \s </w:instrText>
      </w:r>
      <w:r>
        <w:fldChar w:fldCharType="separate"/>
      </w:r>
      <w:r w:rsidR="00E7704E">
        <w:rPr>
          <w:noProof/>
        </w:rPr>
        <w:t>4</w:t>
      </w:r>
      <w:r>
        <w:fldChar w:fldCharType="end"/>
      </w:r>
      <w:r w:rsidR="004B692A">
        <w:t>.</w:t>
      </w:r>
      <w:r>
        <w:fldChar w:fldCharType="begin"/>
      </w:r>
      <w:r>
        <w:instrText xml:space="preserve"> SEQ Table \* ARABIC \s 1 </w:instrText>
      </w:r>
      <w:r>
        <w:fldChar w:fldCharType="separate"/>
      </w:r>
      <w:r w:rsidR="00E7704E">
        <w:rPr>
          <w:noProof/>
        </w:rPr>
        <w:t>6</w:t>
      </w:r>
      <w:r>
        <w:fldChar w:fldCharType="end"/>
      </w:r>
      <w:r>
        <w:t xml:space="preserve"> Occupational </w:t>
      </w:r>
      <w:r w:rsidR="0012671B">
        <w:t xml:space="preserve">movements </w:t>
      </w:r>
      <w:r>
        <w:t>into and out</w:t>
      </w:r>
      <w:r w:rsidR="005C21B6">
        <w:t xml:space="preserve"> of</w:t>
      </w:r>
      <w:r>
        <w:t xml:space="preserve"> VET </w:t>
      </w:r>
      <w:r w:rsidR="00D17A30">
        <w:t>t</w:t>
      </w:r>
      <w:r>
        <w:t>eacher (FY2011/12-2019/20)</w:t>
      </w:r>
      <w:r w:rsidR="00AF6C01" w:rsidRPr="00AF6C01">
        <w:t xml:space="preserve"> </w:t>
      </w:r>
    </w:p>
    <w:tbl>
      <w:tblPr>
        <w:tblStyle w:val="JSATable1"/>
        <w:tblW w:w="8902" w:type="dxa"/>
        <w:tblLook w:val="04A0" w:firstRow="1" w:lastRow="0" w:firstColumn="1" w:lastColumn="0" w:noHBand="0" w:noVBand="1"/>
        <w:tblCaption w:val="Table 4.6 "/>
        <w:tblDescription w:val="Occupational movements into and out of VET Teacher (FY2011/12-2019/20) "/>
      </w:tblPr>
      <w:tblGrid>
        <w:gridCol w:w="3450"/>
        <w:gridCol w:w="814"/>
        <w:gridCol w:w="3706"/>
        <w:gridCol w:w="932"/>
      </w:tblGrid>
      <w:tr w:rsidR="001554E1" w14:paraId="297F556F" w14:textId="77777777" w:rsidTr="009F7C27">
        <w:trPr>
          <w:cnfStyle w:val="100000000000" w:firstRow="1" w:lastRow="0" w:firstColumn="0" w:lastColumn="0" w:oddVBand="0" w:evenVBand="0" w:oddHBand="0" w:evenHBand="0" w:firstRowFirstColumn="0" w:firstRowLastColumn="0" w:lastRowFirstColumn="0" w:lastRowLastColumn="0"/>
          <w:trHeight w:val="971"/>
        </w:trPr>
        <w:tc>
          <w:tcPr>
            <w:cnfStyle w:val="001000000100" w:firstRow="0" w:lastRow="0" w:firstColumn="1" w:lastColumn="0" w:oddVBand="0" w:evenVBand="0" w:oddHBand="0" w:evenHBand="0" w:firstRowFirstColumn="1" w:firstRowLastColumn="0" w:lastRowFirstColumn="0" w:lastRowLastColumn="0"/>
            <w:tcW w:w="4318" w:type="dxa"/>
            <w:gridSpan w:val="2"/>
            <w:vAlign w:val="center"/>
          </w:tcPr>
          <w:bookmarkEnd w:id="213"/>
          <w:p w14:paraId="0E7CD1B8" w14:textId="77777777" w:rsidR="001554E1" w:rsidRPr="00570E29" w:rsidRDefault="001554E1" w:rsidP="009F7C27">
            <w:pPr>
              <w:ind w:left="0"/>
              <w:rPr>
                <w:color w:val="FFFFFF" w:themeColor="background1"/>
                <w:sz w:val="20"/>
                <w:szCs w:val="20"/>
              </w:rPr>
            </w:pPr>
            <w:r w:rsidRPr="00570E29">
              <w:rPr>
                <w:color w:val="FFFFFF" w:themeColor="background1"/>
                <w:sz w:val="20"/>
                <w:szCs w:val="20"/>
              </w:rPr>
              <w:t>Previous year occupations</w:t>
            </w:r>
            <w:r w:rsidR="00570E29">
              <w:rPr>
                <w:color w:val="FFFFFF" w:themeColor="background1"/>
                <w:sz w:val="20"/>
                <w:szCs w:val="20"/>
              </w:rPr>
              <w:br/>
            </w:r>
            <w:r w:rsidRPr="00570E29">
              <w:rPr>
                <w:color w:val="FFFFFF" w:themeColor="background1"/>
                <w:sz w:val="20"/>
                <w:szCs w:val="20"/>
              </w:rPr>
              <w:t>(occupational transitions in)</w:t>
            </w:r>
          </w:p>
        </w:tc>
        <w:tc>
          <w:tcPr>
            <w:tcW w:w="4698" w:type="dxa"/>
            <w:gridSpan w:val="2"/>
            <w:vAlign w:val="center"/>
          </w:tcPr>
          <w:p w14:paraId="698835A8" w14:textId="74B84DE9" w:rsidR="001554E1" w:rsidRPr="00570E29" w:rsidRDefault="001554E1" w:rsidP="009F7C27">
            <w:pPr>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570E29">
              <w:rPr>
                <w:color w:val="FFFFFF" w:themeColor="background1"/>
                <w:szCs w:val="20"/>
              </w:rPr>
              <w:t xml:space="preserve">Following year occupations </w:t>
            </w:r>
            <w:r w:rsidR="00570E29">
              <w:rPr>
                <w:color w:val="FFFFFF" w:themeColor="background1"/>
                <w:szCs w:val="20"/>
              </w:rPr>
              <w:br/>
            </w:r>
            <w:r w:rsidRPr="00570E29">
              <w:rPr>
                <w:color w:val="FFFFFF" w:themeColor="background1"/>
                <w:szCs w:val="20"/>
              </w:rPr>
              <w:t>(occupational transitions out)</w:t>
            </w:r>
          </w:p>
        </w:tc>
      </w:tr>
      <w:tr w:rsidR="001554E1" w14:paraId="69D89084" w14:textId="77777777" w:rsidTr="00E329B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14FD5047" w14:textId="77777777" w:rsidR="001554E1" w:rsidRPr="00570E29" w:rsidRDefault="001554E1" w:rsidP="00867A7D">
            <w:pPr>
              <w:rPr>
                <w:b/>
                <w:bCs/>
                <w:szCs w:val="20"/>
              </w:rPr>
            </w:pPr>
            <w:r w:rsidRPr="00570E29">
              <w:rPr>
                <w:b/>
                <w:bCs/>
                <w:szCs w:val="20"/>
              </w:rPr>
              <w:t>Education occupations</w:t>
            </w:r>
          </w:p>
        </w:tc>
        <w:tc>
          <w:tcPr>
            <w:tcW w:w="820" w:type="dxa"/>
            <w:vAlign w:val="center"/>
          </w:tcPr>
          <w:p w14:paraId="54FD7C2C"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b/>
                <w:bCs/>
                <w:szCs w:val="20"/>
              </w:rPr>
            </w:pPr>
            <w:r w:rsidRPr="00570E29">
              <w:rPr>
                <w:b/>
                <w:bCs/>
                <w:szCs w:val="20"/>
              </w:rPr>
              <w:t>28.3%</w:t>
            </w:r>
          </w:p>
        </w:tc>
        <w:tc>
          <w:tcPr>
            <w:tcW w:w="3757" w:type="dxa"/>
            <w:vAlign w:val="center"/>
          </w:tcPr>
          <w:p w14:paraId="1B918FA9" w14:textId="77777777" w:rsidR="001554E1" w:rsidRPr="00570E29" w:rsidRDefault="001554E1" w:rsidP="00E329BE">
            <w:pPr>
              <w:ind w:left="284"/>
              <w:cnfStyle w:val="000000100000" w:firstRow="0" w:lastRow="0" w:firstColumn="0" w:lastColumn="0" w:oddVBand="0" w:evenVBand="0" w:oddHBand="1" w:evenHBand="0" w:firstRowFirstColumn="0" w:firstRowLastColumn="0" w:lastRowFirstColumn="0" w:lastRowLastColumn="0"/>
              <w:rPr>
                <w:b/>
                <w:bCs/>
                <w:szCs w:val="20"/>
              </w:rPr>
            </w:pPr>
            <w:r w:rsidRPr="00570E29">
              <w:rPr>
                <w:b/>
                <w:bCs/>
                <w:szCs w:val="20"/>
              </w:rPr>
              <w:t>Education occupations</w:t>
            </w:r>
          </w:p>
        </w:tc>
        <w:tc>
          <w:tcPr>
            <w:tcW w:w="941" w:type="dxa"/>
            <w:vAlign w:val="center"/>
          </w:tcPr>
          <w:p w14:paraId="3A40FA8C"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b/>
                <w:bCs/>
                <w:szCs w:val="20"/>
              </w:rPr>
            </w:pPr>
            <w:r w:rsidRPr="00570E29">
              <w:rPr>
                <w:b/>
                <w:bCs/>
                <w:szCs w:val="20"/>
              </w:rPr>
              <w:t>25.7%</w:t>
            </w:r>
          </w:p>
        </w:tc>
      </w:tr>
      <w:tr w:rsidR="00FB7C3A" w14:paraId="7FC66069" w14:textId="77777777" w:rsidTr="00E329BE">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342D18FB" w14:textId="77777777" w:rsidR="001554E1" w:rsidRPr="00570E29" w:rsidRDefault="001554E1" w:rsidP="00867A7D">
            <w:pPr>
              <w:rPr>
                <w:szCs w:val="20"/>
              </w:rPr>
            </w:pPr>
            <w:r w:rsidRPr="00570E29">
              <w:rPr>
                <w:szCs w:val="20"/>
              </w:rPr>
              <w:t>School Teachers nfd</w:t>
            </w:r>
          </w:p>
        </w:tc>
        <w:tc>
          <w:tcPr>
            <w:tcW w:w="820" w:type="dxa"/>
            <w:vAlign w:val="center"/>
          </w:tcPr>
          <w:p w14:paraId="412426C8"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szCs w:val="20"/>
              </w:rPr>
            </w:pPr>
            <w:r w:rsidRPr="00570E29">
              <w:rPr>
                <w:szCs w:val="20"/>
              </w:rPr>
              <w:t>5.8%</w:t>
            </w:r>
          </w:p>
        </w:tc>
        <w:tc>
          <w:tcPr>
            <w:tcW w:w="3757" w:type="dxa"/>
            <w:vAlign w:val="center"/>
          </w:tcPr>
          <w:p w14:paraId="22F09914" w14:textId="77777777" w:rsidR="001554E1" w:rsidRPr="00570E29" w:rsidRDefault="001554E1" w:rsidP="00E329BE">
            <w:pPr>
              <w:ind w:left="284"/>
              <w:cnfStyle w:val="000000010000" w:firstRow="0" w:lastRow="0" w:firstColumn="0" w:lastColumn="0" w:oddVBand="0" w:evenVBand="0" w:oddHBand="0" w:evenHBand="1" w:firstRowFirstColumn="0" w:firstRowLastColumn="0" w:lastRowFirstColumn="0" w:lastRowLastColumn="0"/>
              <w:rPr>
                <w:szCs w:val="20"/>
              </w:rPr>
            </w:pPr>
            <w:r w:rsidRPr="00570E29">
              <w:rPr>
                <w:szCs w:val="20"/>
              </w:rPr>
              <w:t>Secondary School Teacher</w:t>
            </w:r>
          </w:p>
        </w:tc>
        <w:tc>
          <w:tcPr>
            <w:tcW w:w="941" w:type="dxa"/>
            <w:vAlign w:val="center"/>
          </w:tcPr>
          <w:p w14:paraId="032D669E"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szCs w:val="20"/>
              </w:rPr>
            </w:pPr>
            <w:r w:rsidRPr="00570E29">
              <w:rPr>
                <w:szCs w:val="20"/>
              </w:rPr>
              <w:t>4.1%</w:t>
            </w:r>
          </w:p>
        </w:tc>
      </w:tr>
      <w:tr w:rsidR="001554E1" w14:paraId="6B6F4193" w14:textId="77777777" w:rsidTr="00E329B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786D9202" w14:textId="77777777" w:rsidR="001554E1" w:rsidRPr="00570E29" w:rsidRDefault="001554E1" w:rsidP="00867A7D">
            <w:pPr>
              <w:rPr>
                <w:szCs w:val="20"/>
              </w:rPr>
            </w:pPr>
            <w:r w:rsidRPr="00570E29">
              <w:rPr>
                <w:szCs w:val="20"/>
              </w:rPr>
              <w:t>Secondary School Teacher</w:t>
            </w:r>
          </w:p>
        </w:tc>
        <w:tc>
          <w:tcPr>
            <w:tcW w:w="820" w:type="dxa"/>
            <w:vAlign w:val="center"/>
          </w:tcPr>
          <w:p w14:paraId="1E873CDB"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szCs w:val="20"/>
              </w:rPr>
            </w:pPr>
            <w:r w:rsidRPr="00570E29">
              <w:rPr>
                <w:szCs w:val="20"/>
              </w:rPr>
              <w:t>4.4%</w:t>
            </w:r>
          </w:p>
        </w:tc>
        <w:tc>
          <w:tcPr>
            <w:tcW w:w="3757" w:type="dxa"/>
            <w:vAlign w:val="center"/>
          </w:tcPr>
          <w:p w14:paraId="45366737" w14:textId="77777777" w:rsidR="001554E1" w:rsidRPr="00570E29" w:rsidRDefault="001554E1" w:rsidP="00E329BE">
            <w:pPr>
              <w:ind w:left="284"/>
              <w:cnfStyle w:val="000000100000" w:firstRow="0" w:lastRow="0" w:firstColumn="0" w:lastColumn="0" w:oddVBand="0" w:evenVBand="0" w:oddHBand="1" w:evenHBand="0" w:firstRowFirstColumn="0" w:firstRowLastColumn="0" w:lastRowFirstColumn="0" w:lastRowLastColumn="0"/>
              <w:rPr>
                <w:szCs w:val="20"/>
              </w:rPr>
            </w:pPr>
            <w:r w:rsidRPr="00570E29">
              <w:rPr>
                <w:szCs w:val="20"/>
              </w:rPr>
              <w:t>University Lecturer</w:t>
            </w:r>
          </w:p>
        </w:tc>
        <w:tc>
          <w:tcPr>
            <w:tcW w:w="941" w:type="dxa"/>
            <w:vAlign w:val="center"/>
          </w:tcPr>
          <w:p w14:paraId="532271A9"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szCs w:val="20"/>
              </w:rPr>
            </w:pPr>
            <w:r w:rsidRPr="00570E29">
              <w:rPr>
                <w:szCs w:val="20"/>
              </w:rPr>
              <w:t>4.1%</w:t>
            </w:r>
          </w:p>
        </w:tc>
      </w:tr>
      <w:tr w:rsidR="00FB7C3A" w14:paraId="0A068B63" w14:textId="77777777" w:rsidTr="00E329BE">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263394CC" w14:textId="77777777" w:rsidR="001554E1" w:rsidRPr="00570E29" w:rsidRDefault="001554E1" w:rsidP="00867A7D">
            <w:pPr>
              <w:rPr>
                <w:szCs w:val="20"/>
              </w:rPr>
            </w:pPr>
            <w:r w:rsidRPr="00570E29">
              <w:rPr>
                <w:szCs w:val="20"/>
              </w:rPr>
              <w:t>University Lecturer</w:t>
            </w:r>
          </w:p>
        </w:tc>
        <w:tc>
          <w:tcPr>
            <w:tcW w:w="820" w:type="dxa"/>
            <w:vAlign w:val="center"/>
          </w:tcPr>
          <w:p w14:paraId="23E01B45"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szCs w:val="20"/>
              </w:rPr>
            </w:pPr>
            <w:r w:rsidRPr="00570E29">
              <w:rPr>
                <w:szCs w:val="20"/>
              </w:rPr>
              <w:t>3.6%</w:t>
            </w:r>
          </w:p>
        </w:tc>
        <w:tc>
          <w:tcPr>
            <w:tcW w:w="3757" w:type="dxa"/>
            <w:vAlign w:val="center"/>
          </w:tcPr>
          <w:p w14:paraId="6782F2A4" w14:textId="77777777" w:rsidR="001554E1" w:rsidRPr="00570E29" w:rsidRDefault="001554E1" w:rsidP="00E329BE">
            <w:pPr>
              <w:ind w:left="284"/>
              <w:cnfStyle w:val="000000010000" w:firstRow="0" w:lastRow="0" w:firstColumn="0" w:lastColumn="0" w:oddVBand="0" w:evenVBand="0" w:oddHBand="0" w:evenHBand="1" w:firstRowFirstColumn="0" w:firstRowLastColumn="0" w:lastRowFirstColumn="0" w:lastRowLastColumn="0"/>
              <w:rPr>
                <w:szCs w:val="20"/>
              </w:rPr>
            </w:pPr>
            <w:r w:rsidRPr="00570E29">
              <w:rPr>
                <w:szCs w:val="20"/>
              </w:rPr>
              <w:t>School Teachers nfd</w:t>
            </w:r>
          </w:p>
        </w:tc>
        <w:tc>
          <w:tcPr>
            <w:tcW w:w="941" w:type="dxa"/>
            <w:vAlign w:val="center"/>
          </w:tcPr>
          <w:p w14:paraId="25A36FD8"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szCs w:val="20"/>
              </w:rPr>
            </w:pPr>
            <w:r w:rsidRPr="00570E29">
              <w:rPr>
                <w:szCs w:val="20"/>
              </w:rPr>
              <w:t>3.3%</w:t>
            </w:r>
          </w:p>
        </w:tc>
      </w:tr>
      <w:tr w:rsidR="001554E1" w14:paraId="7AD413EA" w14:textId="77777777" w:rsidTr="00E329BE">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381E073E" w14:textId="77777777" w:rsidR="001554E1" w:rsidRPr="00570E29" w:rsidRDefault="001554E1" w:rsidP="00867A7D">
            <w:pPr>
              <w:rPr>
                <w:szCs w:val="20"/>
              </w:rPr>
            </w:pPr>
            <w:r w:rsidRPr="00570E29">
              <w:rPr>
                <w:szCs w:val="20"/>
              </w:rPr>
              <w:t xml:space="preserve">Training and Development Professional </w:t>
            </w:r>
          </w:p>
        </w:tc>
        <w:tc>
          <w:tcPr>
            <w:tcW w:w="820" w:type="dxa"/>
            <w:vAlign w:val="center"/>
          </w:tcPr>
          <w:p w14:paraId="7308AACA"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szCs w:val="20"/>
              </w:rPr>
            </w:pPr>
            <w:r w:rsidRPr="00570E29">
              <w:rPr>
                <w:szCs w:val="20"/>
              </w:rPr>
              <w:t>3.1%</w:t>
            </w:r>
          </w:p>
        </w:tc>
        <w:tc>
          <w:tcPr>
            <w:tcW w:w="3757" w:type="dxa"/>
            <w:vAlign w:val="center"/>
          </w:tcPr>
          <w:p w14:paraId="2E8CFC59" w14:textId="77777777" w:rsidR="001554E1" w:rsidRPr="00570E29" w:rsidRDefault="001554E1" w:rsidP="00E329BE">
            <w:pPr>
              <w:ind w:left="284"/>
              <w:cnfStyle w:val="000000100000" w:firstRow="0" w:lastRow="0" w:firstColumn="0" w:lastColumn="0" w:oddVBand="0" w:evenVBand="0" w:oddHBand="1" w:evenHBand="0" w:firstRowFirstColumn="0" w:firstRowLastColumn="0" w:lastRowFirstColumn="0" w:lastRowLastColumn="0"/>
              <w:rPr>
                <w:szCs w:val="20"/>
              </w:rPr>
            </w:pPr>
            <w:r w:rsidRPr="00570E29">
              <w:rPr>
                <w:szCs w:val="20"/>
              </w:rPr>
              <w:t>Training and Development Professional</w:t>
            </w:r>
          </w:p>
        </w:tc>
        <w:tc>
          <w:tcPr>
            <w:tcW w:w="941" w:type="dxa"/>
            <w:vAlign w:val="center"/>
          </w:tcPr>
          <w:p w14:paraId="71B9AAA3"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szCs w:val="20"/>
              </w:rPr>
            </w:pPr>
            <w:r w:rsidRPr="00570E29">
              <w:rPr>
                <w:szCs w:val="20"/>
              </w:rPr>
              <w:t>2.6%</w:t>
            </w:r>
          </w:p>
        </w:tc>
      </w:tr>
      <w:tr w:rsidR="00FB7C3A" w14:paraId="050AD49B" w14:textId="77777777" w:rsidTr="00E329BE">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350CFD02" w14:textId="77777777" w:rsidR="001554E1" w:rsidRPr="00570E29" w:rsidRDefault="001554E1" w:rsidP="00867A7D">
            <w:pPr>
              <w:rPr>
                <w:szCs w:val="20"/>
              </w:rPr>
            </w:pPr>
            <w:r w:rsidRPr="00570E29">
              <w:rPr>
                <w:szCs w:val="20"/>
              </w:rPr>
              <w:t>Primary School Teacher</w:t>
            </w:r>
          </w:p>
        </w:tc>
        <w:tc>
          <w:tcPr>
            <w:tcW w:w="820" w:type="dxa"/>
            <w:vAlign w:val="center"/>
          </w:tcPr>
          <w:p w14:paraId="4E52F916"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szCs w:val="20"/>
              </w:rPr>
            </w:pPr>
            <w:r w:rsidRPr="00570E29">
              <w:rPr>
                <w:szCs w:val="20"/>
              </w:rPr>
              <w:t>1.7%</w:t>
            </w:r>
          </w:p>
        </w:tc>
        <w:tc>
          <w:tcPr>
            <w:tcW w:w="3757" w:type="dxa"/>
            <w:vAlign w:val="center"/>
          </w:tcPr>
          <w:p w14:paraId="602AA625" w14:textId="77777777" w:rsidR="001554E1" w:rsidRPr="00570E29" w:rsidRDefault="001554E1" w:rsidP="00E329BE">
            <w:pPr>
              <w:ind w:left="284"/>
              <w:cnfStyle w:val="000000010000" w:firstRow="0" w:lastRow="0" w:firstColumn="0" w:lastColumn="0" w:oddVBand="0" w:evenVBand="0" w:oddHBand="0" w:evenHBand="1" w:firstRowFirstColumn="0" w:firstRowLastColumn="0" w:lastRowFirstColumn="0" w:lastRowLastColumn="0"/>
              <w:rPr>
                <w:szCs w:val="20"/>
              </w:rPr>
            </w:pPr>
            <w:r w:rsidRPr="00570E29">
              <w:rPr>
                <w:szCs w:val="20"/>
              </w:rPr>
              <w:t>Education Adviser</w:t>
            </w:r>
          </w:p>
        </w:tc>
        <w:tc>
          <w:tcPr>
            <w:tcW w:w="941" w:type="dxa"/>
            <w:vAlign w:val="center"/>
          </w:tcPr>
          <w:p w14:paraId="5F34BB85"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szCs w:val="20"/>
              </w:rPr>
            </w:pPr>
            <w:r w:rsidRPr="00570E29">
              <w:rPr>
                <w:szCs w:val="20"/>
              </w:rPr>
              <w:t>1.8%</w:t>
            </w:r>
          </w:p>
        </w:tc>
      </w:tr>
      <w:tr w:rsidR="001554E1" w14:paraId="30F87B24" w14:textId="77777777" w:rsidTr="00E329B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0B8AF862" w14:textId="77777777" w:rsidR="001554E1" w:rsidRPr="00570E29" w:rsidRDefault="001554E1" w:rsidP="00867A7D">
            <w:pPr>
              <w:rPr>
                <w:szCs w:val="20"/>
              </w:rPr>
            </w:pPr>
            <w:r w:rsidRPr="00570E29">
              <w:rPr>
                <w:szCs w:val="20"/>
              </w:rPr>
              <w:t>Other education occupations</w:t>
            </w:r>
          </w:p>
        </w:tc>
        <w:tc>
          <w:tcPr>
            <w:tcW w:w="820" w:type="dxa"/>
            <w:vAlign w:val="center"/>
          </w:tcPr>
          <w:p w14:paraId="6D67724F"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szCs w:val="20"/>
              </w:rPr>
            </w:pPr>
            <w:r w:rsidRPr="00570E29">
              <w:rPr>
                <w:szCs w:val="20"/>
              </w:rPr>
              <w:t>9.7%</w:t>
            </w:r>
          </w:p>
        </w:tc>
        <w:tc>
          <w:tcPr>
            <w:tcW w:w="3757" w:type="dxa"/>
            <w:vAlign w:val="center"/>
          </w:tcPr>
          <w:p w14:paraId="34992F12" w14:textId="77777777" w:rsidR="001554E1" w:rsidRPr="00570E29" w:rsidRDefault="001554E1" w:rsidP="00E329BE">
            <w:pPr>
              <w:ind w:left="284"/>
              <w:cnfStyle w:val="000000100000" w:firstRow="0" w:lastRow="0" w:firstColumn="0" w:lastColumn="0" w:oddVBand="0" w:evenVBand="0" w:oddHBand="1" w:evenHBand="0" w:firstRowFirstColumn="0" w:firstRowLastColumn="0" w:lastRowFirstColumn="0" w:lastRowLastColumn="0"/>
              <w:rPr>
                <w:szCs w:val="20"/>
              </w:rPr>
            </w:pPr>
            <w:r w:rsidRPr="00570E29">
              <w:rPr>
                <w:szCs w:val="20"/>
              </w:rPr>
              <w:t>Other education occupations</w:t>
            </w:r>
          </w:p>
        </w:tc>
        <w:tc>
          <w:tcPr>
            <w:tcW w:w="941" w:type="dxa"/>
            <w:vAlign w:val="center"/>
          </w:tcPr>
          <w:p w14:paraId="73AF8E71"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szCs w:val="20"/>
              </w:rPr>
            </w:pPr>
            <w:r w:rsidRPr="00570E29">
              <w:rPr>
                <w:szCs w:val="20"/>
              </w:rPr>
              <w:t>9.8%</w:t>
            </w:r>
          </w:p>
        </w:tc>
      </w:tr>
      <w:tr w:rsidR="00FB7C3A" w14:paraId="1A8BC5D0" w14:textId="77777777" w:rsidTr="00E329BE">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4798D1BE" w14:textId="77777777" w:rsidR="001554E1" w:rsidRPr="00570E29" w:rsidRDefault="001554E1" w:rsidP="00867A7D">
            <w:pPr>
              <w:rPr>
                <w:b/>
                <w:bCs/>
                <w:szCs w:val="20"/>
              </w:rPr>
            </w:pPr>
            <w:r w:rsidRPr="00570E29">
              <w:rPr>
                <w:b/>
                <w:bCs/>
                <w:szCs w:val="20"/>
              </w:rPr>
              <w:t>Vocational occupations</w:t>
            </w:r>
          </w:p>
        </w:tc>
        <w:tc>
          <w:tcPr>
            <w:tcW w:w="820" w:type="dxa"/>
            <w:vAlign w:val="center"/>
          </w:tcPr>
          <w:p w14:paraId="4CB352AB"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b/>
                <w:bCs/>
                <w:szCs w:val="20"/>
              </w:rPr>
            </w:pPr>
            <w:r w:rsidRPr="00570E29">
              <w:rPr>
                <w:b/>
                <w:bCs/>
                <w:szCs w:val="20"/>
              </w:rPr>
              <w:t>16.5%</w:t>
            </w:r>
          </w:p>
        </w:tc>
        <w:tc>
          <w:tcPr>
            <w:tcW w:w="3757" w:type="dxa"/>
            <w:vAlign w:val="center"/>
          </w:tcPr>
          <w:p w14:paraId="16775280" w14:textId="77777777" w:rsidR="001554E1" w:rsidRPr="00570E29" w:rsidRDefault="001554E1" w:rsidP="00E329BE">
            <w:pPr>
              <w:ind w:left="284"/>
              <w:cnfStyle w:val="000000010000" w:firstRow="0" w:lastRow="0" w:firstColumn="0" w:lastColumn="0" w:oddVBand="0" w:evenVBand="0" w:oddHBand="0" w:evenHBand="1" w:firstRowFirstColumn="0" w:firstRowLastColumn="0" w:lastRowFirstColumn="0" w:lastRowLastColumn="0"/>
              <w:rPr>
                <w:b/>
                <w:bCs/>
                <w:szCs w:val="20"/>
              </w:rPr>
            </w:pPr>
            <w:r w:rsidRPr="00570E29">
              <w:rPr>
                <w:b/>
                <w:bCs/>
                <w:szCs w:val="20"/>
              </w:rPr>
              <w:t>Corporate and administrative occupations</w:t>
            </w:r>
          </w:p>
        </w:tc>
        <w:tc>
          <w:tcPr>
            <w:tcW w:w="941" w:type="dxa"/>
            <w:vAlign w:val="center"/>
          </w:tcPr>
          <w:p w14:paraId="7AA4ACF2"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b/>
                <w:bCs/>
                <w:szCs w:val="20"/>
              </w:rPr>
            </w:pPr>
            <w:r w:rsidRPr="00570E29">
              <w:rPr>
                <w:b/>
                <w:bCs/>
                <w:szCs w:val="20"/>
              </w:rPr>
              <w:t>9.6%</w:t>
            </w:r>
          </w:p>
        </w:tc>
      </w:tr>
      <w:tr w:rsidR="001554E1" w14:paraId="25C060D2" w14:textId="77777777" w:rsidTr="00E329B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7F3086D0" w14:textId="77777777" w:rsidR="001554E1" w:rsidRPr="00570E29" w:rsidRDefault="001554E1" w:rsidP="00867A7D">
            <w:pPr>
              <w:rPr>
                <w:szCs w:val="20"/>
              </w:rPr>
            </w:pPr>
            <w:r w:rsidRPr="00570E29">
              <w:rPr>
                <w:szCs w:val="20"/>
              </w:rPr>
              <w:t>Sales Assistant (General)</w:t>
            </w:r>
          </w:p>
        </w:tc>
        <w:tc>
          <w:tcPr>
            <w:tcW w:w="820" w:type="dxa"/>
            <w:vAlign w:val="center"/>
          </w:tcPr>
          <w:p w14:paraId="03B0D9FE"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szCs w:val="20"/>
              </w:rPr>
            </w:pPr>
            <w:r w:rsidRPr="00570E29">
              <w:rPr>
                <w:szCs w:val="20"/>
              </w:rPr>
              <w:t>1.5%</w:t>
            </w:r>
          </w:p>
        </w:tc>
        <w:tc>
          <w:tcPr>
            <w:tcW w:w="3757" w:type="dxa"/>
            <w:vAlign w:val="center"/>
          </w:tcPr>
          <w:p w14:paraId="32A7A5A3" w14:textId="77777777" w:rsidR="001554E1" w:rsidRPr="00570E29" w:rsidRDefault="001554E1" w:rsidP="00E329BE">
            <w:pPr>
              <w:ind w:left="284"/>
              <w:cnfStyle w:val="000000100000" w:firstRow="0" w:lastRow="0" w:firstColumn="0" w:lastColumn="0" w:oddVBand="0" w:evenVBand="0" w:oddHBand="1" w:evenHBand="0" w:firstRowFirstColumn="0" w:firstRowLastColumn="0" w:lastRowFirstColumn="0" w:lastRowLastColumn="0"/>
              <w:rPr>
                <w:szCs w:val="20"/>
              </w:rPr>
            </w:pPr>
            <w:r w:rsidRPr="00570E29">
              <w:rPr>
                <w:szCs w:val="20"/>
              </w:rPr>
              <w:t>Corporate General Manager</w:t>
            </w:r>
          </w:p>
        </w:tc>
        <w:tc>
          <w:tcPr>
            <w:tcW w:w="941" w:type="dxa"/>
            <w:vAlign w:val="center"/>
          </w:tcPr>
          <w:p w14:paraId="648A392D"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szCs w:val="20"/>
              </w:rPr>
            </w:pPr>
            <w:r w:rsidRPr="00570E29">
              <w:rPr>
                <w:szCs w:val="20"/>
              </w:rPr>
              <w:t>1.5%</w:t>
            </w:r>
          </w:p>
        </w:tc>
      </w:tr>
      <w:tr w:rsidR="00FB7C3A" w14:paraId="485B23EE" w14:textId="77777777" w:rsidTr="00E329BE">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604F1A39" w14:textId="77777777" w:rsidR="001554E1" w:rsidRPr="00570E29" w:rsidRDefault="001554E1" w:rsidP="00867A7D">
            <w:pPr>
              <w:rPr>
                <w:szCs w:val="20"/>
              </w:rPr>
            </w:pPr>
            <w:r w:rsidRPr="00570E29">
              <w:rPr>
                <w:szCs w:val="20"/>
              </w:rPr>
              <w:t>Chef</w:t>
            </w:r>
          </w:p>
        </w:tc>
        <w:tc>
          <w:tcPr>
            <w:tcW w:w="820" w:type="dxa"/>
            <w:vAlign w:val="center"/>
          </w:tcPr>
          <w:p w14:paraId="55ADF6EA"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szCs w:val="20"/>
              </w:rPr>
            </w:pPr>
            <w:r w:rsidRPr="00570E29">
              <w:rPr>
                <w:szCs w:val="20"/>
              </w:rPr>
              <w:t>1.5%</w:t>
            </w:r>
          </w:p>
        </w:tc>
        <w:tc>
          <w:tcPr>
            <w:tcW w:w="3757" w:type="dxa"/>
            <w:vAlign w:val="center"/>
          </w:tcPr>
          <w:p w14:paraId="0DE652AA" w14:textId="77777777" w:rsidR="001554E1" w:rsidRPr="00570E29" w:rsidRDefault="001554E1" w:rsidP="00E329BE">
            <w:pPr>
              <w:ind w:left="284"/>
              <w:cnfStyle w:val="000000010000" w:firstRow="0" w:lastRow="0" w:firstColumn="0" w:lastColumn="0" w:oddVBand="0" w:evenVBand="0" w:oddHBand="0" w:evenHBand="1" w:firstRowFirstColumn="0" w:firstRowLastColumn="0" w:lastRowFirstColumn="0" w:lastRowLastColumn="0"/>
              <w:rPr>
                <w:szCs w:val="20"/>
              </w:rPr>
            </w:pPr>
            <w:r w:rsidRPr="00570E29">
              <w:rPr>
                <w:szCs w:val="20"/>
              </w:rPr>
              <w:t>Officer Manager</w:t>
            </w:r>
          </w:p>
        </w:tc>
        <w:tc>
          <w:tcPr>
            <w:tcW w:w="941" w:type="dxa"/>
            <w:vAlign w:val="center"/>
          </w:tcPr>
          <w:p w14:paraId="57FE0D90"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szCs w:val="20"/>
              </w:rPr>
            </w:pPr>
            <w:r w:rsidRPr="00570E29">
              <w:rPr>
                <w:szCs w:val="20"/>
              </w:rPr>
              <w:t>1.1%</w:t>
            </w:r>
          </w:p>
        </w:tc>
      </w:tr>
      <w:tr w:rsidR="001554E1" w14:paraId="01616EEC" w14:textId="77777777" w:rsidTr="00E329B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6B7E3A66" w14:textId="77777777" w:rsidR="001554E1" w:rsidRPr="00570E29" w:rsidRDefault="001554E1" w:rsidP="00867A7D">
            <w:pPr>
              <w:rPr>
                <w:szCs w:val="20"/>
              </w:rPr>
            </w:pPr>
            <w:r w:rsidRPr="00570E29">
              <w:rPr>
                <w:szCs w:val="20"/>
              </w:rPr>
              <w:t>Child Care Worker</w:t>
            </w:r>
          </w:p>
        </w:tc>
        <w:tc>
          <w:tcPr>
            <w:tcW w:w="820" w:type="dxa"/>
            <w:vAlign w:val="center"/>
          </w:tcPr>
          <w:p w14:paraId="64934C32"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szCs w:val="20"/>
              </w:rPr>
            </w:pPr>
            <w:r w:rsidRPr="00570E29">
              <w:rPr>
                <w:szCs w:val="20"/>
              </w:rPr>
              <w:t>1.4%</w:t>
            </w:r>
          </w:p>
        </w:tc>
        <w:tc>
          <w:tcPr>
            <w:tcW w:w="3757" w:type="dxa"/>
            <w:vAlign w:val="center"/>
          </w:tcPr>
          <w:p w14:paraId="01DEFECC" w14:textId="77777777" w:rsidR="001554E1" w:rsidRPr="00570E29" w:rsidRDefault="001554E1" w:rsidP="00E329BE">
            <w:pPr>
              <w:ind w:left="284"/>
              <w:cnfStyle w:val="000000100000" w:firstRow="0" w:lastRow="0" w:firstColumn="0" w:lastColumn="0" w:oddVBand="0" w:evenVBand="0" w:oddHBand="1" w:evenHBand="0" w:firstRowFirstColumn="0" w:firstRowLastColumn="0" w:lastRowFirstColumn="0" w:lastRowLastColumn="0"/>
              <w:rPr>
                <w:szCs w:val="20"/>
              </w:rPr>
            </w:pPr>
            <w:r w:rsidRPr="00570E29">
              <w:rPr>
                <w:szCs w:val="20"/>
              </w:rPr>
              <w:t>Program or Project Administrator</w:t>
            </w:r>
          </w:p>
        </w:tc>
        <w:tc>
          <w:tcPr>
            <w:tcW w:w="941" w:type="dxa"/>
            <w:vAlign w:val="center"/>
          </w:tcPr>
          <w:p w14:paraId="62E18969"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szCs w:val="20"/>
              </w:rPr>
            </w:pPr>
            <w:r w:rsidRPr="00570E29">
              <w:rPr>
                <w:szCs w:val="20"/>
              </w:rPr>
              <w:t>1.0%</w:t>
            </w:r>
          </w:p>
        </w:tc>
      </w:tr>
      <w:tr w:rsidR="00FB7C3A" w14:paraId="42F289E0" w14:textId="77777777" w:rsidTr="00E329BE">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11E8FBD3" w14:textId="77777777" w:rsidR="001554E1" w:rsidRPr="00570E29" w:rsidRDefault="001554E1" w:rsidP="00867A7D">
            <w:pPr>
              <w:rPr>
                <w:szCs w:val="20"/>
              </w:rPr>
            </w:pPr>
            <w:r w:rsidRPr="00570E29">
              <w:rPr>
                <w:szCs w:val="20"/>
              </w:rPr>
              <w:t>Waiter</w:t>
            </w:r>
          </w:p>
        </w:tc>
        <w:tc>
          <w:tcPr>
            <w:tcW w:w="820" w:type="dxa"/>
            <w:vAlign w:val="center"/>
          </w:tcPr>
          <w:p w14:paraId="321187F3"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szCs w:val="20"/>
              </w:rPr>
            </w:pPr>
            <w:r w:rsidRPr="00570E29">
              <w:rPr>
                <w:szCs w:val="20"/>
              </w:rPr>
              <w:t>0.8%</w:t>
            </w:r>
          </w:p>
        </w:tc>
        <w:tc>
          <w:tcPr>
            <w:tcW w:w="3757" w:type="dxa"/>
            <w:vAlign w:val="center"/>
          </w:tcPr>
          <w:p w14:paraId="65994064" w14:textId="77777777" w:rsidR="001554E1" w:rsidRPr="00570E29" w:rsidRDefault="001554E1" w:rsidP="00E329BE">
            <w:pPr>
              <w:ind w:left="284"/>
              <w:cnfStyle w:val="000000010000" w:firstRow="0" w:lastRow="0" w:firstColumn="0" w:lastColumn="0" w:oddVBand="0" w:evenVBand="0" w:oddHBand="0" w:evenHBand="1" w:firstRowFirstColumn="0" w:firstRowLastColumn="0" w:lastRowFirstColumn="0" w:lastRowLastColumn="0"/>
              <w:rPr>
                <w:szCs w:val="20"/>
              </w:rPr>
            </w:pPr>
            <w:r w:rsidRPr="00570E29">
              <w:rPr>
                <w:szCs w:val="20"/>
              </w:rPr>
              <w:t>Chief Executive or Managing Director</w:t>
            </w:r>
          </w:p>
        </w:tc>
        <w:tc>
          <w:tcPr>
            <w:tcW w:w="941" w:type="dxa"/>
            <w:vAlign w:val="center"/>
          </w:tcPr>
          <w:p w14:paraId="43482CFC"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szCs w:val="20"/>
              </w:rPr>
            </w:pPr>
            <w:r w:rsidRPr="00570E29">
              <w:rPr>
                <w:szCs w:val="20"/>
              </w:rPr>
              <w:t>1.0%</w:t>
            </w:r>
          </w:p>
        </w:tc>
      </w:tr>
      <w:tr w:rsidR="001554E1" w14:paraId="36BF63CE" w14:textId="77777777" w:rsidTr="00E329B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6DA03768" w14:textId="77777777" w:rsidR="001554E1" w:rsidRPr="00570E29" w:rsidRDefault="001554E1" w:rsidP="00867A7D">
            <w:pPr>
              <w:rPr>
                <w:szCs w:val="20"/>
              </w:rPr>
            </w:pPr>
            <w:r w:rsidRPr="00570E29">
              <w:rPr>
                <w:szCs w:val="20"/>
              </w:rPr>
              <w:t>Electrician (General)</w:t>
            </w:r>
          </w:p>
        </w:tc>
        <w:tc>
          <w:tcPr>
            <w:tcW w:w="820" w:type="dxa"/>
            <w:vAlign w:val="center"/>
          </w:tcPr>
          <w:p w14:paraId="367A733D"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szCs w:val="20"/>
              </w:rPr>
            </w:pPr>
            <w:r w:rsidRPr="00570E29">
              <w:rPr>
                <w:szCs w:val="20"/>
              </w:rPr>
              <w:t>0.8%</w:t>
            </w:r>
          </w:p>
        </w:tc>
        <w:tc>
          <w:tcPr>
            <w:tcW w:w="3757" w:type="dxa"/>
            <w:vAlign w:val="center"/>
          </w:tcPr>
          <w:p w14:paraId="12A3B8B7" w14:textId="77777777" w:rsidR="001554E1" w:rsidRPr="00570E29" w:rsidRDefault="001554E1" w:rsidP="00E329BE">
            <w:pPr>
              <w:ind w:left="284"/>
              <w:cnfStyle w:val="000000100000" w:firstRow="0" w:lastRow="0" w:firstColumn="0" w:lastColumn="0" w:oddVBand="0" w:evenVBand="0" w:oddHBand="1" w:evenHBand="0" w:firstRowFirstColumn="0" w:firstRowLastColumn="0" w:lastRowFirstColumn="0" w:lastRowLastColumn="0"/>
              <w:rPr>
                <w:szCs w:val="20"/>
              </w:rPr>
            </w:pPr>
            <w:r w:rsidRPr="00570E29">
              <w:rPr>
                <w:szCs w:val="20"/>
              </w:rPr>
              <w:t>Accountant (General)</w:t>
            </w:r>
          </w:p>
        </w:tc>
        <w:tc>
          <w:tcPr>
            <w:tcW w:w="941" w:type="dxa"/>
            <w:vAlign w:val="center"/>
          </w:tcPr>
          <w:p w14:paraId="2DF1F7E2"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szCs w:val="20"/>
              </w:rPr>
            </w:pPr>
            <w:r w:rsidRPr="00570E29">
              <w:rPr>
                <w:szCs w:val="20"/>
              </w:rPr>
              <w:t>0.5%</w:t>
            </w:r>
          </w:p>
        </w:tc>
      </w:tr>
      <w:tr w:rsidR="00FB7C3A" w14:paraId="551F8F04" w14:textId="77777777" w:rsidTr="00E329BE">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6764B358" w14:textId="77777777" w:rsidR="001554E1" w:rsidRPr="00570E29" w:rsidRDefault="001554E1" w:rsidP="00867A7D">
            <w:pPr>
              <w:rPr>
                <w:szCs w:val="20"/>
              </w:rPr>
            </w:pPr>
            <w:r w:rsidRPr="00570E29">
              <w:rPr>
                <w:szCs w:val="20"/>
              </w:rPr>
              <w:t>Other vocation occupations</w:t>
            </w:r>
          </w:p>
        </w:tc>
        <w:tc>
          <w:tcPr>
            <w:tcW w:w="820" w:type="dxa"/>
            <w:vAlign w:val="center"/>
          </w:tcPr>
          <w:p w14:paraId="1D412B2F"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szCs w:val="20"/>
              </w:rPr>
            </w:pPr>
            <w:r w:rsidRPr="00570E29">
              <w:rPr>
                <w:szCs w:val="20"/>
              </w:rPr>
              <w:t>10.5%</w:t>
            </w:r>
          </w:p>
        </w:tc>
        <w:tc>
          <w:tcPr>
            <w:tcW w:w="3757" w:type="dxa"/>
            <w:vAlign w:val="center"/>
          </w:tcPr>
          <w:p w14:paraId="68227959" w14:textId="77777777" w:rsidR="001554E1" w:rsidRPr="00570E29" w:rsidRDefault="001554E1" w:rsidP="00E329BE">
            <w:pPr>
              <w:ind w:left="284"/>
              <w:cnfStyle w:val="000000010000" w:firstRow="0" w:lastRow="0" w:firstColumn="0" w:lastColumn="0" w:oddVBand="0" w:evenVBand="0" w:oddHBand="0" w:evenHBand="1" w:firstRowFirstColumn="0" w:firstRowLastColumn="0" w:lastRowFirstColumn="0" w:lastRowLastColumn="0"/>
              <w:rPr>
                <w:szCs w:val="20"/>
              </w:rPr>
            </w:pPr>
            <w:r w:rsidRPr="00570E29">
              <w:rPr>
                <w:szCs w:val="20"/>
              </w:rPr>
              <w:t>Other corporation and administrative occupations</w:t>
            </w:r>
          </w:p>
        </w:tc>
        <w:tc>
          <w:tcPr>
            <w:tcW w:w="941" w:type="dxa"/>
            <w:vAlign w:val="center"/>
          </w:tcPr>
          <w:p w14:paraId="0D962BEB"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szCs w:val="20"/>
              </w:rPr>
            </w:pPr>
            <w:r w:rsidRPr="00570E29">
              <w:rPr>
                <w:szCs w:val="20"/>
              </w:rPr>
              <w:t>4.5%</w:t>
            </w:r>
          </w:p>
        </w:tc>
      </w:tr>
      <w:tr w:rsidR="001554E1" w14:paraId="22D7F772" w14:textId="77777777" w:rsidTr="00E329BE">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36BE7295" w14:textId="77777777" w:rsidR="001554E1" w:rsidRPr="00570E29" w:rsidRDefault="001554E1" w:rsidP="00867A7D">
            <w:pPr>
              <w:rPr>
                <w:b/>
                <w:bCs/>
                <w:szCs w:val="20"/>
              </w:rPr>
            </w:pPr>
            <w:r w:rsidRPr="00570E29">
              <w:rPr>
                <w:b/>
                <w:bCs/>
                <w:szCs w:val="20"/>
              </w:rPr>
              <w:t>Corporate and administrative occupations</w:t>
            </w:r>
          </w:p>
        </w:tc>
        <w:tc>
          <w:tcPr>
            <w:tcW w:w="820" w:type="dxa"/>
            <w:vAlign w:val="center"/>
          </w:tcPr>
          <w:p w14:paraId="433E87B5"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b/>
                <w:bCs/>
                <w:szCs w:val="20"/>
              </w:rPr>
            </w:pPr>
            <w:r w:rsidRPr="00570E29">
              <w:rPr>
                <w:b/>
                <w:bCs/>
                <w:szCs w:val="20"/>
              </w:rPr>
              <w:t>9.2%</w:t>
            </w:r>
          </w:p>
        </w:tc>
        <w:tc>
          <w:tcPr>
            <w:tcW w:w="3757" w:type="dxa"/>
            <w:vAlign w:val="center"/>
          </w:tcPr>
          <w:p w14:paraId="50E912D4" w14:textId="77777777" w:rsidR="001554E1" w:rsidRPr="00570E29" w:rsidRDefault="001554E1" w:rsidP="00E329BE">
            <w:pPr>
              <w:ind w:left="284"/>
              <w:cnfStyle w:val="000000100000" w:firstRow="0" w:lastRow="0" w:firstColumn="0" w:lastColumn="0" w:oddVBand="0" w:evenVBand="0" w:oddHBand="1" w:evenHBand="0" w:firstRowFirstColumn="0" w:firstRowLastColumn="0" w:lastRowFirstColumn="0" w:lastRowLastColumn="0"/>
              <w:rPr>
                <w:b/>
                <w:bCs/>
                <w:szCs w:val="20"/>
              </w:rPr>
            </w:pPr>
            <w:r w:rsidRPr="00570E29">
              <w:rPr>
                <w:b/>
                <w:bCs/>
                <w:szCs w:val="20"/>
              </w:rPr>
              <w:t>Vocational occupations</w:t>
            </w:r>
          </w:p>
        </w:tc>
        <w:tc>
          <w:tcPr>
            <w:tcW w:w="941" w:type="dxa"/>
            <w:vAlign w:val="center"/>
          </w:tcPr>
          <w:p w14:paraId="18843452"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b/>
                <w:bCs/>
                <w:szCs w:val="20"/>
              </w:rPr>
            </w:pPr>
            <w:r w:rsidRPr="00570E29">
              <w:rPr>
                <w:b/>
                <w:bCs/>
                <w:szCs w:val="20"/>
              </w:rPr>
              <w:t>7.2%</w:t>
            </w:r>
          </w:p>
        </w:tc>
      </w:tr>
      <w:tr w:rsidR="00FB7C3A" w14:paraId="3F1ACD44" w14:textId="77777777" w:rsidTr="00E329BE">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523C9918" w14:textId="77777777" w:rsidR="001554E1" w:rsidRPr="00570E29" w:rsidRDefault="001554E1" w:rsidP="00867A7D">
            <w:pPr>
              <w:rPr>
                <w:szCs w:val="20"/>
              </w:rPr>
            </w:pPr>
            <w:r w:rsidRPr="00570E29">
              <w:rPr>
                <w:szCs w:val="20"/>
              </w:rPr>
              <w:t>General Clerk</w:t>
            </w:r>
          </w:p>
        </w:tc>
        <w:tc>
          <w:tcPr>
            <w:tcW w:w="820" w:type="dxa"/>
            <w:vAlign w:val="center"/>
          </w:tcPr>
          <w:p w14:paraId="79CA0EE6"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szCs w:val="20"/>
              </w:rPr>
            </w:pPr>
            <w:r w:rsidRPr="00570E29">
              <w:rPr>
                <w:szCs w:val="20"/>
              </w:rPr>
              <w:t>2.2%</w:t>
            </w:r>
          </w:p>
        </w:tc>
        <w:tc>
          <w:tcPr>
            <w:tcW w:w="3757" w:type="dxa"/>
            <w:vAlign w:val="center"/>
          </w:tcPr>
          <w:p w14:paraId="57AA7DF2" w14:textId="77777777" w:rsidR="001554E1" w:rsidRPr="00570E29" w:rsidRDefault="001554E1" w:rsidP="00E329BE">
            <w:pPr>
              <w:ind w:left="284"/>
              <w:cnfStyle w:val="000000010000" w:firstRow="0" w:lastRow="0" w:firstColumn="0" w:lastColumn="0" w:oddVBand="0" w:evenVBand="0" w:oddHBand="0" w:evenHBand="1" w:firstRowFirstColumn="0" w:firstRowLastColumn="0" w:lastRowFirstColumn="0" w:lastRowLastColumn="0"/>
              <w:rPr>
                <w:szCs w:val="20"/>
              </w:rPr>
            </w:pPr>
            <w:r w:rsidRPr="00570E29">
              <w:rPr>
                <w:szCs w:val="20"/>
              </w:rPr>
              <w:t xml:space="preserve">Sales Assistant (General) </w:t>
            </w:r>
          </w:p>
        </w:tc>
        <w:tc>
          <w:tcPr>
            <w:tcW w:w="941" w:type="dxa"/>
            <w:vAlign w:val="center"/>
          </w:tcPr>
          <w:p w14:paraId="42AE9870"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szCs w:val="20"/>
              </w:rPr>
            </w:pPr>
            <w:r w:rsidRPr="00570E29">
              <w:rPr>
                <w:szCs w:val="20"/>
              </w:rPr>
              <w:t>0.9%</w:t>
            </w:r>
          </w:p>
        </w:tc>
      </w:tr>
      <w:tr w:rsidR="001554E1" w14:paraId="45339DD8" w14:textId="77777777" w:rsidTr="00E329B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0241759C" w14:textId="77777777" w:rsidR="001554E1" w:rsidRPr="00570E29" w:rsidRDefault="001554E1" w:rsidP="00867A7D">
            <w:pPr>
              <w:rPr>
                <w:szCs w:val="20"/>
              </w:rPr>
            </w:pPr>
            <w:r w:rsidRPr="00570E29">
              <w:rPr>
                <w:szCs w:val="20"/>
              </w:rPr>
              <w:t>Corporate General Manager</w:t>
            </w:r>
          </w:p>
        </w:tc>
        <w:tc>
          <w:tcPr>
            <w:tcW w:w="820" w:type="dxa"/>
            <w:vAlign w:val="center"/>
          </w:tcPr>
          <w:p w14:paraId="24499539"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szCs w:val="20"/>
              </w:rPr>
            </w:pPr>
            <w:r w:rsidRPr="00570E29">
              <w:rPr>
                <w:szCs w:val="20"/>
              </w:rPr>
              <w:t>1.2%</w:t>
            </w:r>
          </w:p>
        </w:tc>
        <w:tc>
          <w:tcPr>
            <w:tcW w:w="3757" w:type="dxa"/>
            <w:vAlign w:val="center"/>
          </w:tcPr>
          <w:p w14:paraId="35EE845A" w14:textId="77777777" w:rsidR="001554E1" w:rsidRPr="00570E29" w:rsidRDefault="001554E1" w:rsidP="00E329BE">
            <w:pPr>
              <w:ind w:left="284"/>
              <w:cnfStyle w:val="000000100000" w:firstRow="0" w:lastRow="0" w:firstColumn="0" w:lastColumn="0" w:oddVBand="0" w:evenVBand="0" w:oddHBand="1" w:evenHBand="0" w:firstRowFirstColumn="0" w:firstRowLastColumn="0" w:lastRowFirstColumn="0" w:lastRowLastColumn="0"/>
              <w:rPr>
                <w:szCs w:val="20"/>
              </w:rPr>
            </w:pPr>
            <w:r w:rsidRPr="00570E29">
              <w:rPr>
                <w:szCs w:val="20"/>
              </w:rPr>
              <w:t>Community Worker</w:t>
            </w:r>
          </w:p>
        </w:tc>
        <w:tc>
          <w:tcPr>
            <w:tcW w:w="941" w:type="dxa"/>
            <w:vAlign w:val="center"/>
          </w:tcPr>
          <w:p w14:paraId="1A58369B"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szCs w:val="20"/>
              </w:rPr>
            </w:pPr>
            <w:r w:rsidRPr="00570E29">
              <w:rPr>
                <w:szCs w:val="20"/>
              </w:rPr>
              <w:t>0.6%</w:t>
            </w:r>
          </w:p>
        </w:tc>
      </w:tr>
      <w:tr w:rsidR="00FB7C3A" w14:paraId="7C9EF689" w14:textId="77777777" w:rsidTr="00E329BE">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683B3086" w14:textId="77777777" w:rsidR="001554E1" w:rsidRPr="00570E29" w:rsidRDefault="001554E1" w:rsidP="00867A7D">
            <w:pPr>
              <w:rPr>
                <w:szCs w:val="20"/>
              </w:rPr>
            </w:pPr>
            <w:r w:rsidRPr="00570E29">
              <w:rPr>
                <w:szCs w:val="20"/>
              </w:rPr>
              <w:t>Office Manager</w:t>
            </w:r>
          </w:p>
        </w:tc>
        <w:tc>
          <w:tcPr>
            <w:tcW w:w="820" w:type="dxa"/>
            <w:vAlign w:val="center"/>
          </w:tcPr>
          <w:p w14:paraId="41C16257"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szCs w:val="20"/>
              </w:rPr>
            </w:pPr>
            <w:r w:rsidRPr="00570E29">
              <w:rPr>
                <w:szCs w:val="20"/>
              </w:rPr>
              <w:t>1.1%</w:t>
            </w:r>
          </w:p>
        </w:tc>
        <w:tc>
          <w:tcPr>
            <w:tcW w:w="3757" w:type="dxa"/>
            <w:vAlign w:val="center"/>
          </w:tcPr>
          <w:p w14:paraId="32E67F65" w14:textId="77777777" w:rsidR="001554E1" w:rsidRPr="00570E29" w:rsidRDefault="001554E1" w:rsidP="00E329BE">
            <w:pPr>
              <w:ind w:left="284"/>
              <w:cnfStyle w:val="000000010000" w:firstRow="0" w:lastRow="0" w:firstColumn="0" w:lastColumn="0" w:oddVBand="0" w:evenVBand="0" w:oddHBand="0" w:evenHBand="1" w:firstRowFirstColumn="0" w:firstRowLastColumn="0" w:lastRowFirstColumn="0" w:lastRowLastColumn="0"/>
              <w:rPr>
                <w:szCs w:val="20"/>
              </w:rPr>
            </w:pPr>
            <w:r w:rsidRPr="00570E29">
              <w:rPr>
                <w:szCs w:val="20"/>
              </w:rPr>
              <w:t>Early Childhood (Pre-primary School) Teacher</w:t>
            </w:r>
          </w:p>
        </w:tc>
        <w:tc>
          <w:tcPr>
            <w:tcW w:w="941" w:type="dxa"/>
            <w:vAlign w:val="center"/>
          </w:tcPr>
          <w:p w14:paraId="4FB20CB9"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szCs w:val="20"/>
              </w:rPr>
            </w:pPr>
            <w:r w:rsidRPr="00570E29">
              <w:rPr>
                <w:szCs w:val="20"/>
              </w:rPr>
              <w:t>0.5%</w:t>
            </w:r>
          </w:p>
        </w:tc>
      </w:tr>
      <w:tr w:rsidR="001554E1" w14:paraId="3705400E" w14:textId="77777777" w:rsidTr="00E329B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7964E418" w14:textId="77777777" w:rsidR="001554E1" w:rsidRPr="00570E29" w:rsidRDefault="001554E1" w:rsidP="00867A7D">
            <w:pPr>
              <w:rPr>
                <w:szCs w:val="20"/>
              </w:rPr>
            </w:pPr>
            <w:r w:rsidRPr="00570E29">
              <w:rPr>
                <w:szCs w:val="20"/>
              </w:rPr>
              <w:t>Program or Project Administrator</w:t>
            </w:r>
          </w:p>
        </w:tc>
        <w:tc>
          <w:tcPr>
            <w:tcW w:w="820" w:type="dxa"/>
            <w:vAlign w:val="center"/>
          </w:tcPr>
          <w:p w14:paraId="2E8F7683"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szCs w:val="20"/>
              </w:rPr>
            </w:pPr>
            <w:r w:rsidRPr="00570E29">
              <w:rPr>
                <w:szCs w:val="20"/>
              </w:rPr>
              <w:t>0.9%</w:t>
            </w:r>
          </w:p>
        </w:tc>
        <w:tc>
          <w:tcPr>
            <w:tcW w:w="3757" w:type="dxa"/>
            <w:vAlign w:val="center"/>
          </w:tcPr>
          <w:p w14:paraId="50C25AED" w14:textId="77777777" w:rsidR="001554E1" w:rsidRPr="00570E29" w:rsidRDefault="001554E1" w:rsidP="00E329BE">
            <w:pPr>
              <w:ind w:left="284"/>
              <w:cnfStyle w:val="000000100000" w:firstRow="0" w:lastRow="0" w:firstColumn="0" w:lastColumn="0" w:oddVBand="0" w:evenVBand="0" w:oddHBand="1" w:evenHBand="0" w:firstRowFirstColumn="0" w:firstRowLastColumn="0" w:lastRowFirstColumn="0" w:lastRowLastColumn="0"/>
              <w:rPr>
                <w:szCs w:val="20"/>
              </w:rPr>
            </w:pPr>
            <w:r w:rsidRPr="00570E29">
              <w:rPr>
                <w:szCs w:val="20"/>
              </w:rPr>
              <w:t>Chef</w:t>
            </w:r>
          </w:p>
        </w:tc>
        <w:tc>
          <w:tcPr>
            <w:tcW w:w="941" w:type="dxa"/>
            <w:vAlign w:val="center"/>
          </w:tcPr>
          <w:p w14:paraId="4B27200C"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szCs w:val="20"/>
              </w:rPr>
            </w:pPr>
            <w:r w:rsidRPr="00570E29">
              <w:rPr>
                <w:szCs w:val="20"/>
              </w:rPr>
              <w:t>0.5%</w:t>
            </w:r>
          </w:p>
        </w:tc>
      </w:tr>
      <w:tr w:rsidR="00FB7C3A" w14:paraId="25B9B7A2" w14:textId="77777777" w:rsidTr="00E329BE">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498" w:type="dxa"/>
            <w:vAlign w:val="center"/>
          </w:tcPr>
          <w:p w14:paraId="5F772ECD" w14:textId="77777777" w:rsidR="001554E1" w:rsidRPr="00570E29" w:rsidRDefault="001554E1" w:rsidP="00867A7D">
            <w:pPr>
              <w:rPr>
                <w:szCs w:val="20"/>
              </w:rPr>
            </w:pPr>
            <w:r w:rsidRPr="00570E29">
              <w:rPr>
                <w:szCs w:val="20"/>
              </w:rPr>
              <w:t>Other corporation and administrative occupations</w:t>
            </w:r>
          </w:p>
        </w:tc>
        <w:tc>
          <w:tcPr>
            <w:tcW w:w="820" w:type="dxa"/>
            <w:vAlign w:val="center"/>
          </w:tcPr>
          <w:p w14:paraId="7A4B66E1"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szCs w:val="20"/>
              </w:rPr>
            </w:pPr>
            <w:r w:rsidRPr="00570E29">
              <w:rPr>
                <w:szCs w:val="20"/>
              </w:rPr>
              <w:t>3.3%</w:t>
            </w:r>
          </w:p>
        </w:tc>
        <w:tc>
          <w:tcPr>
            <w:tcW w:w="3757" w:type="dxa"/>
            <w:vAlign w:val="center"/>
          </w:tcPr>
          <w:p w14:paraId="39B6C1F8" w14:textId="77777777" w:rsidR="001554E1" w:rsidRPr="00570E29" w:rsidRDefault="001554E1" w:rsidP="00E329BE">
            <w:pPr>
              <w:ind w:left="284"/>
              <w:cnfStyle w:val="000000010000" w:firstRow="0" w:lastRow="0" w:firstColumn="0" w:lastColumn="0" w:oddVBand="0" w:evenVBand="0" w:oddHBand="0" w:evenHBand="1" w:firstRowFirstColumn="0" w:firstRowLastColumn="0" w:lastRowFirstColumn="0" w:lastRowLastColumn="0"/>
              <w:rPr>
                <w:szCs w:val="20"/>
              </w:rPr>
            </w:pPr>
            <w:r w:rsidRPr="00570E29">
              <w:rPr>
                <w:szCs w:val="20"/>
              </w:rPr>
              <w:t>Aged or Disabled Carer</w:t>
            </w:r>
          </w:p>
        </w:tc>
        <w:tc>
          <w:tcPr>
            <w:tcW w:w="941" w:type="dxa"/>
            <w:vAlign w:val="center"/>
          </w:tcPr>
          <w:p w14:paraId="333C273A"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szCs w:val="20"/>
              </w:rPr>
            </w:pPr>
            <w:r w:rsidRPr="00570E29">
              <w:rPr>
                <w:szCs w:val="20"/>
              </w:rPr>
              <w:t>0.4%</w:t>
            </w:r>
          </w:p>
        </w:tc>
      </w:tr>
      <w:tr w:rsidR="001554E1" w14:paraId="7A6E7C8E" w14:textId="77777777" w:rsidTr="00EC21C8">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498" w:type="dxa"/>
            <w:tcBorders>
              <w:bottom w:val="nil"/>
            </w:tcBorders>
            <w:vAlign w:val="center"/>
          </w:tcPr>
          <w:p w14:paraId="60C69A57" w14:textId="77777777" w:rsidR="001554E1" w:rsidRPr="00570E29" w:rsidRDefault="001554E1" w:rsidP="00867A7D">
            <w:pPr>
              <w:rPr>
                <w:b/>
                <w:bCs/>
                <w:szCs w:val="20"/>
              </w:rPr>
            </w:pPr>
            <w:r w:rsidRPr="00570E29">
              <w:rPr>
                <w:b/>
                <w:bCs/>
                <w:szCs w:val="20"/>
              </w:rPr>
              <w:t>Occupation unknown or no income tax return</w:t>
            </w:r>
          </w:p>
        </w:tc>
        <w:tc>
          <w:tcPr>
            <w:tcW w:w="820" w:type="dxa"/>
            <w:tcBorders>
              <w:bottom w:val="nil"/>
            </w:tcBorders>
            <w:vAlign w:val="center"/>
          </w:tcPr>
          <w:p w14:paraId="3E1BE94D"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b/>
                <w:bCs/>
                <w:szCs w:val="20"/>
              </w:rPr>
            </w:pPr>
            <w:r w:rsidRPr="00570E29">
              <w:rPr>
                <w:b/>
                <w:bCs/>
                <w:szCs w:val="20"/>
              </w:rPr>
              <w:t>46.1%</w:t>
            </w:r>
          </w:p>
        </w:tc>
        <w:tc>
          <w:tcPr>
            <w:tcW w:w="3757" w:type="dxa"/>
            <w:tcBorders>
              <w:bottom w:val="nil"/>
            </w:tcBorders>
            <w:vAlign w:val="center"/>
          </w:tcPr>
          <w:p w14:paraId="4FD205D0" w14:textId="77777777" w:rsidR="001554E1" w:rsidRPr="00570E29" w:rsidRDefault="001554E1" w:rsidP="00E329BE">
            <w:pPr>
              <w:ind w:left="284"/>
              <w:cnfStyle w:val="000000100000" w:firstRow="0" w:lastRow="0" w:firstColumn="0" w:lastColumn="0" w:oddVBand="0" w:evenVBand="0" w:oddHBand="1" w:evenHBand="0" w:firstRowFirstColumn="0" w:firstRowLastColumn="0" w:lastRowFirstColumn="0" w:lastRowLastColumn="0"/>
              <w:rPr>
                <w:szCs w:val="20"/>
              </w:rPr>
            </w:pPr>
            <w:r w:rsidRPr="00570E29">
              <w:rPr>
                <w:szCs w:val="20"/>
              </w:rPr>
              <w:t xml:space="preserve">Other vocation occupations </w:t>
            </w:r>
          </w:p>
        </w:tc>
        <w:tc>
          <w:tcPr>
            <w:tcW w:w="941" w:type="dxa"/>
            <w:tcBorders>
              <w:bottom w:val="nil"/>
            </w:tcBorders>
            <w:vAlign w:val="center"/>
          </w:tcPr>
          <w:p w14:paraId="4735EA68" w14:textId="77777777" w:rsidR="001554E1" w:rsidRPr="00570E29" w:rsidRDefault="001554E1" w:rsidP="00E329BE">
            <w:pPr>
              <w:jc w:val="center"/>
              <w:cnfStyle w:val="000000100000" w:firstRow="0" w:lastRow="0" w:firstColumn="0" w:lastColumn="0" w:oddVBand="0" w:evenVBand="0" w:oddHBand="1" w:evenHBand="0" w:firstRowFirstColumn="0" w:firstRowLastColumn="0" w:lastRowFirstColumn="0" w:lastRowLastColumn="0"/>
              <w:rPr>
                <w:szCs w:val="20"/>
              </w:rPr>
            </w:pPr>
            <w:r w:rsidRPr="00570E29">
              <w:rPr>
                <w:szCs w:val="20"/>
              </w:rPr>
              <w:t>4.3%</w:t>
            </w:r>
          </w:p>
        </w:tc>
      </w:tr>
      <w:tr w:rsidR="00FB7C3A" w14:paraId="22B67B96" w14:textId="77777777" w:rsidTr="00EC21C8">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498" w:type="dxa"/>
            <w:tcBorders>
              <w:bottom w:val="single" w:sz="8" w:space="0" w:color="2F005F"/>
            </w:tcBorders>
            <w:vAlign w:val="center"/>
          </w:tcPr>
          <w:p w14:paraId="7BAD5F8C" w14:textId="77777777" w:rsidR="001554E1" w:rsidRPr="00570E29" w:rsidRDefault="001554E1" w:rsidP="00867A7D">
            <w:pPr>
              <w:rPr>
                <w:b/>
                <w:bCs/>
                <w:szCs w:val="20"/>
              </w:rPr>
            </w:pPr>
          </w:p>
        </w:tc>
        <w:tc>
          <w:tcPr>
            <w:tcW w:w="820" w:type="dxa"/>
            <w:tcBorders>
              <w:bottom w:val="single" w:sz="8" w:space="0" w:color="2F005F"/>
            </w:tcBorders>
            <w:vAlign w:val="center"/>
          </w:tcPr>
          <w:p w14:paraId="453789C0"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b/>
                <w:bCs/>
                <w:szCs w:val="20"/>
              </w:rPr>
            </w:pPr>
          </w:p>
        </w:tc>
        <w:tc>
          <w:tcPr>
            <w:tcW w:w="3757" w:type="dxa"/>
            <w:tcBorders>
              <w:bottom w:val="single" w:sz="8" w:space="0" w:color="2F005F"/>
            </w:tcBorders>
            <w:vAlign w:val="center"/>
          </w:tcPr>
          <w:p w14:paraId="7EAC6962" w14:textId="524E34DC" w:rsidR="001554E1" w:rsidRPr="00570E29" w:rsidRDefault="001554E1" w:rsidP="00E329BE">
            <w:pPr>
              <w:ind w:left="284"/>
              <w:cnfStyle w:val="000000010000" w:firstRow="0" w:lastRow="0" w:firstColumn="0" w:lastColumn="0" w:oddVBand="0" w:evenVBand="0" w:oddHBand="0" w:evenHBand="1" w:firstRowFirstColumn="0" w:firstRowLastColumn="0" w:lastRowFirstColumn="0" w:lastRowLastColumn="0"/>
              <w:rPr>
                <w:b/>
                <w:bCs/>
                <w:szCs w:val="20"/>
              </w:rPr>
            </w:pPr>
            <w:r w:rsidRPr="00570E29">
              <w:rPr>
                <w:b/>
                <w:bCs/>
                <w:szCs w:val="20"/>
              </w:rPr>
              <w:t xml:space="preserve">Occupation unknown or no </w:t>
            </w:r>
            <w:r w:rsidR="00AB4AB2">
              <w:rPr>
                <w:b/>
                <w:bCs/>
                <w:szCs w:val="20"/>
              </w:rPr>
              <w:br/>
            </w:r>
            <w:r w:rsidRPr="00570E29">
              <w:rPr>
                <w:b/>
                <w:bCs/>
                <w:szCs w:val="20"/>
              </w:rPr>
              <w:t>income tax return</w:t>
            </w:r>
          </w:p>
        </w:tc>
        <w:tc>
          <w:tcPr>
            <w:tcW w:w="941" w:type="dxa"/>
            <w:tcBorders>
              <w:bottom w:val="single" w:sz="8" w:space="0" w:color="2F005F"/>
            </w:tcBorders>
            <w:vAlign w:val="center"/>
          </w:tcPr>
          <w:p w14:paraId="3753BE40" w14:textId="77777777" w:rsidR="001554E1" w:rsidRPr="00570E29" w:rsidRDefault="001554E1" w:rsidP="00E329BE">
            <w:pPr>
              <w:jc w:val="center"/>
              <w:cnfStyle w:val="000000010000" w:firstRow="0" w:lastRow="0" w:firstColumn="0" w:lastColumn="0" w:oddVBand="0" w:evenVBand="0" w:oddHBand="0" w:evenHBand="1" w:firstRowFirstColumn="0" w:firstRowLastColumn="0" w:lastRowFirstColumn="0" w:lastRowLastColumn="0"/>
              <w:rPr>
                <w:b/>
                <w:bCs/>
                <w:szCs w:val="20"/>
              </w:rPr>
            </w:pPr>
            <w:r w:rsidRPr="00570E29">
              <w:rPr>
                <w:b/>
                <w:bCs/>
                <w:szCs w:val="20"/>
              </w:rPr>
              <w:t>57.6%</w:t>
            </w:r>
          </w:p>
        </w:tc>
      </w:tr>
    </w:tbl>
    <w:p w14:paraId="53374B9A" w14:textId="77777777" w:rsidR="00386683" w:rsidRPr="00153B2E" w:rsidRDefault="00386683" w:rsidP="008B2387">
      <w:pPr>
        <w:pStyle w:val="Source"/>
      </w:pPr>
      <w:r w:rsidRPr="75B2B5FC">
        <w:t xml:space="preserve">Source: Jobs and Skills Australia (PLIDA ITR data 2011-2012 to </w:t>
      </w:r>
      <w:r>
        <w:t>2019-2020</w:t>
      </w:r>
      <w:r w:rsidRPr="75B2B5FC">
        <w:t>).</w:t>
      </w:r>
    </w:p>
    <w:p w14:paraId="429C4466" w14:textId="41E16B65" w:rsidR="00386683" w:rsidRDefault="00386683" w:rsidP="00386683">
      <w:pPr>
        <w:pStyle w:val="Heading3"/>
        <w:rPr>
          <w:rStyle w:val="EndnoteReference"/>
        </w:rPr>
      </w:pPr>
      <w:r>
        <w:lastRenderedPageBreak/>
        <w:t xml:space="preserve">Real time pay changes when </w:t>
      </w:r>
      <w:r w:rsidR="005C21B6">
        <w:t xml:space="preserve">moving </w:t>
      </w:r>
      <w:r>
        <w:t xml:space="preserve">in or out of VET </w:t>
      </w:r>
    </w:p>
    <w:p w14:paraId="7FF8C4E8" w14:textId="7B213400" w:rsidR="00386683" w:rsidRDefault="00386683" w:rsidP="00E16D4F">
      <w:pPr>
        <w:pStyle w:val="Bodycopy"/>
        <w:rPr>
          <w:i/>
          <w:iCs/>
        </w:rPr>
      </w:pPr>
      <w:r w:rsidRPr="71BE244F">
        <w:t xml:space="preserve">PLIDA data confirms this evidence of lower pay for </w:t>
      </w:r>
      <w:r w:rsidR="00CC6D50">
        <w:t>VET teachers</w:t>
      </w:r>
      <w:r w:rsidRPr="71BE244F">
        <w:t xml:space="preserve">. Despite wage increases for some occupations </w:t>
      </w:r>
      <w:r w:rsidR="004B7162" w:rsidRPr="71BE244F">
        <w:t>moving</w:t>
      </w:r>
      <w:r w:rsidRPr="71BE244F">
        <w:t xml:space="preserve"> into VET ( generally more insecure </w:t>
      </w:r>
      <w:r w:rsidR="0A8627C2" w:rsidRPr="71BE244F">
        <w:t xml:space="preserve">jobs like </w:t>
      </w:r>
      <w:r w:rsidRPr="71BE244F">
        <w:t xml:space="preserve">Waiters, Private Tutors, Sales Assistants and Aged or Disability Carers) averaged across all occupations over the last three years, there is a </w:t>
      </w:r>
      <w:r w:rsidRPr="10621F33">
        <w:t>decrease</w:t>
      </w:r>
      <w:r w:rsidRPr="71BE244F">
        <w:t xml:space="preserve"> in average annual wages when becoming a VET teacher ranging between a 9.5% and 16.5% pay cut across the more recent five years (FY2017-18 to FY2021-22).</w:t>
      </w:r>
      <w:r w:rsidRPr="10621F33">
        <w:rPr>
          <w:rStyle w:val="FootnoteReference"/>
        </w:rPr>
        <w:footnoteReference w:id="15"/>
      </w:r>
      <w:r w:rsidRPr="71BE244F">
        <w:t xml:space="preserve"> In the FY2021-22, new </w:t>
      </w:r>
      <w:r w:rsidR="00CC6D50">
        <w:t>VET teachers</w:t>
      </w:r>
      <w:r w:rsidRPr="71BE244F">
        <w:t xml:space="preserve"> earned on average $8061.10 less than they did in the previous financial year, before becoming a VET teacher. </w:t>
      </w:r>
    </w:p>
    <w:p w14:paraId="726D5268" w14:textId="77777777" w:rsidR="000B1F9E" w:rsidRDefault="00386683" w:rsidP="00E16D4F">
      <w:pPr>
        <w:pStyle w:val="Bodycopy"/>
      </w:pPr>
      <w:r w:rsidRPr="000F41AB">
        <w:t xml:space="preserve">However, PLIDA data </w:t>
      </w:r>
      <w:r>
        <w:t xml:space="preserve">also </w:t>
      </w:r>
      <w:r w:rsidRPr="000F41AB">
        <w:t xml:space="preserve">shows that despite the generally lower pay in the VET sector, education professionals who become </w:t>
      </w:r>
      <w:r w:rsidR="00CC6D50">
        <w:t>VET teachers</w:t>
      </w:r>
      <w:r w:rsidRPr="000F41AB">
        <w:t xml:space="preserve"> </w:t>
      </w:r>
      <w:r>
        <w:t>did experience a</w:t>
      </w:r>
      <w:r w:rsidRPr="000F41AB">
        <w:t xml:space="preserve"> slight increase in their pay. This could be connected to the highly casualised rates of teachers, lecturers and tutors in schools and </w:t>
      </w:r>
      <w:r w:rsidRPr="000F41AB" w:rsidDel="00AB083F">
        <w:t>universities</w:t>
      </w:r>
      <w:r w:rsidRPr="000F41AB">
        <w:t xml:space="preserve">. Across the five-year period Primary School Teachers who became </w:t>
      </w:r>
      <w:r w:rsidR="00CC6D50">
        <w:t>VET teachers</w:t>
      </w:r>
      <w:r w:rsidRPr="000F41AB">
        <w:t xml:space="preserve"> had 8.4% increase in their annual average wage. For </w:t>
      </w:r>
      <w:r w:rsidR="00961A50">
        <w:t>secondary</w:t>
      </w:r>
      <w:r w:rsidRPr="000F41AB">
        <w:t xml:space="preserve"> Teachers that increase was 3.5%, for University Lecturer 2.6%, and for University Tutors 14.8%. </w:t>
      </w:r>
    </w:p>
    <w:p w14:paraId="05A6FFE8" w14:textId="4EDC3F18" w:rsidR="00386683" w:rsidRDefault="00386683" w:rsidP="00E16D4F">
      <w:pPr>
        <w:pStyle w:val="Bodycopy"/>
        <w:rPr>
          <w:i/>
          <w:iCs/>
        </w:rPr>
      </w:pPr>
      <w:r w:rsidRPr="000F41AB">
        <w:t>For non-professional but allied education workers like Teachers</w:t>
      </w:r>
      <w:r w:rsidR="00ED5394">
        <w:t>’</w:t>
      </w:r>
      <w:r w:rsidRPr="000F41AB">
        <w:t xml:space="preserve"> Aide and Private Tutors and Teachers there were even more substantial pay increases at 18.3% and 17.1% respectively. Roles in the Administrative and operations segment also experienced average pay increases boding well for moves into VET from these types of occupations.</w:t>
      </w:r>
      <w:r>
        <w:t xml:space="preserve"> </w:t>
      </w:r>
    </w:p>
    <w:p w14:paraId="72B41210" w14:textId="317EEB97" w:rsidR="00386683" w:rsidRDefault="00386683" w:rsidP="00E16D4F">
      <w:pPr>
        <w:pStyle w:val="Bodycopy"/>
        <w:rPr>
          <w:i/>
          <w:iCs/>
        </w:rPr>
      </w:pPr>
      <w:r w:rsidRPr="71BE244F">
        <w:t xml:space="preserve">Other common occupations to </w:t>
      </w:r>
      <w:r w:rsidR="00300931" w:rsidRPr="71BE244F">
        <w:t>move</w:t>
      </w:r>
      <w:r w:rsidRPr="71BE244F">
        <w:t xml:space="preserve"> into VET teaching are not surprisingly those from common and high-enrolment VET teaching qualifications and most experience an increase in annual average wages over the five-year period, especially for lower paid vocations but even for building and engineering trades, albeit only around 5%. For example, Waiters received a 35.5% pay increase, Sales Assistant 23.4% Aged and Disabled Carers 25.3%, Child Care Workers 11.2%, Motor Mechanics 6.1%, Electricians 5.6%, and Chefs 4.5%. See Chapter 4 for further analysis of occupational transitions including pay and how this could relate to existing skills shortages and higher pay in some vocations commonly taught in VET. </w:t>
      </w:r>
    </w:p>
    <w:p w14:paraId="0125E528" w14:textId="41FA1A80" w:rsidR="00386683" w:rsidRDefault="00386683" w:rsidP="00E16D4F">
      <w:pPr>
        <w:pStyle w:val="Bodycopy"/>
        <w:rPr>
          <w:i/>
          <w:iCs/>
        </w:rPr>
      </w:pPr>
      <w:r w:rsidRPr="59C450D4">
        <w:t xml:space="preserve">Over the same five-year period, </w:t>
      </w:r>
      <w:r w:rsidR="00CC6D50">
        <w:t>VET teachers</w:t>
      </w:r>
      <w:r w:rsidRPr="59C450D4">
        <w:t xml:space="preserve"> who exited to other occupations experienced substantial pay increases ranging from 34.0% to 53.3% on average each year. </w:t>
      </w:r>
      <w:r w:rsidRPr="59C450D4">
        <w:rPr>
          <w:rStyle w:val="ui-provider"/>
        </w:rPr>
        <w:t>However, these averages are likely skewed, due to very significant pay increases for management and education professional-like occupations, which likely indicate career progression within VET or other education sectors.</w:t>
      </w:r>
      <w:r w:rsidRPr="59C450D4">
        <w:t xml:space="preserve"> For example, Chief Executive or Managing Directors (a 25.8% pay increase), Corporate General Managers (10.6%), Program or Project Administrators (11.5%), Education Advisors (10.0%), Training and Development Professionals (5.2%), and Regional Education Managers (2.3%). Moving from VET teaching to Software Engineering is also an outlier skewing this overall higher wage increase at 79.2%. </w:t>
      </w:r>
    </w:p>
    <w:p w14:paraId="25D4CE07" w14:textId="611154DB" w:rsidR="00386683" w:rsidRDefault="00CC6D50" w:rsidP="00E16D4F">
      <w:pPr>
        <w:pStyle w:val="Bodycopy"/>
        <w:rPr>
          <w:i/>
          <w:iCs/>
        </w:rPr>
      </w:pPr>
      <w:r>
        <w:t>VET teachers</w:t>
      </w:r>
      <w:r w:rsidR="00386683" w:rsidRPr="71BE244F">
        <w:t xml:space="preserve"> who </w:t>
      </w:r>
      <w:r w:rsidR="00420236" w:rsidRPr="71BE244F">
        <w:t>move</w:t>
      </w:r>
      <w:r w:rsidR="00386683" w:rsidRPr="71BE244F">
        <w:t xml:space="preserve"> into other education roles experience far higher pay increases than those </w:t>
      </w:r>
      <w:r w:rsidR="4BB7D50B" w:rsidRPr="71BE244F">
        <w:t xml:space="preserve">shifting </w:t>
      </w:r>
      <w:r w:rsidR="00EA708C" w:rsidRPr="71BE244F">
        <w:t>moving</w:t>
      </w:r>
      <w:r w:rsidR="00386683" w:rsidRPr="71BE244F">
        <w:t xml:space="preserve"> into VET. For example, </w:t>
      </w:r>
      <w:r>
        <w:t>VET teachers</w:t>
      </w:r>
      <w:r w:rsidR="00386683" w:rsidRPr="71BE244F">
        <w:t xml:space="preserve"> who became primary and secondary school teachers experienced an average pay increase over the last five years of 29.3% and 14.1%</w:t>
      </w:r>
      <w:r w:rsidR="001A1B0B" w:rsidRPr="71BE244F">
        <w:t xml:space="preserve"> respectively</w:t>
      </w:r>
      <w:r w:rsidR="00386683" w:rsidRPr="71BE244F">
        <w:t xml:space="preserve">. Likewise, </w:t>
      </w:r>
      <w:r>
        <w:t>VET teachers</w:t>
      </w:r>
      <w:r w:rsidR="00386683" w:rsidRPr="71BE244F">
        <w:t xml:space="preserve"> who became University Tutors </w:t>
      </w:r>
      <w:r w:rsidR="00386683" w:rsidRPr="71BE244F">
        <w:lastRenderedPageBreak/>
        <w:t xml:space="preserve">experienced a 29.7% increase. </w:t>
      </w:r>
      <w:r>
        <w:t>VET teachers</w:t>
      </w:r>
      <w:r w:rsidR="00386683" w:rsidRPr="71BE244F">
        <w:t xml:space="preserve"> becoming lecturers didn’t experience as high as a pay increase at only 6.7%. It is notable that </w:t>
      </w:r>
      <w:r>
        <w:t>VET teachers</w:t>
      </w:r>
      <w:r w:rsidR="00386683" w:rsidRPr="71BE244F">
        <w:t xml:space="preserve"> who return to their vocation of Child</w:t>
      </w:r>
      <w:r w:rsidR="00422759" w:rsidRPr="71BE244F">
        <w:t xml:space="preserve"> </w:t>
      </w:r>
      <w:r w:rsidR="00386683" w:rsidRPr="71BE244F">
        <w:t xml:space="preserve">Care Worker experience a pay decrease. </w:t>
      </w:r>
    </w:p>
    <w:p w14:paraId="6FF0B99C" w14:textId="77777777" w:rsidR="00386683" w:rsidRDefault="00386683" w:rsidP="00386683">
      <w:pPr>
        <w:pStyle w:val="Heading2"/>
      </w:pPr>
      <w:bookmarkStart w:id="214" w:name="_Toc53013945"/>
      <w:bookmarkStart w:id="215" w:name="_Toc176770994"/>
      <w:r>
        <w:t>Conclusion</w:t>
      </w:r>
      <w:bookmarkEnd w:id="214"/>
      <w:bookmarkEnd w:id="215"/>
    </w:p>
    <w:p w14:paraId="010D7D90" w14:textId="3852A5FA" w:rsidR="00386683" w:rsidRPr="00232DCA" w:rsidRDefault="00386683" w:rsidP="00386683">
      <w:r>
        <w:t xml:space="preserve">This chapter has shown that current demand for VET staff, especially </w:t>
      </w:r>
      <w:r w:rsidR="00CC6D50">
        <w:t>VET teachers</w:t>
      </w:r>
      <w:r>
        <w:t xml:space="preserve">, is very high and growing. With around 44% of future jobs requiring a VET qualification, it is expected that demand will </w:t>
      </w:r>
      <w:r w:rsidR="00187185">
        <w:t>increase</w:t>
      </w:r>
      <w:r>
        <w:t xml:space="preserve"> further in the future. The VET workforce has a low fill rate</w:t>
      </w:r>
      <w:r w:rsidR="0096619F">
        <w:t xml:space="preserve"> (around 50%)</w:t>
      </w:r>
      <w:r>
        <w:t xml:space="preserve">, showing that there is currently an inadequate supply of </w:t>
      </w:r>
      <w:r w:rsidR="00CC6D50">
        <w:t>VET teachers</w:t>
      </w:r>
      <w:r w:rsidR="0096619F">
        <w:t>.</w:t>
      </w:r>
      <w:r>
        <w:t xml:space="preserve"> </w:t>
      </w:r>
    </w:p>
    <w:p w14:paraId="7D96BE1F" w14:textId="0665F329" w:rsidR="00386683" w:rsidRPr="00232DCA" w:rsidRDefault="00386683" w:rsidP="003D16BB">
      <w:pPr>
        <w:pStyle w:val="Bodycopy"/>
      </w:pPr>
      <w:r>
        <w:t>The number of completions in the Certificate IV TAE has declined substantially</w:t>
      </w:r>
      <w:r w:rsidR="00D02980">
        <w:t xml:space="preserve"> and </w:t>
      </w:r>
      <w:r>
        <w:t xml:space="preserve">only a minority of completions </w:t>
      </w:r>
      <w:r w:rsidR="00D02980">
        <w:t xml:space="preserve">appear to </w:t>
      </w:r>
      <w:r w:rsidR="00EC20AE">
        <w:t>convert</w:t>
      </w:r>
      <w:r>
        <w:t xml:space="preserve"> this qualification into a VET </w:t>
      </w:r>
      <w:r w:rsidR="009359DD">
        <w:t>T</w:t>
      </w:r>
      <w:r>
        <w:t xml:space="preserve">each, </w:t>
      </w:r>
      <w:r w:rsidR="009359DD">
        <w:t>T</w:t>
      </w:r>
      <w:r>
        <w:t xml:space="preserve">rain or </w:t>
      </w:r>
      <w:r w:rsidR="009359DD">
        <w:t>A</w:t>
      </w:r>
      <w:r>
        <w:t xml:space="preserve">ssess role. Since 2016, completions have fallen by almost 25% in this credential. However, this isn’t impacting supply as drastically as might be expected because almost 70% of graduates </w:t>
      </w:r>
      <w:r w:rsidR="00946AC9">
        <w:t>gained</w:t>
      </w:r>
      <w:r>
        <w:t xml:space="preserve"> the qualification as a requirement of their existing job. </w:t>
      </w:r>
      <w:r w:rsidR="003D16BB">
        <w:t>M</w:t>
      </w:r>
      <w:r>
        <w:t xml:space="preserve">ore </w:t>
      </w:r>
      <w:r w:rsidR="003D16BB">
        <w:t>than addressing a broad</w:t>
      </w:r>
      <w:r w:rsidR="00DB411E">
        <w:t xml:space="preserve"> shortfall, </w:t>
      </w:r>
      <w:r w:rsidR="00B05A52">
        <w:t>Teach, Train and Assess</w:t>
      </w:r>
      <w:r w:rsidR="00DB411E">
        <w:t xml:space="preserve"> quali</w:t>
      </w:r>
      <w:r w:rsidR="00CC6974">
        <w:t>fications</w:t>
      </w:r>
      <w:r w:rsidR="00DB411E">
        <w:t xml:space="preserve"> </w:t>
      </w:r>
      <w:r w:rsidR="00B05A52">
        <w:t xml:space="preserve">will be </w:t>
      </w:r>
      <w:r w:rsidR="00EC6B35">
        <w:t xml:space="preserve">particularly </w:t>
      </w:r>
      <w:r w:rsidR="00B05A52">
        <w:t xml:space="preserve">needed </w:t>
      </w:r>
      <w:r w:rsidR="002012CA">
        <w:t>among</w:t>
      </w:r>
      <w:r>
        <w:t xml:space="preserve"> experienced industry professionals in skill shortage areas. The case studies presented elsewhere in this report show this is less about the qualification itself and providing financial assistance and a guaranteed pathway into employment after completion.   </w:t>
      </w:r>
    </w:p>
    <w:p w14:paraId="066F97C5" w14:textId="1E304C65" w:rsidR="009831DD" w:rsidRDefault="3B9DAA52" w:rsidP="00E16D4F">
      <w:pPr>
        <w:pStyle w:val="Bodycopy"/>
      </w:pPr>
      <w:r>
        <w:t xml:space="preserve">The VET workforce tends to be older than the rest of the workforce and the pipeline suggests it will continue to age still further. Equity groups such as those living with a disability are poorly represented among </w:t>
      </w:r>
      <w:r w:rsidR="00CC6D50">
        <w:t>VET teachers</w:t>
      </w:r>
      <w:r>
        <w:t xml:space="preserve">, which in turn influences enrolments and job roles among diversity groups. </w:t>
      </w:r>
    </w:p>
    <w:p w14:paraId="1B08B00A" w14:textId="35ED705F" w:rsidR="00386683" w:rsidRPr="00232DCA" w:rsidRDefault="3B9DAA52" w:rsidP="00E16D4F">
      <w:pPr>
        <w:pStyle w:val="Bodycopy"/>
      </w:pPr>
      <w:r>
        <w:t xml:space="preserve">By contrast, </w:t>
      </w:r>
      <w:r w:rsidR="00CC6D50">
        <w:t>VET teachers</w:t>
      </w:r>
      <w:r>
        <w:t xml:space="preserve"> are more likely to enter the sector from regional and remote areas of Australia, perhaps reflecting the relative low enrolment in university courses from those regions. There is not much career transition</w:t>
      </w:r>
      <w:r w:rsidR="21B6D5CE">
        <w:t>s</w:t>
      </w:r>
      <w:r>
        <w:t xml:space="preserve"> in and out of VET teaching, but where there is it is generally to and from other kinds of teaching, especially </w:t>
      </w:r>
      <w:r w:rsidR="00961A50">
        <w:t>Secondary</w:t>
      </w:r>
      <w:r>
        <w:t xml:space="preserve"> Teaching. Data challenges the misconception that </w:t>
      </w:r>
      <w:r w:rsidR="00CC6D50">
        <w:t>VET teachers</w:t>
      </w:r>
      <w:r>
        <w:t xml:space="preserve"> </w:t>
      </w:r>
      <w:r w:rsidR="079CF7F6">
        <w:t>move</w:t>
      </w:r>
      <w:r>
        <w:t xml:space="preserve"> back to industry after teaching, with </w:t>
      </w:r>
      <w:r w:rsidR="3B40F506">
        <w:t xml:space="preserve">almost </w:t>
      </w:r>
      <w:r w:rsidR="5054B2E0">
        <w:t>twice</w:t>
      </w:r>
      <w:r>
        <w:t xml:space="preserve"> as many </w:t>
      </w:r>
      <w:r w:rsidR="00CC6D50">
        <w:t>VET teachers</w:t>
      </w:r>
      <w:r>
        <w:t xml:space="preserve"> moving into other education sector occupations</w:t>
      </w:r>
      <w:r w:rsidR="0486482B">
        <w:t>,</w:t>
      </w:r>
      <w:r>
        <w:t xml:space="preserve"> as do vocational occupations. </w:t>
      </w:r>
    </w:p>
    <w:p w14:paraId="7CFD0D55" w14:textId="6D199467" w:rsidR="005E04FE" w:rsidRDefault="00386683" w:rsidP="005E04FE">
      <w:pPr>
        <w:pStyle w:val="Heading1"/>
      </w:pPr>
      <w:bookmarkStart w:id="216" w:name="_Toc1725133086"/>
      <w:r>
        <w:br w:type="page"/>
      </w:r>
      <w:bookmarkStart w:id="217" w:name="_Toc150340176"/>
      <w:bookmarkStart w:id="218" w:name="_Toc176770995"/>
      <w:r w:rsidR="005E04FE">
        <w:lastRenderedPageBreak/>
        <w:t xml:space="preserve">Chapter 5: Key </w:t>
      </w:r>
      <w:r w:rsidR="00675BA2">
        <w:t>f</w:t>
      </w:r>
      <w:r w:rsidR="005E04FE">
        <w:t>indings</w:t>
      </w:r>
      <w:bookmarkEnd w:id="216"/>
      <w:bookmarkEnd w:id="217"/>
      <w:bookmarkEnd w:id="218"/>
    </w:p>
    <w:p w14:paraId="6BECEF2D" w14:textId="77777777" w:rsidR="001768C4" w:rsidRDefault="001768C4" w:rsidP="006A67D3">
      <w:pPr>
        <w:pStyle w:val="Bodycopy"/>
        <w:rPr>
          <w:rFonts w:cs="Arial"/>
          <w:color w:val="000000"/>
          <w:shd w:val="clear" w:color="auto" w:fill="FFFFFF"/>
        </w:rPr>
      </w:pPr>
      <w:r w:rsidRPr="001768C4">
        <w:rPr>
          <w:rFonts w:cs="Arial"/>
          <w:color w:val="000000"/>
          <w:shd w:val="clear" w:color="auto" w:fill="FFFFFF"/>
        </w:rPr>
        <w:t xml:space="preserve">The VET sector performs a critical, immense, and diverse role in building a prosperous, productive and cohesive Australia – it trains almost 4.5 million students each year and will be responsible for training 44% of new jobs over the next 10 years – including the key jobs of the future in clean energy, care, and technology. Many of Australia’s widespread occupational shortages are also VET-qualified jobs, including VET teachers themselves. </w:t>
      </w:r>
    </w:p>
    <w:p w14:paraId="6F367338" w14:textId="16EF0DB1" w:rsidR="001768C4" w:rsidRDefault="001768C4" w:rsidP="006A67D3">
      <w:pPr>
        <w:pStyle w:val="Bodycopy"/>
        <w:rPr>
          <w:rFonts w:cs="Arial"/>
          <w:color w:val="000000"/>
          <w:shd w:val="clear" w:color="auto" w:fill="FFFFFF"/>
        </w:rPr>
      </w:pPr>
      <w:r w:rsidRPr="001768C4">
        <w:rPr>
          <w:rFonts w:cs="Arial"/>
          <w:color w:val="000000"/>
          <w:shd w:val="clear" w:color="auto" w:fill="FFFFFF"/>
        </w:rPr>
        <w:t xml:space="preserve">More fundamentally, the contribution that VET makes to improving the literacy, numeracy and other foundation skills of Australian adults creates a more cohesive society and enables greater workforce participation. The VET system needs to be ready to perform and grow and this means ensuring a sustainable, growing, qualified, well-paid, and well-understood VET workforce. This study has been anchored in the objective of understanding the VET workforce and highlighting the extent of this challenge. </w:t>
      </w:r>
    </w:p>
    <w:p w14:paraId="5A613B84" w14:textId="77777777" w:rsidR="001768C4" w:rsidRDefault="005E04FE" w:rsidP="006A67D3">
      <w:pPr>
        <w:pStyle w:val="Bodycopy"/>
      </w:pPr>
      <w:r>
        <w:t xml:space="preserve">This study has offered a new approach to analysing existing VET workforce data through the workforce taxonomy. </w:t>
      </w:r>
      <w:r w:rsidRPr="00B7001D">
        <w:t>It presents an initial occupational framework that profiles existing and emerging roles in VET</w:t>
      </w:r>
      <w:r>
        <w:t xml:space="preserve">. The report has identified the high demand for the VET workforce but the decreasing supply of </w:t>
      </w:r>
      <w:r w:rsidR="00CC6D50">
        <w:t>VET teachers</w:t>
      </w:r>
      <w:r>
        <w:t xml:space="preserve"> through key VET teaching credentials and raises questions around the suitability of those credentials for the sector. </w:t>
      </w:r>
    </w:p>
    <w:p w14:paraId="6D3E7B45" w14:textId="7BA0942B" w:rsidR="005E04FE" w:rsidRDefault="005E04FE" w:rsidP="006A67D3">
      <w:pPr>
        <w:pStyle w:val="Bodycopy"/>
      </w:pPr>
      <w:r>
        <w:t xml:space="preserve">It uses new data to reflect real-world pathways in, out and within the sector giving insight into the jobs from which people are most likely to enter VET and how Government might pre-empt and mitigate skills shortages. This final chapter reflects on these key findings and highlights the opportunities for understanding the workforce, particularly in relation to future data collection recommendations. </w:t>
      </w:r>
    </w:p>
    <w:p w14:paraId="110BE707" w14:textId="4AC35355" w:rsidR="005E04FE" w:rsidRDefault="005E04FE" w:rsidP="005E04FE">
      <w:pPr>
        <w:pStyle w:val="Heading2"/>
      </w:pPr>
      <w:bookmarkStart w:id="219" w:name="_Toc233196811"/>
      <w:bookmarkStart w:id="220" w:name="_Toc176770996"/>
      <w:r>
        <w:t xml:space="preserve">Key </w:t>
      </w:r>
      <w:r w:rsidR="00681E36">
        <w:t>f</w:t>
      </w:r>
      <w:r>
        <w:t>indings</w:t>
      </w:r>
      <w:bookmarkEnd w:id="219"/>
      <w:bookmarkEnd w:id="220"/>
      <w:r>
        <w:t xml:space="preserve"> </w:t>
      </w:r>
    </w:p>
    <w:p w14:paraId="10AAACD2" w14:textId="77777777" w:rsidR="005E04FE" w:rsidRDefault="005E04FE" w:rsidP="005E04FE">
      <w:pPr>
        <w:pStyle w:val="Heading3"/>
      </w:pPr>
      <w:r>
        <w:t>Understanding the current VET workforce</w:t>
      </w:r>
    </w:p>
    <w:p w14:paraId="7EB4AD62" w14:textId="3F982F98" w:rsidR="005E04FE" w:rsidRPr="00B7001D" w:rsidRDefault="447B4E76" w:rsidP="005E04FE">
      <w:pPr>
        <w:rPr>
          <w:rStyle w:val="BodycopyChar"/>
        </w:rPr>
      </w:pPr>
      <w:r w:rsidRPr="7AD33374">
        <w:rPr>
          <w:rStyle w:val="Heading4Char"/>
        </w:rPr>
        <w:t>Targeted i</w:t>
      </w:r>
      <w:r w:rsidR="000C680C" w:rsidRPr="7AD33374">
        <w:rPr>
          <w:rStyle w:val="Heading4Char"/>
        </w:rPr>
        <w:t>mprovements</w:t>
      </w:r>
      <w:r w:rsidR="00464E88" w:rsidRPr="7AD33374">
        <w:rPr>
          <w:rStyle w:val="Heading4Char"/>
        </w:rPr>
        <w:t xml:space="preserve"> </w:t>
      </w:r>
      <w:r w:rsidR="00E646E5" w:rsidRPr="7AD33374">
        <w:rPr>
          <w:rStyle w:val="Heading4Char"/>
        </w:rPr>
        <w:t>in</w:t>
      </w:r>
      <w:r w:rsidR="00464E88" w:rsidRPr="7AD33374">
        <w:rPr>
          <w:rStyle w:val="Heading4Char"/>
        </w:rPr>
        <w:t xml:space="preserve"> </w:t>
      </w:r>
      <w:r w:rsidR="13038614" w:rsidRPr="7AD33374">
        <w:rPr>
          <w:rStyle w:val="Heading4Char"/>
        </w:rPr>
        <w:t xml:space="preserve">workforce </w:t>
      </w:r>
      <w:r w:rsidR="00B0598D" w:rsidRPr="7AD33374">
        <w:rPr>
          <w:rStyle w:val="Heading4Char"/>
        </w:rPr>
        <w:t>data</w:t>
      </w:r>
      <w:r w:rsidR="00464E88" w:rsidRPr="7AD33374">
        <w:rPr>
          <w:rStyle w:val="Heading4Char"/>
        </w:rPr>
        <w:t xml:space="preserve"> collection </w:t>
      </w:r>
      <w:r w:rsidR="3E075A34" w:rsidRPr="7AD33374">
        <w:rPr>
          <w:rStyle w:val="Heading4Char"/>
        </w:rPr>
        <w:t>will help manage future risk to Australia’s economy, society</w:t>
      </w:r>
      <w:r w:rsidR="4281D10B" w:rsidRPr="7AD33374">
        <w:rPr>
          <w:rStyle w:val="Heading4Char"/>
        </w:rPr>
        <w:t xml:space="preserve"> and VET system</w:t>
      </w:r>
      <w:r w:rsidR="3E075A34" w:rsidRPr="7AD33374">
        <w:rPr>
          <w:rStyle w:val="Heading4Char"/>
        </w:rPr>
        <w:t xml:space="preserve"> by ensuring a sustainable</w:t>
      </w:r>
      <w:r w:rsidR="19AE9123" w:rsidRPr="7AD33374">
        <w:rPr>
          <w:rStyle w:val="Heading4Char"/>
        </w:rPr>
        <w:t xml:space="preserve"> and high quality supply of teachers and trainers</w:t>
      </w:r>
      <w:r w:rsidR="00B44006">
        <w:rPr>
          <w:rStyle w:val="Heading4Char"/>
        </w:rPr>
        <w:t xml:space="preserve">, particularly in </w:t>
      </w:r>
      <w:r w:rsidR="00D625F9">
        <w:rPr>
          <w:rStyle w:val="Heading4Char"/>
        </w:rPr>
        <w:t xml:space="preserve">industry sectors experiencing </w:t>
      </w:r>
      <w:r w:rsidR="00B44006">
        <w:rPr>
          <w:rStyle w:val="Heading4Char"/>
        </w:rPr>
        <w:t>skills shortage</w:t>
      </w:r>
      <w:r w:rsidR="00D625F9">
        <w:rPr>
          <w:rStyle w:val="Heading4Char"/>
        </w:rPr>
        <w:t>s</w:t>
      </w:r>
      <w:r w:rsidR="00B44006">
        <w:rPr>
          <w:rStyle w:val="Heading4Char"/>
        </w:rPr>
        <w:t xml:space="preserve"> and high </w:t>
      </w:r>
      <w:r w:rsidR="00D625F9">
        <w:rPr>
          <w:rStyle w:val="Heading4Char"/>
        </w:rPr>
        <w:t xml:space="preserve">employment </w:t>
      </w:r>
      <w:r w:rsidR="00B44006">
        <w:rPr>
          <w:rStyle w:val="Heading4Char"/>
        </w:rPr>
        <w:t>demand</w:t>
      </w:r>
      <w:r w:rsidR="19AE9123" w:rsidRPr="7AD33374">
        <w:rPr>
          <w:rStyle w:val="Heading4Char"/>
        </w:rPr>
        <w:t xml:space="preserve">. </w:t>
      </w:r>
    </w:p>
    <w:p w14:paraId="4E08400E" w14:textId="4C66AE84" w:rsidR="0054329E" w:rsidRDefault="0098030D">
      <w:pPr>
        <w:pStyle w:val="Bodycopy"/>
      </w:pPr>
      <w:r>
        <w:t>Wherever possible, this report has drawn on existing data (including multiple sources where available) to reach conclusions about VET teachers, trainers and assessors in general and the overall VET workforce.</w:t>
      </w:r>
      <w:r w:rsidR="008762FD">
        <w:t xml:space="preserve"> However </w:t>
      </w:r>
      <w:r w:rsidR="00E74FBC">
        <w:t xml:space="preserve">existing data is limited </w:t>
      </w:r>
      <w:r w:rsidR="00CD7712">
        <w:t>because</w:t>
      </w:r>
      <w:r w:rsidR="003E3F07">
        <w:t xml:space="preserve">: </w:t>
      </w:r>
    </w:p>
    <w:p w14:paraId="560CBAB0" w14:textId="7FFA80FD" w:rsidR="0054329E" w:rsidRDefault="00FB09B4" w:rsidP="0054329E">
      <w:pPr>
        <w:pStyle w:val="ListBullet"/>
      </w:pPr>
      <w:r>
        <w:t xml:space="preserve">existing </w:t>
      </w:r>
      <w:r w:rsidR="00553E21">
        <w:t>data sources</w:t>
      </w:r>
      <w:r>
        <w:t xml:space="preserve"> such as the Census do not </w:t>
      </w:r>
      <w:r w:rsidR="004266F8">
        <w:t xml:space="preserve">capture multiple job holders </w:t>
      </w:r>
      <w:r w:rsidR="00245D6B">
        <w:t xml:space="preserve">who are not </w:t>
      </w:r>
      <w:r w:rsidR="004266F8">
        <w:t xml:space="preserve">working in VET </w:t>
      </w:r>
      <w:r w:rsidR="00245D6B">
        <w:t>as</w:t>
      </w:r>
      <w:r w:rsidR="004266F8">
        <w:t xml:space="preserve"> their main job</w:t>
      </w:r>
      <w:r w:rsidR="0018235E">
        <w:t>, or their characteristics, such as hours of work</w:t>
      </w:r>
      <w:r w:rsidR="004266F8">
        <w:t xml:space="preserve"> </w:t>
      </w:r>
    </w:p>
    <w:p w14:paraId="586BF54A" w14:textId="1154A135" w:rsidR="00F645A5" w:rsidRDefault="001615E6" w:rsidP="0054329E">
      <w:pPr>
        <w:pStyle w:val="ListBullet"/>
      </w:pPr>
      <w:r>
        <w:t xml:space="preserve">we </w:t>
      </w:r>
      <w:r w:rsidR="000F5B01">
        <w:t>do not have comprehensive data on the vocational and VET qualifications held by the teach, train and assess workforce</w:t>
      </w:r>
    </w:p>
    <w:p w14:paraId="76B929F8" w14:textId="77777777" w:rsidR="00F645A5" w:rsidRDefault="00F645A5">
      <w:pPr>
        <w:rPr>
          <w:rFonts w:eastAsia="SimSun" w:cs="Times New Roman"/>
          <w:spacing w:val="2"/>
          <w:szCs w:val="20"/>
          <w:lang w:val="en-GB" w:eastAsia="en-GB"/>
        </w:rPr>
      </w:pPr>
      <w:r>
        <w:br w:type="page"/>
      </w:r>
    </w:p>
    <w:p w14:paraId="463469F2" w14:textId="264C4E7E" w:rsidR="00D84B6F" w:rsidRDefault="0018235E" w:rsidP="00F645A5">
      <w:pPr>
        <w:pStyle w:val="ListBullet"/>
      </w:pPr>
      <w:r>
        <w:lastRenderedPageBreak/>
        <w:t xml:space="preserve">we cannot </w:t>
      </w:r>
      <w:r w:rsidR="006C14C9">
        <w:t xml:space="preserve">segment the VET teach, train and assess workforce by </w:t>
      </w:r>
      <w:r w:rsidR="006E7FFC">
        <w:t xml:space="preserve">industry area, so we cannot align </w:t>
      </w:r>
      <w:r w:rsidR="00B56F24">
        <w:t xml:space="preserve">analysis of </w:t>
      </w:r>
      <w:r w:rsidR="006E7FFC">
        <w:t xml:space="preserve">the supply and demand of VET teachers, trainers and assessors with broader industry </w:t>
      </w:r>
      <w:r w:rsidR="00B56F24">
        <w:t>skill shortages</w:t>
      </w:r>
    </w:p>
    <w:p w14:paraId="08B752B7" w14:textId="4146D389" w:rsidR="008762FD" w:rsidRDefault="00D84B6F" w:rsidP="00D32DD6">
      <w:pPr>
        <w:pStyle w:val="ListBullet"/>
        <w:spacing w:after="160"/>
      </w:pPr>
      <w:r>
        <w:t>we cannot use existing data to understand how the VET workforce varies among different types of private and not for profit RTOs</w:t>
      </w:r>
      <w:r w:rsidR="004266F8">
        <w:t xml:space="preserve">. </w:t>
      </w:r>
    </w:p>
    <w:p w14:paraId="7F64FFA3" w14:textId="77777777" w:rsidR="005E04FE" w:rsidRDefault="005E04FE" w:rsidP="00D32DD6">
      <w:pPr>
        <w:spacing w:before="120"/>
        <w:rPr>
          <w:rFonts w:cs="Arial"/>
        </w:rPr>
      </w:pPr>
      <w:r w:rsidRPr="6F95B553">
        <w:rPr>
          <w:rStyle w:val="Heading4Char"/>
        </w:rPr>
        <w:t>The VET workforce taxonomy, job profiles and occupational framework will aid future workforce planning and raise the status of VET jobs including the diversity of roles involved in this increasingly dynamic sector.</w:t>
      </w:r>
      <w:r w:rsidRPr="00B7001D">
        <w:rPr>
          <w:rStyle w:val="BodycopyChar"/>
        </w:rPr>
        <w:t xml:space="preserve"> </w:t>
      </w:r>
    </w:p>
    <w:p w14:paraId="3FC13715" w14:textId="04357A9F" w:rsidR="009831DD" w:rsidRDefault="005E04FE" w:rsidP="006A67D3">
      <w:pPr>
        <w:pStyle w:val="Bodycopy"/>
      </w:pPr>
      <w:r w:rsidRPr="00B7001D">
        <w:t xml:space="preserve">Governments, RTOs, and individuals can use all three tools to further understand </w:t>
      </w:r>
      <w:r w:rsidR="00A95ABD">
        <w:t>–</w:t>
      </w:r>
      <w:r w:rsidRPr="00B7001D">
        <w:t xml:space="preserve"> and indeed market </w:t>
      </w:r>
      <w:r w:rsidR="005A6607">
        <w:t>–</w:t>
      </w:r>
      <w:r w:rsidRPr="00B7001D">
        <w:t xml:space="preserve"> the different pathways into and diverse roles in VET. We identify how these workforce segments vary across RTOs depend on its student size, scope of delivery (reflected in the scope of registration), diversity of student cohort, funding sources, RTO type and business model.</w:t>
      </w:r>
      <w:r>
        <w:rPr>
          <w:rFonts w:cs="Arial"/>
          <w:color w:val="000000"/>
          <w:shd w:val="clear" w:color="auto" w:fill="FFFFFF"/>
        </w:rPr>
        <w:t> </w:t>
      </w:r>
      <w:r w:rsidRPr="00B7001D">
        <w:t xml:space="preserve">The profiling of </w:t>
      </w:r>
      <w:r w:rsidR="00CB29F6">
        <w:t>Teach, Train, and Assess</w:t>
      </w:r>
      <w:r w:rsidRPr="00B7001D">
        <w:t xml:space="preserve"> roles across a spectrum of working under supervision, focused, broad and extended scope and responsibility also opens the door for an occupational framework that cements career development opportunities and allows the best </w:t>
      </w:r>
      <w:r w:rsidR="00CC6D50">
        <w:t>VET teachers</w:t>
      </w:r>
      <w:r w:rsidRPr="00B7001D">
        <w:t xml:space="preserve"> to remain teachers if they want. In fact, we have deliberately chosen to highlight six segments, not just focus on teaching, training, and assessing, because they all contribute to the overall success of the VET sector and better reflect current industry practice. </w:t>
      </w:r>
    </w:p>
    <w:p w14:paraId="60B00194" w14:textId="57B185C0" w:rsidR="005E04FE" w:rsidRDefault="005E04FE" w:rsidP="006A67D3">
      <w:pPr>
        <w:pStyle w:val="Bodycopy"/>
        <w:rPr>
          <w:rFonts w:cs="Arial"/>
          <w:color w:val="000000"/>
          <w:shd w:val="clear" w:color="auto" w:fill="FFFFFF"/>
        </w:rPr>
      </w:pPr>
      <w:r w:rsidRPr="00B7001D">
        <w:t>Moreover, most segments provide pathways in and out of Teach, Train, and Assess roles where skills shortages are most apparent, and some segments are increasingly relevant and growing due to market and technological trends in curriculum, instructional and e-learning design roles.</w:t>
      </w:r>
      <w:r w:rsidRPr="000867B0">
        <w:rPr>
          <w:rFonts w:cs="Arial"/>
          <w:color w:val="000000"/>
          <w:shd w:val="clear" w:color="auto" w:fill="FFFFFF"/>
        </w:rPr>
        <w:t xml:space="preserve"> The importance of a high-quality, dynamic, and younger leadership cohort for VET is also key to </w:t>
      </w:r>
      <w:r>
        <w:rPr>
          <w:rFonts w:cs="Arial"/>
          <w:color w:val="000000"/>
          <w:shd w:val="clear" w:color="auto" w:fill="FFFFFF"/>
        </w:rPr>
        <w:t>a sustainable workforce and demonstrating the older and ag</w:t>
      </w:r>
      <w:r w:rsidR="00D13F19">
        <w:rPr>
          <w:rFonts w:cs="Arial"/>
          <w:color w:val="000000"/>
          <w:shd w:val="clear" w:color="auto" w:fill="FFFFFF"/>
        </w:rPr>
        <w:t>e</w:t>
      </w:r>
      <w:r>
        <w:rPr>
          <w:rFonts w:cs="Arial"/>
          <w:color w:val="000000"/>
          <w:shd w:val="clear" w:color="auto" w:fill="FFFFFF"/>
        </w:rPr>
        <w:t xml:space="preserve">ing profile of this and the teaching workforce is a signal to all stakeholders to act. </w:t>
      </w:r>
    </w:p>
    <w:p w14:paraId="5B398439" w14:textId="77777777" w:rsidR="005E04FE" w:rsidRPr="00C172BD" w:rsidRDefault="005E04FE" w:rsidP="002D4813">
      <w:pPr>
        <w:pStyle w:val="Heading4"/>
        <w:rPr>
          <w:rFonts w:eastAsia="Arial"/>
        </w:rPr>
      </w:pPr>
      <w:r w:rsidRPr="646B6A38">
        <w:t>Th</w:t>
      </w:r>
      <w:r w:rsidRPr="00C172BD">
        <w:t>e</w:t>
      </w:r>
      <w:r w:rsidRPr="646B6A38">
        <w:t xml:space="preserve"> diversity of VET providers, student cohorts, funding and training offerings ha</w:t>
      </w:r>
      <w:r w:rsidRPr="00C172BD">
        <w:t>s</w:t>
      </w:r>
      <w:r w:rsidRPr="646B6A38">
        <w:t xml:space="preserve"> direct implications for the VET workforce. Teaching roles differ across RTOs and need different supports and policy levers. </w:t>
      </w:r>
    </w:p>
    <w:p w14:paraId="48926968" w14:textId="04FAC21A" w:rsidR="005E04FE" w:rsidRPr="00C172BD" w:rsidRDefault="005E04FE" w:rsidP="006A67D3">
      <w:pPr>
        <w:pStyle w:val="Bodycopy"/>
        <w:rPr>
          <w:rFonts w:eastAsia="Arial"/>
        </w:rPr>
      </w:pPr>
      <w:r w:rsidRPr="00B7001D">
        <w:t xml:space="preserve">This study offers a more contemporary understanding of the current policy, regulatory and market shifts in the sector and the direct impacts on the workforce, including which parts Government should prioritise in its support. For example, most teaching effort in VET is in qualifications, even though subject only enrolments dominate student enrolments. And many of the </w:t>
      </w:r>
      <w:r w:rsidRPr="646B6A38">
        <w:rPr>
          <w:rFonts w:cs="Arial"/>
          <w:color w:val="000000"/>
          <w:shd w:val="clear" w:color="auto" w:fill="FFFFFF"/>
        </w:rPr>
        <w:t>h</w:t>
      </w:r>
      <w:r w:rsidRPr="09C36280">
        <w:t>igh-volume training package qualifications are</w:t>
      </w:r>
      <w:r>
        <w:t xml:space="preserve"> also</w:t>
      </w:r>
      <w:r w:rsidRPr="09C36280">
        <w:t xml:space="preserve"> concentrated in areas of </w:t>
      </w:r>
      <w:r>
        <w:t xml:space="preserve">skills shortages </w:t>
      </w:r>
      <w:r w:rsidR="00A95ABD">
        <w:t>–</w:t>
      </w:r>
      <w:r>
        <w:t xml:space="preserve"> </w:t>
      </w:r>
      <w:r w:rsidRPr="09C36280">
        <w:t xml:space="preserve">aged/disability care, early learning, </w:t>
      </w:r>
      <w:r>
        <w:t xml:space="preserve">and </w:t>
      </w:r>
      <w:r w:rsidRPr="09C36280">
        <w:t>specific building and engineering trades</w:t>
      </w:r>
      <w:r>
        <w:t xml:space="preserve">. </w:t>
      </w:r>
      <w:r w:rsidRPr="00B7001D">
        <w:t xml:space="preserve">Certain provider types also have a larger share of the market for certain high enrolment qualifications and the impact these have on workforce conditions and make-up needs to be considered for workforce strategy. Disadvantaged and priority cohorts are also increasingly taking up VET training and increased </w:t>
      </w:r>
      <w:r w:rsidR="00A60F9D" w:rsidRPr="00A60F9D">
        <w:t xml:space="preserve">pedagogical </w:t>
      </w:r>
      <w:r w:rsidRPr="00B7001D">
        <w:t xml:space="preserve">skills, understanding and wrap around supports for the VET workforce are needed.  </w:t>
      </w:r>
    </w:p>
    <w:p w14:paraId="33295824" w14:textId="77777777" w:rsidR="00F645A5" w:rsidRDefault="00F645A5">
      <w:pPr>
        <w:rPr>
          <w:rFonts w:eastAsiaTheme="majorEastAsia" w:cstheme="majorBidi"/>
          <w:b/>
          <w:color w:val="4B0885"/>
          <w:sz w:val="26"/>
          <w:szCs w:val="24"/>
        </w:rPr>
      </w:pPr>
      <w:r>
        <w:br w:type="page"/>
      </w:r>
    </w:p>
    <w:p w14:paraId="14728033" w14:textId="505DA254" w:rsidR="005E04FE" w:rsidRDefault="005E04FE" w:rsidP="005E04FE">
      <w:pPr>
        <w:pStyle w:val="Heading3"/>
      </w:pPr>
      <w:r>
        <w:lastRenderedPageBreak/>
        <w:t>High demand, low supply and training pipeline issues</w:t>
      </w:r>
    </w:p>
    <w:p w14:paraId="07ACD3F6" w14:textId="1D3E9630" w:rsidR="005E04FE" w:rsidRPr="001B4293" w:rsidRDefault="005E04FE" w:rsidP="002D4813">
      <w:pPr>
        <w:pStyle w:val="Heading4"/>
        <w:rPr>
          <w:lang w:val="en-GB"/>
        </w:rPr>
      </w:pPr>
      <w:r w:rsidRPr="00C172BD">
        <w:t>T</w:t>
      </w:r>
      <w:r w:rsidRPr="5B53E1B6">
        <w:t>here is strong alignment between high enrolment qualifications and occupations rated in</w:t>
      </w:r>
      <w:r w:rsidRPr="00C172BD">
        <w:t xml:space="preserve"> skills shortages</w:t>
      </w:r>
      <w:r>
        <w:t xml:space="preserve"> which has led to high and growing demand for </w:t>
      </w:r>
      <w:r w:rsidR="00CC6D50">
        <w:t>VET teachers</w:t>
      </w:r>
      <w:r>
        <w:t>, but VET teacher numbers have shrunk by between 11-18% over the last decade.</w:t>
      </w:r>
    </w:p>
    <w:p w14:paraId="0C4C3706" w14:textId="4C26985E" w:rsidR="005E04FE" w:rsidRPr="001B4293" w:rsidRDefault="005E04FE" w:rsidP="006A67D3">
      <w:pPr>
        <w:pStyle w:val="Bodycopy"/>
        <w:rPr>
          <w:rFonts w:eastAsia="Arial"/>
          <w:lang w:val="en-GB"/>
        </w:rPr>
      </w:pPr>
      <w:r w:rsidRPr="00B7001D">
        <w:t xml:space="preserve">The VET workforce is competing with industry for a limited supply of vocationally skilled workers. Projections show we will need 3,800 more </w:t>
      </w:r>
      <w:r w:rsidR="00CC6D50">
        <w:t>VET teachers</w:t>
      </w:r>
      <w:r w:rsidRPr="00B7001D">
        <w:t xml:space="preserve"> in the next five years. </w:t>
      </w:r>
      <w:r w:rsidRPr="09C36280">
        <w:t xml:space="preserve">Future demand for </w:t>
      </w:r>
      <w:r w:rsidR="00CC6D50">
        <w:t>VET teachers</w:t>
      </w:r>
      <w:r w:rsidRPr="09C36280">
        <w:t xml:space="preserve"> is expected to remain strong, with projected employment growth of 21% by 2033. Demand for other tertiary education occupations is also high.</w:t>
      </w:r>
      <w:r w:rsidRPr="00E16E19">
        <w:t xml:space="preserve"> </w:t>
      </w:r>
      <w:r w:rsidR="00C44CF2">
        <w:t>In the wider economy, there</w:t>
      </w:r>
      <w:r w:rsidR="00C44CF2" w:rsidRPr="09C36280">
        <w:t xml:space="preserve"> </w:t>
      </w:r>
      <w:r w:rsidRPr="09C36280">
        <w:t xml:space="preserve">are skills shortages in key areas </w:t>
      </w:r>
      <w:r w:rsidR="007D2AF0">
        <w:t>requiring</w:t>
      </w:r>
      <w:r w:rsidR="007D2AF0" w:rsidRPr="09C36280">
        <w:t xml:space="preserve"> </w:t>
      </w:r>
      <w:r w:rsidRPr="09C36280">
        <w:t>VET delivery</w:t>
      </w:r>
      <w:r w:rsidR="0020184D">
        <w:t>,</w:t>
      </w:r>
      <w:r w:rsidRPr="09C36280">
        <w:t xml:space="preserve"> </w:t>
      </w:r>
      <w:r w:rsidR="007D2AF0">
        <w:t>including</w:t>
      </w:r>
      <w:r w:rsidR="007D2AF0" w:rsidRPr="09C36280">
        <w:t xml:space="preserve"> </w:t>
      </w:r>
      <w:r w:rsidRPr="09C36280">
        <w:t xml:space="preserve">Aged </w:t>
      </w:r>
      <w:r w:rsidR="009A10E4">
        <w:t>and</w:t>
      </w:r>
      <w:r w:rsidRPr="09C36280">
        <w:t xml:space="preserve"> Disability Care, ECEC, Carpentry and Electrotechnology trades. The top ten qualifications by enrolments have experienced above average rates of growth since 2018, potentially exacerbating existing skills shortages for teaching, training and assessing roles in these areas. </w:t>
      </w:r>
      <w:r w:rsidR="00CC6D50">
        <w:rPr>
          <w:lang w:val="en-GB"/>
        </w:rPr>
        <w:t>VET teachers</w:t>
      </w:r>
      <w:r w:rsidRPr="51A5CF3D">
        <w:rPr>
          <w:lang w:val="en-GB"/>
        </w:rPr>
        <w:t xml:space="preserve"> themselves are in shortage nationally and in every jurisdiction in the last two years.</w:t>
      </w:r>
      <w:r w:rsidRPr="6F95B553">
        <w:rPr>
          <w:rFonts w:eastAsia="Arial"/>
        </w:rPr>
        <w:t xml:space="preserve"> Very strong demand for workers in vocational fields where the occupation is also on the skills shortage list (e.g. Electricians) or is nearing retirement age (e.g. adult literacy and numeracy specialists) is also a facto</w:t>
      </w:r>
      <w:r w:rsidR="00422759">
        <w:rPr>
          <w:rFonts w:eastAsia="Arial"/>
        </w:rPr>
        <w:t>r.</w:t>
      </w:r>
    </w:p>
    <w:p w14:paraId="62E78C90" w14:textId="77777777" w:rsidR="005E04FE" w:rsidRPr="00517530" w:rsidRDefault="005E04FE" w:rsidP="002D4813">
      <w:pPr>
        <w:pStyle w:val="Heading4"/>
      </w:pPr>
      <w:r>
        <w:t xml:space="preserve">Training providers are struggling to attract suitable applicants to fill teacher vacancies, with a lower vacancy fill rate than in universities, secondary and primary schools. </w:t>
      </w:r>
    </w:p>
    <w:p w14:paraId="680850AB" w14:textId="36557D49" w:rsidR="005E04FE" w:rsidRPr="00517530" w:rsidRDefault="005E04FE" w:rsidP="006A67D3">
      <w:pPr>
        <w:pStyle w:val="Bodycopy"/>
        <w:rPr>
          <w:rFonts w:eastAsia="Arial" w:cs="Arial"/>
        </w:rPr>
      </w:pPr>
      <w:r>
        <w:t xml:space="preserve">Over the ten years to January 2024, online job advertisements for </w:t>
      </w:r>
      <w:r w:rsidR="00CC6D50">
        <w:t>VET teachers</w:t>
      </w:r>
      <w:r>
        <w:t xml:space="preserve"> have grown by just over 200% compared to a growth of around 80% across all occupations. Advertisements for </w:t>
      </w:r>
      <w:r w:rsidR="00CC6D50">
        <w:t>VET teachers</w:t>
      </w:r>
      <w:r>
        <w:t xml:space="preserve"> outgrew the all-occupation average in every state and the ACT over the last decade. Only NT was the exception. There is also only a 50% fill rate for VET teaching jobs advertised. </w:t>
      </w:r>
      <w:r w:rsidRPr="7AD33374">
        <w:rPr>
          <w:rFonts w:eastAsia="Arial" w:cs="Arial"/>
        </w:rPr>
        <w:t>Plausible explanations of this growth in VET teacher vacancies include the creation of new VET teacher jobs in areas of high enrolments and skills shortages</w:t>
      </w:r>
      <w:r w:rsidR="00E6401A">
        <w:rPr>
          <w:rFonts w:eastAsia="Arial" w:cs="Arial"/>
        </w:rPr>
        <w:t xml:space="preserve"> and</w:t>
      </w:r>
      <w:r w:rsidR="0022162C" w:rsidRPr="7AD33374">
        <w:rPr>
          <w:rFonts w:eastAsia="Arial" w:cs="Arial"/>
        </w:rPr>
        <w:t xml:space="preserve"> </w:t>
      </w:r>
      <w:r w:rsidR="00E6401A">
        <w:rPr>
          <w:rFonts w:eastAsia="Arial" w:cs="Arial"/>
        </w:rPr>
        <w:t>increasing rates of retirement due to the older age profile of the VET teacher workforce</w:t>
      </w:r>
      <w:r w:rsidRPr="7AD33374">
        <w:rPr>
          <w:rFonts w:eastAsia="Arial" w:cs="Arial"/>
        </w:rPr>
        <w:t xml:space="preserve">. This </w:t>
      </w:r>
      <w:r w:rsidR="005D20F4" w:rsidRPr="7AD33374">
        <w:rPr>
          <w:rFonts w:eastAsia="Arial" w:cs="Arial"/>
        </w:rPr>
        <w:t>has been acute</w:t>
      </w:r>
      <w:r w:rsidRPr="7AD33374">
        <w:rPr>
          <w:rFonts w:eastAsia="Arial" w:cs="Arial"/>
        </w:rPr>
        <w:t xml:space="preserve"> in some areas</w:t>
      </w:r>
      <w:r w:rsidR="006474F9" w:rsidRPr="7AD33374">
        <w:rPr>
          <w:rFonts w:eastAsia="Arial" w:cs="Arial"/>
        </w:rPr>
        <w:t>, including</w:t>
      </w:r>
      <w:r w:rsidRPr="7AD33374">
        <w:rPr>
          <w:rFonts w:eastAsia="Arial" w:cs="Arial"/>
        </w:rPr>
        <w:t xml:space="preserve"> foundation skills and adult literacy and numeracy specialist roles.</w:t>
      </w:r>
    </w:p>
    <w:p w14:paraId="220BA097" w14:textId="36D6695A" w:rsidR="005E04FE" w:rsidRPr="00517530" w:rsidRDefault="005E04FE" w:rsidP="002D4813">
      <w:pPr>
        <w:pStyle w:val="Heading4"/>
        <w:rPr>
          <w:rFonts w:eastAsia="Arial"/>
          <w:color w:val="191919" w:themeColor="text1" w:themeTint="E6"/>
        </w:rPr>
      </w:pPr>
      <w:r>
        <w:t xml:space="preserve">The training pipeline is shrinking but is not particularly targeted at new entrants. </w:t>
      </w:r>
      <w:r w:rsidR="0096619F">
        <w:t xml:space="preserve">Completions in the key teaching credential </w:t>
      </w:r>
      <w:r w:rsidR="00A95ABD">
        <w:t>–</w:t>
      </w:r>
      <w:r w:rsidR="0096619F">
        <w:t xml:space="preserve"> t</w:t>
      </w:r>
      <w:r>
        <w:t xml:space="preserve">he Certificate IV TAE </w:t>
      </w:r>
      <w:r w:rsidR="00A95ABD">
        <w:t>–</w:t>
      </w:r>
      <w:r>
        <w:t xml:space="preserve"> </w:t>
      </w:r>
      <w:r w:rsidR="0096619F">
        <w:t>have</w:t>
      </w:r>
      <w:r>
        <w:t xml:space="preserve"> fallen by almost 25% since 2016. However, this isn’t impacting supply as drastically as expected because almost 70% of graduates are doing the qualification for their existing job. </w:t>
      </w:r>
    </w:p>
    <w:p w14:paraId="331C8CFC" w14:textId="77777777" w:rsidR="005E04FE" w:rsidRPr="00517530" w:rsidRDefault="005E04FE" w:rsidP="006A67D3">
      <w:pPr>
        <w:pStyle w:val="Bodycopy"/>
      </w:pPr>
      <w:r w:rsidRPr="00B7001D">
        <w:t xml:space="preserve">This means most people doing the key VET teaching credential does not translate into new workforce supply. </w:t>
      </w:r>
      <w:r w:rsidRPr="6F95B553">
        <w:t xml:space="preserve">These trends have been stable since 2016, except for 2019 and 2020 where they were even higher due to TAE upgrades at this time. </w:t>
      </w:r>
      <w:r w:rsidRPr="00B7001D">
        <w:t xml:space="preserve">The stark declines in the training pipeline have also occurred during a period when VET student numbers and enrolments in skill shortage qualifications like ECEC and the building and engineering trades have increased (partly offset by declines in other fields). </w:t>
      </w:r>
      <w:r w:rsidRPr="6F95B553">
        <w:t xml:space="preserve">The data also shows that those who are studying VET teaching diplomas are even more likely to be in VET already and are studying for career progression, better job security and higher pay. Higher education adult education training pathways into VET are similar and even smaller. Both have also shrunk since in recent years.  </w:t>
      </w:r>
    </w:p>
    <w:p w14:paraId="00A63936" w14:textId="77777777" w:rsidR="00F645A5" w:rsidRDefault="00F645A5">
      <w:pPr>
        <w:rPr>
          <w:rStyle w:val="Heading4Char"/>
        </w:rPr>
      </w:pPr>
      <w:r>
        <w:rPr>
          <w:rStyle w:val="Heading4Char"/>
          <w:b w:val="0"/>
          <w:bCs w:val="0"/>
        </w:rPr>
        <w:br w:type="page"/>
      </w:r>
    </w:p>
    <w:p w14:paraId="69596800" w14:textId="54273EEF" w:rsidR="005E04FE" w:rsidRPr="009831DD" w:rsidRDefault="005E04FE" w:rsidP="009831DD">
      <w:pPr>
        <w:pStyle w:val="Heading4"/>
      </w:pPr>
      <w:r w:rsidRPr="009831DD">
        <w:rPr>
          <w:rStyle w:val="Heading4Char"/>
          <w:b/>
          <w:bCs/>
        </w:rPr>
        <w:lastRenderedPageBreak/>
        <w:t xml:space="preserve">Student outcomes survey data shows that only a small proportion of graduates are using the Certificate IV TAE to </w:t>
      </w:r>
      <w:r w:rsidR="00962409" w:rsidRPr="009831DD">
        <w:rPr>
          <w:rStyle w:val="Heading4Char"/>
          <w:b/>
          <w:bCs/>
        </w:rPr>
        <w:t xml:space="preserve">move </w:t>
      </w:r>
      <w:r w:rsidRPr="009831DD">
        <w:rPr>
          <w:rStyle w:val="Heading4Char"/>
          <w:b/>
          <w:bCs/>
        </w:rPr>
        <w:t>into VET teaching roles.</w:t>
      </w:r>
      <w:r w:rsidRPr="009831DD">
        <w:rPr>
          <w:rStyle w:val="BodycopyChar"/>
          <w:color w:val="012749"/>
          <w:spacing w:val="0"/>
        </w:rPr>
        <w:t xml:space="preserve"> </w:t>
      </w:r>
    </w:p>
    <w:p w14:paraId="25F7BAA4" w14:textId="098D5FBF" w:rsidR="005E04FE" w:rsidRPr="00517530" w:rsidRDefault="00862497" w:rsidP="006A67D3">
      <w:pPr>
        <w:pStyle w:val="Bodycopy"/>
        <w:rPr>
          <w:rFonts w:eastAsia="Arial"/>
        </w:rPr>
      </w:pPr>
      <w:r>
        <w:t>O</w:t>
      </w:r>
      <w:r w:rsidR="005E04FE" w:rsidRPr="7AD33374">
        <w:rPr>
          <w:rFonts w:eastAsia="Arial"/>
        </w:rPr>
        <w:t xml:space="preserve">ne-third of 2022 </w:t>
      </w:r>
      <w:r w:rsidR="00D16FFD">
        <w:rPr>
          <w:rFonts w:eastAsia="Arial"/>
        </w:rPr>
        <w:t xml:space="preserve">Certificate IV TAE </w:t>
      </w:r>
      <w:r w:rsidR="005E04FE" w:rsidRPr="7AD33374">
        <w:rPr>
          <w:rFonts w:eastAsia="Arial"/>
        </w:rPr>
        <w:t xml:space="preserve">graduates </w:t>
      </w:r>
      <w:r w:rsidR="0013714B" w:rsidRPr="7AD33374">
        <w:rPr>
          <w:rFonts w:eastAsia="Arial"/>
        </w:rPr>
        <w:t xml:space="preserve">who </w:t>
      </w:r>
      <w:r w:rsidR="005E04FE" w:rsidRPr="7AD33374">
        <w:rPr>
          <w:rFonts w:eastAsia="Arial"/>
        </w:rPr>
        <w:t xml:space="preserve">were in non-education occupations before </w:t>
      </w:r>
      <w:r w:rsidR="0013714B" w:rsidRPr="7AD33374">
        <w:rPr>
          <w:rFonts w:eastAsia="Arial"/>
        </w:rPr>
        <w:t xml:space="preserve">their study </w:t>
      </w:r>
      <w:r w:rsidR="00C676B9" w:rsidRPr="7AD33374">
        <w:rPr>
          <w:rFonts w:eastAsia="Arial"/>
        </w:rPr>
        <w:t xml:space="preserve">continued to </w:t>
      </w:r>
      <w:r w:rsidR="008416F5" w:rsidRPr="7AD33374">
        <w:rPr>
          <w:rFonts w:eastAsia="Arial"/>
        </w:rPr>
        <w:t>pursue work</w:t>
      </w:r>
      <w:r w:rsidR="00E97602" w:rsidRPr="7AD33374">
        <w:rPr>
          <w:rFonts w:eastAsia="Arial"/>
        </w:rPr>
        <w:t xml:space="preserve"> outside of </w:t>
      </w:r>
      <w:r w:rsidR="008416F5" w:rsidRPr="7AD33374">
        <w:rPr>
          <w:rFonts w:eastAsia="Arial"/>
        </w:rPr>
        <w:t>Teach, train and assess</w:t>
      </w:r>
      <w:r w:rsidR="00E97602" w:rsidRPr="7AD33374">
        <w:rPr>
          <w:rFonts w:eastAsia="Arial"/>
        </w:rPr>
        <w:t xml:space="preserve"> </w:t>
      </w:r>
      <w:r w:rsidR="008416F5" w:rsidRPr="7AD33374">
        <w:rPr>
          <w:rFonts w:eastAsia="Arial"/>
        </w:rPr>
        <w:t xml:space="preserve">roles </w:t>
      </w:r>
      <w:r w:rsidR="005E04FE" w:rsidRPr="7AD33374">
        <w:rPr>
          <w:rFonts w:eastAsia="Arial"/>
        </w:rPr>
        <w:t xml:space="preserve">after completing the </w:t>
      </w:r>
      <w:r w:rsidR="00F64881">
        <w:rPr>
          <w:rFonts w:eastAsia="Arial"/>
        </w:rPr>
        <w:t>qualification</w:t>
      </w:r>
      <w:r w:rsidR="005E04FE" w:rsidRPr="7AD33374">
        <w:rPr>
          <w:rFonts w:eastAsia="Arial"/>
        </w:rPr>
        <w:t xml:space="preserve">. </w:t>
      </w:r>
      <w:r w:rsidR="004D2909">
        <w:t>However</w:t>
      </w:r>
      <w:r w:rsidR="002D3C99">
        <w:t>,</w:t>
      </w:r>
      <w:r w:rsidR="004D2909">
        <w:t xml:space="preserve"> </w:t>
      </w:r>
      <w:r w:rsidR="005E04FE" w:rsidRPr="7AD33374">
        <w:rPr>
          <w:rFonts w:eastAsia="Arial"/>
        </w:rPr>
        <w:t xml:space="preserve">most </w:t>
      </w:r>
      <w:r w:rsidR="004D2909">
        <w:rPr>
          <w:rFonts w:eastAsia="Arial"/>
        </w:rPr>
        <w:t xml:space="preserve">Certificate IV TAE graduates who were working </w:t>
      </w:r>
      <w:r w:rsidR="005701A1">
        <w:rPr>
          <w:rFonts w:eastAsia="Arial"/>
        </w:rPr>
        <w:t xml:space="preserve">as </w:t>
      </w:r>
      <w:r w:rsidR="00CC6D50" w:rsidRPr="7AD33374">
        <w:rPr>
          <w:rFonts w:eastAsia="Arial"/>
        </w:rPr>
        <w:t>VET teachers</w:t>
      </w:r>
      <w:r w:rsidR="005E04FE" w:rsidRPr="7AD33374">
        <w:rPr>
          <w:rFonts w:eastAsia="Arial"/>
        </w:rPr>
        <w:t xml:space="preserve"> after training did find the qualification highly relevant to their job – around 85% for those working in VET and other education sectors. </w:t>
      </w:r>
    </w:p>
    <w:p w14:paraId="2BBFFBF9" w14:textId="63A094FF" w:rsidR="005E04FE" w:rsidRPr="00B7001D" w:rsidRDefault="005E04FE" w:rsidP="009F7F8E">
      <w:pPr>
        <w:pStyle w:val="Heading4"/>
        <w:keepNext/>
        <w:rPr>
          <w:rStyle w:val="BodycopyChar"/>
          <w:rFonts w:cstheme="minorBidi"/>
          <w:b w:val="0"/>
          <w:bCs w:val="0"/>
        </w:rPr>
      </w:pPr>
      <w:r>
        <w:t xml:space="preserve">Migration pathways are </w:t>
      </w:r>
      <w:r w:rsidR="00CB7DF5">
        <w:t xml:space="preserve">infrequently </w:t>
      </w:r>
      <w:r>
        <w:t xml:space="preserve">used for </w:t>
      </w:r>
      <w:r w:rsidR="00CC6D50">
        <w:t>VET teachers</w:t>
      </w:r>
      <w:r w:rsidR="00C7680D">
        <w:t>.</w:t>
      </w:r>
      <w:r>
        <w:t xml:space="preserve"> </w:t>
      </w:r>
      <w:r w:rsidR="0096619F">
        <w:t>T</w:t>
      </w:r>
      <w:r>
        <w:t xml:space="preserve">here are some </w:t>
      </w:r>
      <w:r w:rsidR="00274B04">
        <w:t xml:space="preserve">visa </w:t>
      </w:r>
      <w:r>
        <w:t>options available</w:t>
      </w:r>
      <w:r w:rsidR="00CE4C57">
        <w:t xml:space="preserve"> that potentially</w:t>
      </w:r>
      <w:r>
        <w:t xml:space="preserve"> could offer a source of supply for </w:t>
      </w:r>
      <w:r w:rsidR="00CC6D50">
        <w:t>VET teachers</w:t>
      </w:r>
      <w:r>
        <w:t xml:space="preserve">. </w:t>
      </w:r>
    </w:p>
    <w:p w14:paraId="421B93C5" w14:textId="215E9FF2" w:rsidR="002B1B26" w:rsidRPr="009831DD" w:rsidRDefault="00822D78" w:rsidP="009831DD">
      <w:pPr>
        <w:pStyle w:val="Bodycopy"/>
      </w:pPr>
      <w:r>
        <w:t xml:space="preserve">Fewer than </w:t>
      </w:r>
      <w:r w:rsidR="005E04FE">
        <w:t xml:space="preserve">20 visas to sponsor </w:t>
      </w:r>
      <w:r w:rsidR="00CC6D50">
        <w:t>VET teachers</w:t>
      </w:r>
      <w:r w:rsidR="005E04FE">
        <w:t xml:space="preserve"> were granted </w:t>
      </w:r>
      <w:r>
        <w:t xml:space="preserve">on average </w:t>
      </w:r>
      <w:r w:rsidR="005E04FE">
        <w:t xml:space="preserve">per year over the last decade. For </w:t>
      </w:r>
      <w:r w:rsidR="00CC6D50">
        <w:t>VET teachers</w:t>
      </w:r>
      <w:r w:rsidR="005E04FE">
        <w:t xml:space="preserve"> born overseas, VET teaching is not typically their first job on arrival in Australia. The pool of migrants able to step into a VET teacher role without further study or prior employment in Australia is limited. However, given the qualification and licencing requirements, additional supports </w:t>
      </w:r>
      <w:r w:rsidR="00CE4C57">
        <w:t>w</w:t>
      </w:r>
      <w:r w:rsidR="005E04FE">
        <w:t xml:space="preserve">ould </w:t>
      </w:r>
      <w:r w:rsidR="00CE4C57">
        <w:t xml:space="preserve">likely need to </w:t>
      </w:r>
      <w:r w:rsidR="005E04FE">
        <w:t>be implemented to encourage greater use of a migration pipeline.</w:t>
      </w:r>
    </w:p>
    <w:p w14:paraId="21F36771" w14:textId="50650545" w:rsidR="005E04FE" w:rsidRDefault="005E04FE" w:rsidP="005E04FE">
      <w:pPr>
        <w:pStyle w:val="Heading3"/>
        <w:rPr>
          <w:rFonts w:cs="Arial"/>
          <w:color w:val="000000" w:themeColor="text1"/>
        </w:rPr>
      </w:pPr>
      <w:r>
        <w:t>An older and ag</w:t>
      </w:r>
      <w:r w:rsidR="00D13F19">
        <w:t>e</w:t>
      </w:r>
      <w:r>
        <w:t>ing workforce that is lacking diversity</w:t>
      </w:r>
    </w:p>
    <w:p w14:paraId="11D40EF4" w14:textId="462AD4EA" w:rsidR="005E04FE" w:rsidRDefault="005E04FE" w:rsidP="005E04FE">
      <w:pPr>
        <w:rPr>
          <w:lang w:val="en-US"/>
        </w:rPr>
      </w:pPr>
      <w:r w:rsidRPr="6F95B553">
        <w:rPr>
          <w:rStyle w:val="Heading4Char"/>
        </w:rPr>
        <w:t>The most distinctive demographic aspect of the workforce is that it is older and ag</w:t>
      </w:r>
      <w:r w:rsidR="00D13F19">
        <w:rPr>
          <w:rStyle w:val="Heading4Char"/>
        </w:rPr>
        <w:t>e</w:t>
      </w:r>
      <w:r w:rsidRPr="6F95B553">
        <w:rPr>
          <w:rStyle w:val="Heading4Char"/>
        </w:rPr>
        <w:t xml:space="preserve">ing. This is more pronounced for the </w:t>
      </w:r>
      <w:r w:rsidR="00CB29F6">
        <w:rPr>
          <w:rStyle w:val="Heading4Char"/>
        </w:rPr>
        <w:t>Teach, Train, and Assess</w:t>
      </w:r>
      <w:r w:rsidRPr="6F95B553">
        <w:rPr>
          <w:rStyle w:val="Heading4Char"/>
        </w:rPr>
        <w:t xml:space="preserve"> workforce. </w:t>
      </w:r>
    </w:p>
    <w:p w14:paraId="0F4E6343" w14:textId="5E73E2A0" w:rsidR="005E04FE" w:rsidRDefault="005E04FE" w:rsidP="006A67D3">
      <w:pPr>
        <w:pStyle w:val="Bodycopy"/>
        <w:rPr>
          <w:lang w:val="en-US"/>
        </w:rPr>
      </w:pPr>
      <w:r w:rsidRPr="6F95B553">
        <w:t>Almost half of the VET workforce is over 50 years, and the average age is six years older than the Australian workforce average (47 compared to 41).  </w:t>
      </w:r>
      <w:r>
        <w:t>Outside of this, the VET workforce reflects the demographic make-up of the wider Australian workforce with only slight variations. For example, VET is only slightly more feminised and slightly less culturally diverse that the wider Australian workforce</w:t>
      </w:r>
      <w:r w:rsidR="00850BBB">
        <w:t xml:space="preserve"> However a lo</w:t>
      </w:r>
      <w:r w:rsidR="00FC0C99">
        <w:t>wer proportion of the VET workforce than the wider Australian workforce speaks a language other than English (LOTE) at home.</w:t>
      </w:r>
      <w:r>
        <w:t xml:space="preserve"> The VET workforce has a similar geographic profile to the Australian workforce.</w:t>
      </w:r>
    </w:p>
    <w:p w14:paraId="4D42B2CB" w14:textId="0BAA0AA8" w:rsidR="005E04FE" w:rsidRDefault="005E04FE" w:rsidP="00EE6CC9">
      <w:pPr>
        <w:pStyle w:val="Heading4"/>
      </w:pPr>
      <w:r>
        <w:t xml:space="preserve">The VET workforce is more highly qualified than the Australian workforce but there are key data gaps due to the dual professional status of </w:t>
      </w:r>
      <w:r w:rsidR="00CC6D50">
        <w:t>VET teachers</w:t>
      </w:r>
      <w:r>
        <w:t xml:space="preserve">, trainers and assessors.  </w:t>
      </w:r>
    </w:p>
    <w:p w14:paraId="12D1EB18" w14:textId="677E6CD8" w:rsidR="005E04FE" w:rsidRDefault="005E04FE" w:rsidP="00B7001D">
      <w:pPr>
        <w:pStyle w:val="Bodycopy"/>
        <w:rPr>
          <w:rFonts w:cs="Arial"/>
        </w:rPr>
      </w:pPr>
      <w:r w:rsidRPr="6F95B553">
        <w:rPr>
          <w:rFonts w:cs="Arial"/>
        </w:rPr>
        <w:t xml:space="preserve">Almost half of the VET workforce has a Bachelor degree in contrast to just over one third of the broader Australian workforce. This higher level of education is not surprising considering the dual professional status of </w:t>
      </w:r>
      <w:r w:rsidR="00CC6D50">
        <w:rPr>
          <w:rFonts w:cs="Arial"/>
        </w:rPr>
        <w:t>VET teachers</w:t>
      </w:r>
      <w:r w:rsidRPr="6F95B553">
        <w:rPr>
          <w:rFonts w:cs="Arial"/>
        </w:rPr>
        <w:t xml:space="preserve"> but highlights the unique data gap of the VET workforce’s dual qualifications in both vocational and adult education teaching qualifications. We have no way of understanding and differentiating the teaching and industry qualifications of the workforce</w:t>
      </w:r>
      <w:r w:rsidR="000B2B1C">
        <w:rPr>
          <w:rFonts w:cs="Arial"/>
        </w:rPr>
        <w:t xml:space="preserve"> withou</w:t>
      </w:r>
      <w:r w:rsidR="00D81B5A">
        <w:rPr>
          <w:rFonts w:cs="Arial"/>
        </w:rPr>
        <w:t>t a custom data collection</w:t>
      </w:r>
      <w:r w:rsidRPr="6F95B553">
        <w:rPr>
          <w:rFonts w:cs="Arial"/>
        </w:rPr>
        <w:t xml:space="preserve">. </w:t>
      </w:r>
    </w:p>
    <w:p w14:paraId="1A34A6ED" w14:textId="232166E9" w:rsidR="005E04FE" w:rsidRDefault="00A22178" w:rsidP="006A67D3">
      <w:pPr>
        <w:pStyle w:val="Bodycopy"/>
      </w:pPr>
      <w:r w:rsidRPr="7AD33374">
        <w:rPr>
          <w:rStyle w:val="Heading4Char"/>
        </w:rPr>
        <w:t>The</w:t>
      </w:r>
      <w:r w:rsidR="005E04FE" w:rsidRPr="7AD33374">
        <w:rPr>
          <w:rStyle w:val="Heading4Char"/>
        </w:rPr>
        <w:t xml:space="preserve"> VET workforce</w:t>
      </w:r>
      <w:r w:rsidRPr="7AD33374">
        <w:rPr>
          <w:rStyle w:val="Heading4Char"/>
        </w:rPr>
        <w:t xml:space="preserve"> </w:t>
      </w:r>
      <w:r w:rsidR="00CA232B">
        <w:rPr>
          <w:rStyle w:val="Heading4Char"/>
        </w:rPr>
        <w:t>is not as diverse as</w:t>
      </w:r>
      <w:r w:rsidRPr="7AD33374">
        <w:rPr>
          <w:rStyle w:val="Heading4Char"/>
        </w:rPr>
        <w:t xml:space="preserve"> its student population</w:t>
      </w:r>
      <w:r w:rsidR="005E04FE" w:rsidRPr="7AD33374">
        <w:rPr>
          <w:rStyle w:val="Heading4Char"/>
        </w:rPr>
        <w:t>.</w:t>
      </w:r>
      <w:r w:rsidR="005E04FE">
        <w:t xml:space="preserve"> </w:t>
      </w:r>
    </w:p>
    <w:p w14:paraId="70F49634" w14:textId="0943B632" w:rsidR="005E04FE" w:rsidRDefault="00882E65" w:rsidP="009F7F8E">
      <w:pPr>
        <w:pStyle w:val="ListBullet"/>
        <w:numPr>
          <w:ilvl w:val="0"/>
          <w:numId w:val="0"/>
        </w:numPr>
        <w:rPr>
          <w:b/>
          <w:bCs/>
        </w:rPr>
      </w:pPr>
      <w:r>
        <w:t xml:space="preserve">First Nations peoples and cohorts who speak a Language other than English at home, especially amongst the Teach, Train, and Assess segment is lower than the wider Australian Workforce, a situation that </w:t>
      </w:r>
      <w:r w:rsidR="00AA4312">
        <w:t xml:space="preserve">the current training pipeline will </w:t>
      </w:r>
      <w:r>
        <w:t xml:space="preserve">reinforce. This is </w:t>
      </w:r>
      <w:r w:rsidR="00605360">
        <w:t>in contrast to</w:t>
      </w:r>
      <w:r>
        <w:t xml:space="preserve"> the diversity of the VET student cohort, </w:t>
      </w:r>
      <w:r w:rsidR="00605360">
        <w:t xml:space="preserve">which </w:t>
      </w:r>
      <w:r w:rsidR="005E04FE">
        <w:t xml:space="preserve">may negatively impact student outcomes and perpetuate disadvantage, as incoming VET students are less likely to encounter people with whom they identify. </w:t>
      </w:r>
    </w:p>
    <w:p w14:paraId="352BC805" w14:textId="77777777" w:rsidR="005E04FE" w:rsidRDefault="005E04FE" w:rsidP="005E04FE">
      <w:pPr>
        <w:pStyle w:val="Heading3"/>
      </w:pPr>
      <w:r>
        <w:lastRenderedPageBreak/>
        <w:t>Highly casualised and lower paid than teachers in other education sectors</w:t>
      </w:r>
    </w:p>
    <w:p w14:paraId="6BA53C8F" w14:textId="77777777" w:rsidR="005E04FE" w:rsidRDefault="005E04FE" w:rsidP="002D4813">
      <w:pPr>
        <w:pStyle w:val="Heading4"/>
        <w:rPr>
          <w:rStyle w:val="ui-provider"/>
        </w:rPr>
      </w:pPr>
      <w:r>
        <w:t xml:space="preserve">The VET workforce is more casualised, slightly higher paid and less award dependent than the Australian workforce, but not when compared to their teaching counterparts in other education sectors or industry vocations prominent in VET. </w:t>
      </w:r>
    </w:p>
    <w:p w14:paraId="3A8F0352" w14:textId="57511354" w:rsidR="00764D17" w:rsidRDefault="005E04FE" w:rsidP="009831DD">
      <w:pPr>
        <w:pStyle w:val="Bodycopy"/>
        <w:rPr>
          <w:rStyle w:val="ui-provider"/>
        </w:rPr>
      </w:pPr>
      <w:r>
        <w:t xml:space="preserve">Only 56% of </w:t>
      </w:r>
      <w:r w:rsidR="00CC6D50">
        <w:t>VET teachers</w:t>
      </w:r>
      <w:r>
        <w:t xml:space="preserve"> are permanent employees, compared to 70% of the Australian </w:t>
      </w:r>
      <w:r w:rsidR="004B52FB">
        <w:t>w</w:t>
      </w:r>
      <w:r>
        <w:t xml:space="preserve">orkforce. Most TAFE employees are employed in permanent or ongoing roles (62%-85.4%), except for TAFE NSW where almost half of employees are </w:t>
      </w:r>
      <w:r w:rsidRPr="00A60F9D">
        <w:t>casual.</w:t>
      </w:r>
      <w:r w:rsidRPr="00A60F9D">
        <w:rPr>
          <w:b/>
          <w:bCs/>
        </w:rPr>
        <w:t xml:space="preserve"> </w:t>
      </w:r>
      <w:r w:rsidRPr="00A60F9D">
        <w:rPr>
          <w:rStyle w:val="Strong"/>
          <w:b w:val="0"/>
          <w:bCs w:val="0"/>
        </w:rPr>
        <w:t>The award wage is substantially lower than</w:t>
      </w:r>
      <w:r w:rsidR="00E11E85">
        <w:rPr>
          <w:rStyle w:val="Strong"/>
          <w:b w:val="0"/>
          <w:bCs w:val="0"/>
        </w:rPr>
        <w:t xml:space="preserve"> </w:t>
      </w:r>
      <w:r w:rsidR="003A5EF4">
        <w:rPr>
          <w:rStyle w:val="Strong"/>
          <w:b w:val="0"/>
          <w:bCs w:val="0"/>
        </w:rPr>
        <w:t>enterprise</w:t>
      </w:r>
      <w:r w:rsidRPr="00A60F9D">
        <w:rPr>
          <w:rStyle w:val="Strong"/>
          <w:b w:val="0"/>
          <w:bCs w:val="0"/>
        </w:rPr>
        <w:t xml:space="preserve"> agreements but over 60% of </w:t>
      </w:r>
      <w:r w:rsidR="00CC6D50" w:rsidRPr="00A60F9D">
        <w:rPr>
          <w:rStyle w:val="Strong"/>
          <w:b w:val="0"/>
          <w:bCs w:val="0"/>
        </w:rPr>
        <w:t>VET teachers</w:t>
      </w:r>
      <w:r w:rsidRPr="00A60F9D">
        <w:rPr>
          <w:rStyle w:val="Strong"/>
          <w:b w:val="0"/>
          <w:bCs w:val="0"/>
        </w:rPr>
        <w:t xml:space="preserve"> are on </w:t>
      </w:r>
      <w:r w:rsidR="00C23850">
        <w:rPr>
          <w:rStyle w:val="Strong"/>
          <w:b w:val="0"/>
          <w:bCs w:val="0"/>
        </w:rPr>
        <w:t>enterprise</w:t>
      </w:r>
      <w:r w:rsidR="00C23850" w:rsidRPr="00A60F9D">
        <w:rPr>
          <w:rStyle w:val="Strong"/>
          <w:b w:val="0"/>
          <w:bCs w:val="0"/>
        </w:rPr>
        <w:t xml:space="preserve"> </w:t>
      </w:r>
      <w:r w:rsidRPr="00A60F9D">
        <w:rPr>
          <w:rStyle w:val="Strong"/>
          <w:b w:val="0"/>
          <w:bCs w:val="0"/>
        </w:rPr>
        <w:t>agreements</w:t>
      </w:r>
      <w:r w:rsidR="00542033" w:rsidRPr="00A60F9D">
        <w:rPr>
          <w:rStyle w:val="Strong"/>
          <w:b w:val="0"/>
          <w:bCs w:val="0"/>
        </w:rPr>
        <w:t>,</w:t>
      </w:r>
      <w:r w:rsidRPr="00A60F9D">
        <w:rPr>
          <w:rStyle w:val="Strong"/>
          <w:b w:val="0"/>
          <w:bCs w:val="0"/>
        </w:rPr>
        <w:t xml:space="preserve"> mainly in the public sector.</w:t>
      </w:r>
      <w:r w:rsidRPr="6F95B553">
        <w:rPr>
          <w:rStyle w:val="Strong"/>
        </w:rPr>
        <w:t xml:space="preserve"> </w:t>
      </w:r>
      <w:r w:rsidRPr="6F95B553">
        <w:rPr>
          <w:rStyle w:val="ui-provider"/>
        </w:rPr>
        <w:t xml:space="preserve">This means that those teaching in private RTOs generally earn less than those with public sector employers because there is higher agreement coverage and union membership in public TAFEs and dual sector institutions. </w:t>
      </w:r>
      <w:r w:rsidR="00F849E1">
        <w:rPr>
          <w:rStyle w:val="ui-provider"/>
        </w:rPr>
        <w:t>M</w:t>
      </w:r>
      <w:r w:rsidRPr="6F95B553">
        <w:rPr>
          <w:rStyle w:val="ui-provider"/>
        </w:rPr>
        <w:t xml:space="preserve">ost (68.5%) </w:t>
      </w:r>
      <w:r w:rsidR="00CC6D50">
        <w:rPr>
          <w:rStyle w:val="ui-provider"/>
        </w:rPr>
        <w:t>VET teachers</w:t>
      </w:r>
      <w:r w:rsidRPr="6F95B553">
        <w:rPr>
          <w:rStyle w:val="ui-provider"/>
        </w:rPr>
        <w:t xml:space="preserve"> had only one job in 2021-22, very similar to the average for all occupations (67.2%).</w:t>
      </w:r>
    </w:p>
    <w:p w14:paraId="55B2015D" w14:textId="77777777" w:rsidR="005E04FE" w:rsidRDefault="005E04FE" w:rsidP="002D4813">
      <w:pPr>
        <w:pStyle w:val="Heading4"/>
        <w:rPr>
          <w:rFonts w:eastAsia="Arial"/>
        </w:rPr>
      </w:pPr>
      <w:r>
        <w:t xml:space="preserve">There is a 16% gender pay gap in VET. </w:t>
      </w:r>
    </w:p>
    <w:p w14:paraId="28EB35D6" w14:textId="3DDEFB6D" w:rsidR="005E04FE" w:rsidRDefault="005E04FE" w:rsidP="006A67D3">
      <w:pPr>
        <w:pStyle w:val="Bodycopy"/>
      </w:pPr>
      <w:r>
        <w:t>W</w:t>
      </w:r>
      <w:r w:rsidRPr="423AB0E8">
        <w:t xml:space="preserve">omen earning an average annual income $14,773 less than their male counterparts. The pay gap is even higher for </w:t>
      </w:r>
      <w:r w:rsidR="00CC6D50">
        <w:t>VET teachers</w:t>
      </w:r>
      <w:r w:rsidRPr="423AB0E8">
        <w:t xml:space="preserve">, </w:t>
      </w:r>
      <w:r w:rsidR="00CA16FA">
        <w:t>trainers</w:t>
      </w:r>
      <w:r w:rsidRPr="423AB0E8">
        <w:t xml:space="preserve"> and </w:t>
      </w:r>
      <w:r w:rsidR="00CA16FA">
        <w:t>a</w:t>
      </w:r>
      <w:r w:rsidRPr="423AB0E8">
        <w:t xml:space="preserve">ssessors where it is a 17% pay gap. For full-time workers, this gender pay gap reduces to 9% for overall VET workforce and 7% for the </w:t>
      </w:r>
      <w:r w:rsidR="00CB29F6">
        <w:t>Teach, Train, and Assess</w:t>
      </w:r>
      <w:r w:rsidRPr="423AB0E8">
        <w:t xml:space="preserve"> segment. </w:t>
      </w:r>
    </w:p>
    <w:p w14:paraId="627D1F8B" w14:textId="4F8A87FF" w:rsidR="005E04FE" w:rsidRDefault="005E04FE" w:rsidP="002D4813">
      <w:pPr>
        <w:pStyle w:val="Heading4"/>
      </w:pPr>
      <w:r>
        <w:t xml:space="preserve">The VET teaching profession lost more people to other occupations </w:t>
      </w:r>
      <w:r w:rsidR="45A19132">
        <w:t xml:space="preserve">than it </w:t>
      </w:r>
      <w:r w:rsidR="001838EB">
        <w:t>gained</w:t>
      </w:r>
      <w:r w:rsidR="45A19132">
        <w:t xml:space="preserve"> </w:t>
      </w:r>
      <w:r>
        <w:t xml:space="preserve">in the eight years leading up to 2018/19 and those that leave get higher pay increases than those that enter. </w:t>
      </w:r>
    </w:p>
    <w:p w14:paraId="752FF84D" w14:textId="3A7B2D87" w:rsidR="005E04FE" w:rsidRDefault="005E04FE" w:rsidP="006A67D3">
      <w:pPr>
        <w:pStyle w:val="Bodycopy"/>
      </w:pPr>
      <w:r>
        <w:t xml:space="preserve">This presents a challenge for attracting and retaining the VET workforce as prospective teachers must weigh up a teaching role relative to their industry pay and conditions. For some occupations, </w:t>
      </w:r>
      <w:r w:rsidR="005C4205">
        <w:t xml:space="preserve">moving </w:t>
      </w:r>
      <w:r>
        <w:t xml:space="preserve">into VET comes with a pay increase (mainly from lower paid and more insecure occupations) but on average, new </w:t>
      </w:r>
      <w:r w:rsidR="00CC6D50">
        <w:t>VET teachers</w:t>
      </w:r>
      <w:r>
        <w:t xml:space="preserve"> earn less than they did in the previous financial year. Likewise, those </w:t>
      </w:r>
      <w:r w:rsidR="001C4F9F">
        <w:t>leaving</w:t>
      </w:r>
      <w:r>
        <w:t xml:space="preserve"> VET </w:t>
      </w:r>
      <w:r w:rsidR="001C4F9F">
        <w:t xml:space="preserve">to pursue </w:t>
      </w:r>
      <w:r>
        <w:t xml:space="preserve">other teaching or education focused roles </w:t>
      </w:r>
      <w:r w:rsidR="001838EB">
        <w:t xml:space="preserve">on average </w:t>
      </w:r>
      <w:r w:rsidR="001C4F9F">
        <w:t xml:space="preserve">receive </w:t>
      </w:r>
      <w:r>
        <w:t>significant pay increases.</w:t>
      </w:r>
    </w:p>
    <w:p w14:paraId="4C5595E3" w14:textId="1E38481D" w:rsidR="005E04FE" w:rsidRDefault="005E04FE" w:rsidP="002D4813">
      <w:pPr>
        <w:pStyle w:val="Heading4"/>
        <w:rPr>
          <w:rStyle w:val="ui-provider"/>
        </w:rPr>
      </w:pPr>
      <w:r>
        <w:t xml:space="preserve">There </w:t>
      </w:r>
      <w:r w:rsidR="001C37CD">
        <w:t>are few common</w:t>
      </w:r>
      <w:r w:rsidR="4A4D7ECD">
        <w:t xml:space="preserve"> </w:t>
      </w:r>
      <w:r>
        <w:t xml:space="preserve">career </w:t>
      </w:r>
      <w:r w:rsidR="749EF249">
        <w:t>movements</w:t>
      </w:r>
      <w:r>
        <w:t xml:space="preserve"> in and out of VET teaching, but where there </w:t>
      </w:r>
      <w:r w:rsidR="11D10007">
        <w:t>are</w:t>
      </w:r>
      <w:r>
        <w:t xml:space="preserve"> it is generally to and from other kinds of teaching, especially Secondary School Teaching. </w:t>
      </w:r>
      <w:r w:rsidR="7D8FD77E">
        <w:t xml:space="preserve">There is also some </w:t>
      </w:r>
      <w:r>
        <w:t xml:space="preserve">evidence of </w:t>
      </w:r>
      <w:r w:rsidR="5C59F175">
        <w:t>career progression</w:t>
      </w:r>
      <w:r w:rsidR="00455396">
        <w:t xml:space="preserve"> </w:t>
      </w:r>
      <w:r>
        <w:t xml:space="preserve">within the sector from VET teaching into leadership positions. </w:t>
      </w:r>
    </w:p>
    <w:p w14:paraId="0A63FF4F" w14:textId="7033494A" w:rsidR="005E04FE" w:rsidRDefault="00280386" w:rsidP="009C190E">
      <w:pPr>
        <w:pStyle w:val="Bodycopy"/>
        <w:rPr>
          <w:rStyle w:val="ui-provider"/>
        </w:rPr>
      </w:pPr>
      <w:r>
        <w:t>Based on the PLIDA data analysed here, t</w:t>
      </w:r>
      <w:r w:rsidR="005E04FE" w:rsidRPr="71BE244F">
        <w:t xml:space="preserve">he strongest pathways </w:t>
      </w:r>
      <w:r w:rsidR="005E04FE" w:rsidRPr="71BE244F">
        <w:rPr>
          <w:i/>
          <w:iCs/>
        </w:rPr>
        <w:t>into</w:t>
      </w:r>
      <w:r w:rsidR="005E04FE" w:rsidRPr="71BE244F">
        <w:t xml:space="preserve"> the occupation of VET teacher are other teaching or education focused roles and vocational occupations that align with high-enrolment courses taught in VET.</w:t>
      </w:r>
      <w:r w:rsidR="005E04FE" w:rsidRPr="71BE244F">
        <w:rPr>
          <w:rStyle w:val="ui-provider"/>
        </w:rPr>
        <w:t xml:space="preserve"> </w:t>
      </w:r>
      <w:r w:rsidR="005E04FE" w:rsidRPr="71BE244F">
        <w:t xml:space="preserve">Outflows are focused more on managerial or executive occupational </w:t>
      </w:r>
      <w:r w:rsidR="001C33CB" w:rsidRPr="71BE244F">
        <w:t>movements</w:t>
      </w:r>
      <w:r w:rsidR="005E04FE" w:rsidRPr="71BE244F">
        <w:t xml:space="preserve">, but education focused roles also remain common. </w:t>
      </w:r>
      <w:r w:rsidR="005E04FE" w:rsidRPr="71BE244F">
        <w:rPr>
          <w:rStyle w:val="ui-provider"/>
        </w:rPr>
        <w:t xml:space="preserve">For example, 14% of new </w:t>
      </w:r>
      <w:r w:rsidR="00CC6D50">
        <w:rPr>
          <w:rStyle w:val="ui-provider"/>
        </w:rPr>
        <w:t>VET teachers</w:t>
      </w:r>
      <w:r w:rsidR="005E04FE" w:rsidRPr="71BE244F">
        <w:rPr>
          <w:rStyle w:val="ui-provider"/>
        </w:rPr>
        <w:t xml:space="preserve"> are from occupations with a VET pathway (like Chef and Sales Assistants), and if they do exit, </w:t>
      </w:r>
      <w:r w:rsidR="00CC6D50">
        <w:rPr>
          <w:rStyle w:val="ui-provider"/>
        </w:rPr>
        <w:t>VET teachers</w:t>
      </w:r>
      <w:r w:rsidR="005E04FE" w:rsidRPr="71BE244F">
        <w:rPr>
          <w:rStyle w:val="ui-provider"/>
        </w:rPr>
        <w:t xml:space="preserve"> are more likely to move on to corporate and administrative occupations than (back) to vocational occupations likely reflecting career progression or </w:t>
      </w:r>
      <w:r w:rsidR="00081FD8" w:rsidRPr="71BE244F">
        <w:rPr>
          <w:rStyle w:val="ui-provider"/>
        </w:rPr>
        <w:t xml:space="preserve">movement </w:t>
      </w:r>
      <w:r w:rsidR="005E04FE" w:rsidRPr="71BE244F">
        <w:rPr>
          <w:rStyle w:val="ui-provider"/>
          <w:i/>
          <w:iCs/>
        </w:rPr>
        <w:t xml:space="preserve">within </w:t>
      </w:r>
      <w:r w:rsidR="005E04FE" w:rsidRPr="71BE244F">
        <w:rPr>
          <w:rStyle w:val="ui-provider"/>
        </w:rPr>
        <w:t>the VET sector.</w:t>
      </w:r>
    </w:p>
    <w:p w14:paraId="39462502" w14:textId="38AE67EB" w:rsidR="005E04FE" w:rsidRDefault="005E04FE" w:rsidP="005E04FE">
      <w:pPr>
        <w:pStyle w:val="Heading3"/>
        <w:rPr>
          <w:rStyle w:val="ui-provider"/>
        </w:rPr>
      </w:pPr>
      <w:r>
        <w:lastRenderedPageBreak/>
        <w:t xml:space="preserve">The TAFE </w:t>
      </w:r>
      <w:r w:rsidR="004B52FB">
        <w:t>workforce</w:t>
      </w:r>
      <w:r>
        <w:t xml:space="preserve"> has better employment conditions, more diversity and is higher paid</w:t>
      </w:r>
    </w:p>
    <w:p w14:paraId="5306971D" w14:textId="4FFAD978" w:rsidR="005E04FE" w:rsidRPr="009C190E" w:rsidRDefault="005E04FE" w:rsidP="009C190E">
      <w:pPr>
        <w:pStyle w:val="Heading4"/>
      </w:pPr>
      <w:r w:rsidRPr="009C190E">
        <w:t xml:space="preserve">The TAFE workforce has </w:t>
      </w:r>
      <w:r w:rsidR="00225F0D" w:rsidRPr="009C190E">
        <w:t>around 40,000</w:t>
      </w:r>
      <w:r w:rsidRPr="009C190E">
        <w:t xml:space="preserve"> workers, is slightly more feminised, higher paid, more likely to work full-time and even older than the VET workforce broadly. </w:t>
      </w:r>
    </w:p>
    <w:p w14:paraId="6A8BC2C8" w14:textId="7A8F8408" w:rsidR="00844B4B" w:rsidRDefault="005E04FE" w:rsidP="00844B4B">
      <w:pPr>
        <w:spacing w:after="120"/>
        <w:rPr>
          <w:rStyle w:val="BodycopyChar"/>
        </w:rPr>
      </w:pPr>
      <w:r w:rsidRPr="7AD33374">
        <w:rPr>
          <w:rStyle w:val="BodycopyChar"/>
        </w:rPr>
        <w:t>Over half of the TAFE workforce are teachers and</w:t>
      </w:r>
      <w:r w:rsidR="00542033" w:rsidRPr="7AD33374">
        <w:rPr>
          <w:rStyle w:val="BodycopyChar"/>
        </w:rPr>
        <w:t xml:space="preserve"> it</w:t>
      </w:r>
      <w:r w:rsidRPr="7AD33374">
        <w:rPr>
          <w:rStyle w:val="BodycopyChar"/>
        </w:rPr>
        <w:t xml:space="preserve"> is more diverse in some cases – for example some TAFEs also have a higher proportion of First Nations employees compared to the VET workforce overall. Generally, over 60% of TAFE employees are employed full-time but in NSW there </w:t>
      </w:r>
      <w:r w:rsidR="009F4E0E" w:rsidRPr="7AD33374">
        <w:rPr>
          <w:rStyle w:val="BodycopyChar"/>
        </w:rPr>
        <w:t xml:space="preserve">is </w:t>
      </w:r>
      <w:r w:rsidR="00A176E5">
        <w:rPr>
          <w:rStyle w:val="BodycopyChar"/>
        </w:rPr>
        <w:t xml:space="preserve">currently </w:t>
      </w:r>
      <w:r w:rsidR="00E66EDF" w:rsidRPr="7AD33374">
        <w:rPr>
          <w:rStyle w:val="BodycopyChar"/>
        </w:rPr>
        <w:t>a higher proportion of casual staff</w:t>
      </w:r>
      <w:r w:rsidRPr="7AD33374">
        <w:rPr>
          <w:rStyle w:val="BodycopyChar"/>
        </w:rPr>
        <w:t>.</w:t>
      </w:r>
      <w:r w:rsidR="5A4F23DB" w:rsidRPr="7AD33374">
        <w:rPr>
          <w:rStyle w:val="BodycopyChar"/>
        </w:rPr>
        <w:t xml:space="preserve"> </w:t>
      </w:r>
      <w:r w:rsidRPr="7AD33374">
        <w:rPr>
          <w:rStyle w:val="BodycopyChar"/>
        </w:rPr>
        <w:t xml:space="preserve"> </w:t>
      </w:r>
      <w:r w:rsidR="00D60CB2" w:rsidRPr="7AD33374">
        <w:rPr>
          <w:rStyle w:val="BodycopyChar"/>
        </w:rPr>
        <w:t>I</w:t>
      </w:r>
      <w:r w:rsidRPr="7AD33374">
        <w:rPr>
          <w:rStyle w:val="BodycopyChar"/>
        </w:rPr>
        <w:t>n almost every state and territory</w:t>
      </w:r>
      <w:r w:rsidR="0029386A" w:rsidRPr="7AD33374">
        <w:rPr>
          <w:rStyle w:val="BodycopyChar"/>
        </w:rPr>
        <w:t>,</w:t>
      </w:r>
      <w:r w:rsidRPr="7AD33374">
        <w:rPr>
          <w:rStyle w:val="BodycopyChar"/>
        </w:rPr>
        <w:t xml:space="preserve"> more than half of the workforce is over 50 years</w:t>
      </w:r>
      <w:r w:rsidR="0029386A" w:rsidRPr="7AD33374">
        <w:rPr>
          <w:rStyle w:val="BodycopyChar"/>
        </w:rPr>
        <w:t xml:space="preserve"> of age</w:t>
      </w:r>
      <w:r w:rsidRPr="7AD33374">
        <w:rPr>
          <w:rStyle w:val="BodycopyChar"/>
        </w:rPr>
        <w:t xml:space="preserve">. Only 30% of the Australian </w:t>
      </w:r>
      <w:r w:rsidR="004B52FB" w:rsidRPr="7AD33374">
        <w:rPr>
          <w:rStyle w:val="BodycopyChar"/>
        </w:rPr>
        <w:t>w</w:t>
      </w:r>
      <w:r w:rsidRPr="7AD33374">
        <w:rPr>
          <w:rStyle w:val="BodycopyChar"/>
        </w:rPr>
        <w:t>orkforce is in this age bracket.</w:t>
      </w:r>
    </w:p>
    <w:p w14:paraId="3EE02820" w14:textId="789132DF" w:rsidR="005E04FE" w:rsidRPr="00844B4B" w:rsidRDefault="005E04FE" w:rsidP="009F7F8E">
      <w:pPr>
        <w:keepNext/>
        <w:spacing w:before="160" w:after="120"/>
      </w:pPr>
      <w:r w:rsidRPr="009C190E">
        <w:rPr>
          <w:rStyle w:val="Heading4Char"/>
        </w:rPr>
        <w:t>The dual sector VET workforce is estimated at around 2000 workers nationally and reflects the TAFE workforce profile in demographics and employment conditions.</w:t>
      </w:r>
      <w:r w:rsidRPr="71BE244F">
        <w:rPr>
          <w:rFonts w:asciiTheme="minorHAnsi" w:eastAsiaTheme="minorEastAsia" w:hAnsiTheme="minorHAnsi"/>
          <w:b/>
          <w:bCs/>
          <w:color w:val="005D5D" w:themeColor="accent2"/>
        </w:rPr>
        <w:t xml:space="preserve"> </w:t>
      </w:r>
    </w:p>
    <w:p w14:paraId="38701F61" w14:textId="77777777" w:rsidR="005E04FE" w:rsidRDefault="005E04FE" w:rsidP="009C190E">
      <w:pPr>
        <w:pStyle w:val="Bodycopy"/>
      </w:pPr>
      <w:r w:rsidRPr="6F95B553">
        <w:t>It is older, slightly more feminised, and higher paid than the VET workforce overall.</w:t>
      </w:r>
      <w:r w:rsidRPr="6F95B553">
        <w:rPr>
          <w:b/>
          <w:bCs/>
        </w:rPr>
        <w:t xml:space="preserve"> </w:t>
      </w:r>
      <w:r w:rsidRPr="6F95B553">
        <w:t xml:space="preserve">However, generally not higher paid than their TAFE counterparts especially at entry-level teaching positions. </w:t>
      </w:r>
    </w:p>
    <w:p w14:paraId="3A8C56DD" w14:textId="6EC91353" w:rsidR="005E04FE" w:rsidRDefault="00591FBB" w:rsidP="005E04FE">
      <w:pPr>
        <w:pStyle w:val="Heading3"/>
      </w:pPr>
      <w:r>
        <w:t>Addressing</w:t>
      </w:r>
      <w:r w:rsidR="005E04FE">
        <w:t xml:space="preserve"> data gaps and recommendations for future data collection</w:t>
      </w:r>
    </w:p>
    <w:p w14:paraId="34ED30CE" w14:textId="32F75110" w:rsidR="005E04FE" w:rsidRPr="009C190E" w:rsidRDefault="00AA5CB5" w:rsidP="009C190E">
      <w:pPr>
        <w:pStyle w:val="Heading4"/>
      </w:pPr>
      <w:r>
        <w:t>This report has added to our understanding of the characteristics of the VET workforce but b</w:t>
      </w:r>
      <w:r w:rsidR="005E04FE" w:rsidRPr="009C190E">
        <w:t xml:space="preserve">uilding a complete workforce profile will require filling current data gaps in four key areas. </w:t>
      </w:r>
    </w:p>
    <w:p w14:paraId="0A76247C" w14:textId="68D2B610" w:rsidR="005E04FE" w:rsidRDefault="005E04FE" w:rsidP="006E4DC5">
      <w:pPr>
        <w:pStyle w:val="Bodycopy"/>
        <w:rPr>
          <w:rFonts w:eastAsia="Arial" w:cs="Arial"/>
        </w:rPr>
      </w:pPr>
      <w:r>
        <w:t>Firstly, understanding the spread of both teaching and industry qualifications across the sector</w:t>
      </w:r>
      <w:r w:rsidR="001365B9">
        <w:t>, taking into account how different</w:t>
      </w:r>
      <w:r w:rsidR="00BD7952">
        <w:t>ly job roles are defined across RTO types</w:t>
      </w:r>
      <w:r>
        <w:t>. Secondly, identifying a national workforce count and composition of the VET workforce</w:t>
      </w:r>
      <w:r w:rsidR="00DD605F">
        <w:t xml:space="preserve"> that properly accounts for VET workers </w:t>
      </w:r>
      <w:r w:rsidR="009B6105">
        <w:t>with multiple jobs, whether between VET and industry or across multiple RTOs</w:t>
      </w:r>
      <w:r>
        <w:t>. Thirdly, developing a more nuanced understanding of the diversity of the VET workforce, especially First Nations status</w:t>
      </w:r>
      <w:r w:rsidR="006E4DC5">
        <w:t xml:space="preserve">, if Australia is to have a VET workforce </w:t>
      </w:r>
      <w:r>
        <w:t xml:space="preserve">that aligns with the student cohort it serves. </w:t>
      </w:r>
      <w:r w:rsidRPr="042F4867">
        <w:rPr>
          <w:rFonts w:eastAsia="Arial" w:cs="Arial"/>
        </w:rPr>
        <w:t>We know that the VET workforce is older, and ag</w:t>
      </w:r>
      <w:r w:rsidR="00D13F19">
        <w:rPr>
          <w:rFonts w:eastAsia="Arial" w:cs="Arial"/>
        </w:rPr>
        <w:t>e</w:t>
      </w:r>
      <w:r w:rsidRPr="042F4867">
        <w:rPr>
          <w:rFonts w:eastAsia="Arial" w:cs="Arial"/>
        </w:rPr>
        <w:t xml:space="preserve">ing but better data is still needed to manage this risk and secure a sustainable workforce supply in the future. There are also other key data gaps that need attention. For example: more attitudinal data on why </w:t>
      </w:r>
      <w:r w:rsidR="00CC6D50">
        <w:rPr>
          <w:rFonts w:eastAsia="Arial" w:cs="Arial"/>
        </w:rPr>
        <w:t>VET teachers</w:t>
      </w:r>
      <w:r w:rsidR="00935564">
        <w:rPr>
          <w:rFonts w:eastAsia="Arial" w:cs="Arial"/>
        </w:rPr>
        <w:t>’ future employment intentions</w:t>
      </w:r>
      <w:r w:rsidRPr="042F4867">
        <w:rPr>
          <w:rFonts w:eastAsia="Arial" w:cs="Arial"/>
        </w:rPr>
        <w:t xml:space="preserve">. </w:t>
      </w:r>
    </w:p>
    <w:p w14:paraId="2A8B4517" w14:textId="7304014B" w:rsidR="009B6019" w:rsidRPr="009B6019" w:rsidRDefault="009B6019" w:rsidP="002D4813">
      <w:pPr>
        <w:pStyle w:val="Heading4"/>
      </w:pPr>
      <w:bookmarkStart w:id="221" w:name="_Toc150340180"/>
      <w:r w:rsidRPr="009B6019">
        <w:t xml:space="preserve">Options for </w:t>
      </w:r>
      <w:r w:rsidR="007B1D35">
        <w:t>f</w:t>
      </w:r>
      <w:r w:rsidRPr="009B6019">
        <w:t xml:space="preserve">uture VET </w:t>
      </w:r>
      <w:r w:rsidR="007B1D35">
        <w:t>w</w:t>
      </w:r>
      <w:r w:rsidRPr="009B6019">
        <w:t xml:space="preserve">orkforce </w:t>
      </w:r>
      <w:r w:rsidR="007B1D35">
        <w:t>d</w:t>
      </w:r>
      <w:r w:rsidRPr="009B6019">
        <w:t xml:space="preserve">ata </w:t>
      </w:r>
      <w:r w:rsidR="007B1D35">
        <w:t>c</w:t>
      </w:r>
      <w:r w:rsidRPr="009B6019">
        <w:t xml:space="preserve">ollection </w:t>
      </w:r>
    </w:p>
    <w:p w14:paraId="4AE5101F" w14:textId="6376D3C1" w:rsidR="00E93C16" w:rsidRDefault="009B6019" w:rsidP="00E16D4F">
      <w:pPr>
        <w:pStyle w:val="Bodycopy"/>
      </w:pPr>
      <w:r w:rsidRPr="00E16D4F">
        <w:t xml:space="preserve">We outline three options for more systematic regular collection of VET workforce data. First, regulatory bodies, such as ASQA, could collect minimum data from RTOs at the time of registration. Second, the universal implementation of a VET Workforce Standard where RTOs submit workforce data as part of their annual Total VET Activity returns. Third, a regular census style survey of RTOs and employees. Systematic piloting of the survey is needed to ensure a representative sample is achieved so a workforce profile across all provider types can be extrapolated. We recommend Government consider these options as the basis for further engagement with the sector, balancing the imperative for better workforce data with the data collection requirements already placed upon RTOs and the significant funding that would be required to fully implement each of the options.  </w:t>
      </w:r>
    </w:p>
    <w:p w14:paraId="60A691D1" w14:textId="77777777" w:rsidR="00E93C16" w:rsidRDefault="00E93C16">
      <w:pPr>
        <w:rPr>
          <w:spacing w:val="2"/>
        </w:rPr>
      </w:pPr>
      <w:r>
        <w:br w:type="page"/>
      </w:r>
    </w:p>
    <w:p w14:paraId="4428A3B3" w14:textId="53077F6E" w:rsidR="005E04FE" w:rsidRPr="00C76DCB" w:rsidRDefault="005E04FE" w:rsidP="009B6019">
      <w:pPr>
        <w:pStyle w:val="Heading2"/>
      </w:pPr>
      <w:bookmarkStart w:id="222" w:name="_Toc413530209"/>
      <w:bookmarkStart w:id="223" w:name="_Toc176770997"/>
      <w:r>
        <w:lastRenderedPageBreak/>
        <w:t>Conclusion</w:t>
      </w:r>
      <w:bookmarkEnd w:id="222"/>
      <w:bookmarkEnd w:id="223"/>
      <w:r>
        <w:t xml:space="preserve"> </w:t>
      </w:r>
    </w:p>
    <w:p w14:paraId="661CE224" w14:textId="3616DD49" w:rsidR="005E04FE" w:rsidRDefault="005E04FE" w:rsidP="009C190E">
      <w:pPr>
        <w:pStyle w:val="Bodycopy"/>
      </w:pPr>
      <w:r w:rsidRPr="042F4867">
        <w:rPr>
          <w:rStyle w:val="ui-provider"/>
        </w:rPr>
        <w:t xml:space="preserve">This study has exposed other opportunities that could be explored to ensure a sustainable VET sector that will ensure Australia’s workforce is well prepared into the future. </w:t>
      </w:r>
      <w:r>
        <w:t>Future decision-making on policy and regulatory levers in the VET workforce should take into consideration the diversity of the VET sector and its workforce. Developing separate workforce strategies for the different types of teachers and types of teaching in VET is needed. This is especially the case for the workforce that delivers single-subject enrolments vers</w:t>
      </w:r>
      <w:r w:rsidR="00E11273">
        <w:t>us</w:t>
      </w:r>
      <w:r>
        <w:t xml:space="preserve"> the workforce that delivers training package qualifications. Most of the teaching effort in VET is in qualifications after all and the high enrolment VET courses also align with Australia’s skills </w:t>
      </w:r>
      <w:r w:rsidR="00422759">
        <w:t>shortages.</w:t>
      </w:r>
    </w:p>
    <w:p w14:paraId="7D1C704B" w14:textId="5927CA6A" w:rsidR="005E04FE" w:rsidRDefault="005E04FE" w:rsidP="009C190E">
      <w:pPr>
        <w:pStyle w:val="Bodycopy"/>
      </w:pPr>
      <w:r>
        <w:t xml:space="preserve">Further workforce mapping including demand and supply analysis on specific VET teaching vocations areas that align with these skills shortages is needed. Policy levers and workforce strategies on how to attract industry experts to teaching where there are large pay disparities are another priority. </w:t>
      </w:r>
    </w:p>
    <w:p w14:paraId="2DC65057" w14:textId="68837836" w:rsidR="004D2835" w:rsidRDefault="005E04FE" w:rsidP="00D32DD6">
      <w:pPr>
        <w:pStyle w:val="Bodycopy"/>
        <w:spacing w:after="360"/>
        <w:rPr>
          <w:rFonts w:cs="Arial"/>
        </w:rPr>
      </w:pPr>
      <w:r w:rsidRPr="042F4867">
        <w:rPr>
          <w:rFonts w:cs="Arial"/>
        </w:rPr>
        <w:t xml:space="preserve">The Australian economy and society </w:t>
      </w:r>
      <w:r w:rsidR="00422759" w:rsidRPr="042F4867">
        <w:rPr>
          <w:rFonts w:cs="Arial"/>
        </w:rPr>
        <w:t>rely</w:t>
      </w:r>
      <w:r w:rsidRPr="042F4867">
        <w:rPr>
          <w:rFonts w:cs="Arial"/>
        </w:rPr>
        <w:t xml:space="preserve"> on the VET system and its professional workforce to teach and train Australia’s future workers. If we don’t secure a sustainable VET workforce for the future, we cannot fix skills shortages or ensure a high performing VET system. </w:t>
      </w:r>
    </w:p>
    <w:p w14:paraId="52E1EA6C" w14:textId="57C88E47" w:rsidR="005E04FE" w:rsidRDefault="00E93C16" w:rsidP="007B0DC7">
      <w:pPr>
        <w:pStyle w:val="ListBullet"/>
        <w:numPr>
          <w:ilvl w:val="0"/>
          <w:numId w:val="0"/>
        </w:numPr>
        <w:spacing w:line="240" w:lineRule="auto"/>
        <w:rPr>
          <w:rFonts w:eastAsiaTheme="majorEastAsia" w:cstheme="majorBidi"/>
          <w:color w:val="441170" w:themeColor="text2"/>
          <w:sz w:val="56"/>
          <w:szCs w:val="56"/>
        </w:rPr>
      </w:pPr>
      <w:r>
        <w:rPr>
          <w:rFonts w:cs="Arial"/>
          <w:noProof/>
        </w:rPr>
        <w:drawing>
          <wp:inline distT="0" distB="0" distL="0" distR="0" wp14:anchorId="382B61A3" wp14:editId="054566BD">
            <wp:extent cx="5746750" cy="4437380"/>
            <wp:effectExtent l="0" t="0" r="6350" b="1270"/>
            <wp:docPr id="1017275005" name="Picture 6" descr="Male teacher with students, looking at manufacturing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275005" name="Picture 6" descr="Male teacher with students, looking at manufacturing equipment."/>
                    <pic:cNvPicPr/>
                  </pic:nvPicPr>
                  <pic:blipFill>
                    <a:blip r:embed="rId68">
                      <a:extLst>
                        <a:ext uri="{28A0092B-C50C-407E-A947-70E740481C1C}">
                          <a14:useLocalDpi xmlns:a14="http://schemas.microsoft.com/office/drawing/2010/main" val="0"/>
                        </a:ext>
                      </a:extLst>
                    </a:blip>
                    <a:stretch>
                      <a:fillRect/>
                    </a:stretch>
                  </pic:blipFill>
                  <pic:spPr>
                    <a:xfrm>
                      <a:off x="0" y="0"/>
                      <a:ext cx="5746750" cy="4437380"/>
                    </a:xfrm>
                    <a:prstGeom prst="rect">
                      <a:avLst/>
                    </a:prstGeom>
                  </pic:spPr>
                </pic:pic>
              </a:graphicData>
            </a:graphic>
          </wp:inline>
        </w:drawing>
      </w:r>
      <w:r w:rsidR="005E04FE">
        <w:br w:type="page"/>
      </w:r>
    </w:p>
    <w:bookmarkEnd w:id="221"/>
    <w:p w14:paraId="2ABC559B" w14:textId="77777777" w:rsidR="00A6421D" w:rsidRDefault="00A6421D" w:rsidP="00D04724">
      <w:pPr>
        <w:spacing w:before="120" w:after="60"/>
        <w:ind w:right="-46"/>
        <w:sectPr w:rsidR="00A6421D" w:rsidSect="005D3456">
          <w:headerReference w:type="even" r:id="rId69"/>
          <w:footerReference w:type="default" r:id="rId70"/>
          <w:headerReference w:type="first" r:id="rId71"/>
          <w:footnotePr>
            <w:numFmt w:val="lowerRoman"/>
          </w:footnotePr>
          <w:endnotePr>
            <w:numFmt w:val="decimal"/>
          </w:endnotePr>
          <w:type w:val="continuous"/>
          <w:pgSz w:w="11906" w:h="16838" w:code="9"/>
          <w:pgMar w:top="1440" w:right="1418" w:bottom="1134" w:left="1440" w:header="0" w:footer="227" w:gutter="0"/>
          <w:pgNumType w:start="0"/>
          <w:cols w:space="708"/>
          <w:docGrid w:linePitch="360"/>
        </w:sectPr>
      </w:pPr>
    </w:p>
    <w:p w14:paraId="6AEBE86B" w14:textId="3AC1C977" w:rsidR="004C006F" w:rsidRPr="003A3575" w:rsidRDefault="00E17A15" w:rsidP="004C006F">
      <w:pPr>
        <w:keepNext/>
        <w:keepLines/>
        <w:numPr>
          <w:ilvl w:val="0"/>
          <w:numId w:val="22"/>
        </w:numPr>
        <w:spacing w:before="240" w:after="720"/>
        <w:outlineLvl w:val="0"/>
        <w:rPr>
          <w:rFonts w:eastAsiaTheme="majorEastAsia" w:cstheme="majorBidi"/>
          <w:b/>
          <w:color w:val="4B0885"/>
          <w:sz w:val="56"/>
          <w:szCs w:val="32"/>
        </w:rPr>
      </w:pPr>
      <w:bookmarkStart w:id="224" w:name="_Toc176770998"/>
      <w:bookmarkStart w:id="225" w:name="_Toc216048111"/>
      <w:r w:rsidRPr="005A3010">
        <w:rPr>
          <w:rFonts w:eastAsiaTheme="majorEastAsia" w:cstheme="majorBidi"/>
          <w:b/>
          <w:color w:val="4B0885"/>
          <w:sz w:val="56"/>
          <w:szCs w:val="32"/>
        </w:rPr>
        <w:lastRenderedPageBreak/>
        <w:t>VET workforce taxonomy and ANZSCO mappin</w:t>
      </w:r>
      <w:bookmarkEnd w:id="224"/>
      <w:r w:rsidR="003A3575">
        <w:rPr>
          <w:rFonts w:eastAsiaTheme="majorEastAsia" w:cstheme="majorBidi"/>
          <w:b/>
          <w:color w:val="4B0885"/>
          <w:sz w:val="56"/>
          <w:szCs w:val="32"/>
        </w:rPr>
        <w:t>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555"/>
        <w:gridCol w:w="992"/>
        <w:gridCol w:w="3260"/>
        <w:gridCol w:w="3193"/>
      </w:tblGrid>
      <w:tr w:rsidR="00E17A15" w:rsidRPr="00E17A15" w14:paraId="6C180CA0" w14:textId="77777777" w:rsidTr="00E31789">
        <w:trPr>
          <w:trHeight w:val="615"/>
          <w:tblHeader/>
        </w:trPr>
        <w:tc>
          <w:tcPr>
            <w:tcW w:w="1555" w:type="dxa"/>
            <w:vMerge w:val="restart"/>
            <w:tcBorders>
              <w:right w:val="single" w:sz="4" w:space="0" w:color="FFFFFF"/>
            </w:tcBorders>
            <w:shd w:val="clear" w:color="auto" w:fill="012749"/>
            <w:vAlign w:val="bottom"/>
          </w:tcPr>
          <w:p w14:paraId="53034937" w14:textId="77777777" w:rsidR="00E17A15" w:rsidRPr="007F0835" w:rsidRDefault="00E17A15" w:rsidP="00E31789">
            <w:pPr>
              <w:spacing w:before="120" w:after="120" w:line="240" w:lineRule="auto"/>
              <w:rPr>
                <w:bCs/>
                <w:color w:val="FFFFFF" w:themeColor="background1"/>
                <w:sz w:val="20"/>
                <w:szCs w:val="20"/>
                <w:lang w:val="en-US"/>
              </w:rPr>
            </w:pPr>
            <w:r w:rsidRPr="007F0835">
              <w:rPr>
                <w:bCs/>
                <w:color w:val="FFFFFF" w:themeColor="background1"/>
                <w:sz w:val="20"/>
                <w:szCs w:val="20"/>
                <w:lang w:val="en-US"/>
              </w:rPr>
              <w:t>Study Taxonomy - VET Workforce Segment</w:t>
            </w:r>
          </w:p>
        </w:tc>
        <w:tc>
          <w:tcPr>
            <w:tcW w:w="4252" w:type="dxa"/>
            <w:gridSpan w:val="2"/>
            <w:tcBorders>
              <w:left w:val="single" w:sz="4" w:space="0" w:color="FFFFFF"/>
              <w:bottom w:val="single" w:sz="4" w:space="0" w:color="FFFFFF" w:themeColor="background1"/>
              <w:right w:val="single" w:sz="4" w:space="0" w:color="FFFFFF" w:themeColor="background1"/>
            </w:tcBorders>
            <w:shd w:val="clear" w:color="auto" w:fill="012749"/>
            <w:vAlign w:val="bottom"/>
          </w:tcPr>
          <w:p w14:paraId="401CB386" w14:textId="77777777" w:rsidR="00E17A15" w:rsidRPr="007F0835" w:rsidRDefault="00E17A15" w:rsidP="00E31789">
            <w:pPr>
              <w:spacing w:before="120" w:after="120" w:line="240" w:lineRule="auto"/>
              <w:rPr>
                <w:bCs/>
                <w:color w:val="FFFFFF" w:themeColor="background1"/>
                <w:sz w:val="20"/>
                <w:szCs w:val="20"/>
                <w:lang w:val="en-US"/>
              </w:rPr>
            </w:pPr>
            <w:r w:rsidRPr="007F0835">
              <w:rPr>
                <w:bCs/>
                <w:color w:val="FFFFFF" w:themeColor="background1"/>
                <w:sz w:val="20"/>
                <w:szCs w:val="20"/>
                <w:lang w:val="en-US"/>
              </w:rPr>
              <w:t>Mapped ANZSCO Occupations</w:t>
            </w:r>
          </w:p>
        </w:tc>
        <w:tc>
          <w:tcPr>
            <w:tcW w:w="3193" w:type="dxa"/>
            <w:vMerge w:val="restart"/>
            <w:tcBorders>
              <w:left w:val="single" w:sz="4" w:space="0" w:color="FFFFFF" w:themeColor="background1"/>
            </w:tcBorders>
            <w:shd w:val="clear" w:color="auto" w:fill="012749"/>
            <w:vAlign w:val="bottom"/>
          </w:tcPr>
          <w:p w14:paraId="281FEEC7" w14:textId="77777777" w:rsidR="00E17A15" w:rsidRPr="007F0835" w:rsidRDefault="00E17A15" w:rsidP="00E31789">
            <w:pPr>
              <w:spacing w:before="120" w:after="120" w:line="240" w:lineRule="auto"/>
              <w:rPr>
                <w:bCs/>
                <w:color w:val="FFFFFF" w:themeColor="background1"/>
                <w:sz w:val="20"/>
                <w:szCs w:val="20"/>
                <w:lang w:val="en-US"/>
              </w:rPr>
            </w:pPr>
            <w:r w:rsidRPr="007F0835">
              <w:rPr>
                <w:bCs/>
                <w:color w:val="FFFFFF" w:themeColor="background1"/>
                <w:sz w:val="20"/>
                <w:szCs w:val="20"/>
                <w:lang w:val="en-US"/>
              </w:rPr>
              <w:t>Common job titles/</w:t>
            </w:r>
            <w:r w:rsidRPr="007F0835">
              <w:rPr>
                <w:bCs/>
                <w:color w:val="FFFFFF" w:themeColor="background1"/>
                <w:sz w:val="20"/>
                <w:szCs w:val="20"/>
                <w:lang w:val="en-US"/>
              </w:rPr>
              <w:br/>
              <w:t>sub-sector roles</w:t>
            </w:r>
          </w:p>
        </w:tc>
      </w:tr>
      <w:tr w:rsidR="00E17A15" w:rsidRPr="00E17A15" w14:paraId="44CE3E6D" w14:textId="77777777" w:rsidTr="00E31789">
        <w:trPr>
          <w:trHeight w:val="273"/>
        </w:trPr>
        <w:tc>
          <w:tcPr>
            <w:tcW w:w="1555" w:type="dxa"/>
            <w:vMerge/>
            <w:tcBorders>
              <w:right w:val="single" w:sz="4" w:space="0" w:color="FFFFFF"/>
            </w:tcBorders>
          </w:tcPr>
          <w:p w14:paraId="71A9492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tcBorders>
              <w:top w:val="single" w:sz="4" w:space="0" w:color="FFFFFF" w:themeColor="background1"/>
              <w:left w:val="single" w:sz="4" w:space="0" w:color="FFFFFF"/>
              <w:right w:val="single" w:sz="4" w:space="0" w:color="FFFFFF" w:themeColor="background1"/>
            </w:tcBorders>
            <w:shd w:val="clear" w:color="auto" w:fill="012749"/>
            <w:vAlign w:val="bottom"/>
          </w:tcPr>
          <w:p w14:paraId="0667BD07" w14:textId="77777777" w:rsidR="00E17A15" w:rsidRPr="007F0835" w:rsidRDefault="00E17A15" w:rsidP="00E31789">
            <w:pPr>
              <w:spacing w:before="120" w:after="120" w:line="240" w:lineRule="auto"/>
              <w:rPr>
                <w:bCs/>
                <w:color w:val="FFFFFF" w:themeColor="background1"/>
                <w:sz w:val="20"/>
                <w:szCs w:val="20"/>
                <w:lang w:val="en-US"/>
              </w:rPr>
            </w:pPr>
            <w:r w:rsidRPr="007F0835">
              <w:rPr>
                <w:bCs/>
                <w:color w:val="FFFFFF" w:themeColor="background1"/>
                <w:sz w:val="20"/>
                <w:szCs w:val="20"/>
                <w:lang w:val="en-US"/>
              </w:rPr>
              <w:t>Code</w:t>
            </w:r>
          </w:p>
        </w:tc>
        <w:tc>
          <w:tcPr>
            <w:tcW w:w="3260" w:type="dxa"/>
            <w:tcBorders>
              <w:top w:val="single" w:sz="4" w:space="0" w:color="FFFFFF" w:themeColor="background1"/>
              <w:left w:val="single" w:sz="4" w:space="0" w:color="FFFFFF" w:themeColor="background1"/>
              <w:right w:val="single" w:sz="4" w:space="0" w:color="FFFFFF" w:themeColor="background1"/>
            </w:tcBorders>
            <w:shd w:val="clear" w:color="auto" w:fill="012749"/>
            <w:vAlign w:val="bottom"/>
          </w:tcPr>
          <w:p w14:paraId="54CB6C04" w14:textId="77777777" w:rsidR="00E17A15" w:rsidRPr="007F0835" w:rsidRDefault="00E17A15" w:rsidP="00E31789">
            <w:pPr>
              <w:spacing w:before="120" w:after="120" w:line="240" w:lineRule="auto"/>
              <w:rPr>
                <w:bCs/>
                <w:color w:val="FFFFFF" w:themeColor="background1"/>
                <w:sz w:val="20"/>
                <w:szCs w:val="20"/>
                <w:lang w:val="en-US"/>
              </w:rPr>
            </w:pPr>
            <w:r w:rsidRPr="007F0835">
              <w:rPr>
                <w:bCs/>
                <w:color w:val="FFFFFF" w:themeColor="background1"/>
                <w:sz w:val="20"/>
                <w:szCs w:val="20"/>
                <w:lang w:val="en-US"/>
              </w:rPr>
              <w:t>Title</w:t>
            </w:r>
          </w:p>
        </w:tc>
        <w:tc>
          <w:tcPr>
            <w:tcW w:w="3193" w:type="dxa"/>
            <w:vMerge/>
            <w:tcBorders>
              <w:left w:val="single" w:sz="4" w:space="0" w:color="FFFFFF" w:themeColor="background1"/>
            </w:tcBorders>
          </w:tcPr>
          <w:p w14:paraId="1AFBB151" w14:textId="77777777" w:rsidR="00E17A15" w:rsidRPr="00E17A15" w:rsidRDefault="00E17A15" w:rsidP="00E31789">
            <w:pPr>
              <w:spacing w:before="120" w:after="120" w:line="240" w:lineRule="auto"/>
              <w:rPr>
                <w:rFonts w:asciiTheme="minorHAnsi" w:hAnsiTheme="minorHAnsi" w:cstheme="minorHAnsi"/>
                <w:b/>
                <w:color w:val="FFFFFF" w:themeColor="background1"/>
                <w:sz w:val="18"/>
                <w:szCs w:val="18"/>
                <w:lang w:val="en-US"/>
              </w:rPr>
            </w:pPr>
          </w:p>
        </w:tc>
      </w:tr>
      <w:tr w:rsidR="00E17A15" w:rsidRPr="00E17A15" w14:paraId="3D43C611" w14:textId="77777777" w:rsidTr="00E31789">
        <w:trPr>
          <w:trHeight w:val="431"/>
        </w:trPr>
        <w:tc>
          <w:tcPr>
            <w:tcW w:w="1555" w:type="dxa"/>
            <w:vMerge w:val="restart"/>
            <w:shd w:val="clear" w:color="auto" w:fill="EEF1F6"/>
          </w:tcPr>
          <w:p w14:paraId="373DB8CF"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Teach, Train and Assess </w:t>
            </w:r>
          </w:p>
        </w:tc>
        <w:tc>
          <w:tcPr>
            <w:tcW w:w="992" w:type="dxa"/>
            <w:shd w:val="clear" w:color="auto" w:fill="FFFFFF" w:themeFill="background1"/>
            <w:vAlign w:val="bottom"/>
          </w:tcPr>
          <w:p w14:paraId="55E7B58A"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242211</w:t>
            </w:r>
          </w:p>
        </w:tc>
        <w:tc>
          <w:tcPr>
            <w:tcW w:w="3260" w:type="dxa"/>
            <w:shd w:val="clear" w:color="auto" w:fill="FFFFFF" w:themeFill="background1"/>
            <w:vAlign w:val="bottom"/>
          </w:tcPr>
          <w:p w14:paraId="352C4EE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Vocational Education Teacher</w:t>
            </w:r>
          </w:p>
        </w:tc>
        <w:tc>
          <w:tcPr>
            <w:tcW w:w="3193" w:type="dxa"/>
            <w:vMerge w:val="restart"/>
            <w:shd w:val="clear" w:color="auto" w:fill="FFFFFF" w:themeFill="background1"/>
          </w:tcPr>
          <w:p w14:paraId="7FDB5FE9" w14:textId="77777777" w:rsidR="00E17A15" w:rsidRPr="00E17A15" w:rsidRDefault="00E17A15" w:rsidP="00E31789">
            <w:pPr>
              <w:spacing w:before="120" w:after="120" w:line="240" w:lineRule="auto"/>
              <w:rPr>
                <w:sz w:val="18"/>
                <w:szCs w:val="18"/>
                <w:lang w:val="en-US"/>
              </w:rPr>
            </w:pPr>
            <w:r w:rsidRPr="00E17A15">
              <w:rPr>
                <w:sz w:val="18"/>
                <w:szCs w:val="18"/>
                <w:lang w:val="en-US"/>
              </w:rPr>
              <w:t xml:space="preserve">VET practitioner  </w:t>
            </w:r>
          </w:p>
          <w:p w14:paraId="1DFB5ABE" w14:textId="77777777" w:rsidR="00E17A15" w:rsidRPr="00E17A15" w:rsidRDefault="00E17A15" w:rsidP="00E31789">
            <w:pPr>
              <w:spacing w:before="120" w:after="120" w:line="240" w:lineRule="auto"/>
              <w:rPr>
                <w:sz w:val="18"/>
                <w:szCs w:val="18"/>
                <w:lang w:val="en-US"/>
              </w:rPr>
            </w:pPr>
            <w:r w:rsidRPr="00E17A15">
              <w:rPr>
                <w:sz w:val="18"/>
                <w:szCs w:val="18"/>
                <w:lang w:val="en-US"/>
              </w:rPr>
              <w:t xml:space="preserve">VET teacher  </w:t>
            </w:r>
          </w:p>
          <w:p w14:paraId="4ED4F07B" w14:textId="77777777" w:rsidR="00E17A15" w:rsidRPr="00E17A15" w:rsidRDefault="00E17A15" w:rsidP="00E31789">
            <w:pPr>
              <w:spacing w:before="120" w:after="120" w:line="240" w:lineRule="auto"/>
              <w:rPr>
                <w:sz w:val="18"/>
                <w:szCs w:val="18"/>
                <w:lang w:val="en-US"/>
              </w:rPr>
            </w:pPr>
            <w:r w:rsidRPr="00E17A15">
              <w:rPr>
                <w:sz w:val="18"/>
                <w:szCs w:val="18"/>
                <w:lang w:val="en-US"/>
              </w:rPr>
              <w:t xml:space="preserve">VET trainer  </w:t>
            </w:r>
          </w:p>
          <w:p w14:paraId="5A1A8722" w14:textId="77777777" w:rsidR="00E17A15" w:rsidRPr="00E17A15" w:rsidRDefault="00E17A15" w:rsidP="00E31789">
            <w:pPr>
              <w:spacing w:before="120" w:after="120" w:line="240" w:lineRule="auto"/>
              <w:rPr>
                <w:sz w:val="18"/>
                <w:szCs w:val="18"/>
                <w:lang w:val="en-US"/>
              </w:rPr>
            </w:pPr>
            <w:r w:rsidRPr="00E17A15">
              <w:rPr>
                <w:sz w:val="18"/>
                <w:szCs w:val="18"/>
                <w:lang w:val="en-US"/>
              </w:rPr>
              <w:t xml:space="preserve">VET professional  </w:t>
            </w:r>
          </w:p>
          <w:p w14:paraId="46BF0522" w14:textId="77777777" w:rsidR="00E17A15" w:rsidRPr="00E17A15" w:rsidRDefault="00E17A15" w:rsidP="00E31789">
            <w:pPr>
              <w:spacing w:before="120" w:after="120" w:line="240" w:lineRule="auto"/>
              <w:rPr>
                <w:sz w:val="18"/>
                <w:szCs w:val="18"/>
                <w:lang w:val="en-US"/>
              </w:rPr>
            </w:pPr>
            <w:r w:rsidRPr="00E17A15">
              <w:rPr>
                <w:sz w:val="18"/>
                <w:szCs w:val="18"/>
                <w:lang w:val="en-US"/>
              </w:rPr>
              <w:t xml:space="preserve">VET lecturer  </w:t>
            </w:r>
          </w:p>
          <w:p w14:paraId="2934C4C4" w14:textId="77777777" w:rsidR="00E17A15" w:rsidRPr="00E17A15" w:rsidRDefault="00E17A15" w:rsidP="00E31789">
            <w:pPr>
              <w:spacing w:before="120" w:after="120" w:line="240" w:lineRule="auto"/>
              <w:rPr>
                <w:sz w:val="18"/>
                <w:szCs w:val="18"/>
                <w:lang w:val="en-US"/>
              </w:rPr>
            </w:pPr>
            <w:r w:rsidRPr="00E17A15">
              <w:rPr>
                <w:sz w:val="18"/>
                <w:szCs w:val="18"/>
                <w:lang w:val="en-US"/>
              </w:rPr>
              <w:t>VET educator</w:t>
            </w:r>
          </w:p>
          <w:p w14:paraId="686D5DC1" w14:textId="77777777" w:rsidR="00E17A15" w:rsidRPr="00E17A15" w:rsidRDefault="00E17A15" w:rsidP="00E31789">
            <w:pPr>
              <w:spacing w:before="120" w:after="120" w:line="240" w:lineRule="auto"/>
              <w:rPr>
                <w:sz w:val="18"/>
                <w:szCs w:val="18"/>
                <w:lang w:val="en-US"/>
              </w:rPr>
            </w:pPr>
            <w:r w:rsidRPr="00E17A15">
              <w:rPr>
                <w:sz w:val="18"/>
                <w:szCs w:val="18"/>
                <w:lang w:val="en-US"/>
              </w:rPr>
              <w:t xml:space="preserve">VET in Schools teacher  </w:t>
            </w:r>
          </w:p>
          <w:p w14:paraId="46B2AB0D" w14:textId="77777777" w:rsidR="00E17A15" w:rsidRPr="00E17A15" w:rsidRDefault="00E17A15" w:rsidP="00E31789">
            <w:pPr>
              <w:spacing w:before="120" w:after="120" w:line="240" w:lineRule="auto"/>
              <w:rPr>
                <w:sz w:val="18"/>
                <w:szCs w:val="18"/>
                <w:lang w:val="en-US"/>
              </w:rPr>
            </w:pPr>
            <w:r w:rsidRPr="00E17A15">
              <w:rPr>
                <w:sz w:val="18"/>
                <w:szCs w:val="18"/>
                <w:lang w:val="en-US"/>
              </w:rPr>
              <w:t>Head/Senior teacher (Leadership crossover)</w:t>
            </w:r>
          </w:p>
          <w:p w14:paraId="4F58E7D1" w14:textId="77777777" w:rsidR="00E17A15" w:rsidRPr="00E17A15" w:rsidRDefault="00E17A15" w:rsidP="00E31789">
            <w:pPr>
              <w:spacing w:before="120" w:after="120" w:line="240" w:lineRule="auto"/>
              <w:rPr>
                <w:sz w:val="18"/>
                <w:szCs w:val="18"/>
                <w:lang w:val="en-US"/>
              </w:rPr>
            </w:pPr>
            <w:r w:rsidRPr="00E17A15">
              <w:rPr>
                <w:sz w:val="18"/>
                <w:szCs w:val="18"/>
                <w:lang w:val="en-US"/>
              </w:rPr>
              <w:t>Educational Team Leader (Leadership crossover)</w:t>
            </w:r>
          </w:p>
          <w:p w14:paraId="20C20B74" w14:textId="77777777" w:rsidR="00E17A15" w:rsidRPr="00E17A15" w:rsidRDefault="00E17A15" w:rsidP="00E31789">
            <w:pPr>
              <w:spacing w:before="120" w:after="120" w:line="240" w:lineRule="auto"/>
              <w:rPr>
                <w:sz w:val="18"/>
                <w:szCs w:val="18"/>
                <w:lang w:val="en-US"/>
              </w:rPr>
            </w:pPr>
            <w:r w:rsidRPr="00E17A15">
              <w:rPr>
                <w:sz w:val="18"/>
                <w:szCs w:val="18"/>
                <w:lang w:val="en-US"/>
              </w:rPr>
              <w:t xml:space="preserve">TAFE teacher  </w:t>
            </w:r>
          </w:p>
          <w:p w14:paraId="4F3E2267" w14:textId="77777777" w:rsidR="00E17A15" w:rsidRPr="00E17A15" w:rsidRDefault="00E17A15" w:rsidP="00E31789">
            <w:pPr>
              <w:spacing w:before="120" w:after="120" w:line="240" w:lineRule="auto"/>
              <w:rPr>
                <w:sz w:val="18"/>
                <w:szCs w:val="18"/>
                <w:lang w:val="en-US"/>
              </w:rPr>
            </w:pPr>
            <w:r w:rsidRPr="00E17A15">
              <w:rPr>
                <w:sz w:val="18"/>
                <w:szCs w:val="18"/>
                <w:lang w:val="en-US"/>
              </w:rPr>
              <w:t xml:space="preserve">Industry-based trainer  </w:t>
            </w:r>
          </w:p>
          <w:p w14:paraId="1DBAAB47" w14:textId="77777777" w:rsidR="00E17A15" w:rsidRPr="00E17A15" w:rsidRDefault="00E17A15" w:rsidP="00E31789">
            <w:pPr>
              <w:spacing w:before="120" w:after="120" w:line="240" w:lineRule="auto"/>
              <w:rPr>
                <w:sz w:val="18"/>
                <w:szCs w:val="18"/>
                <w:lang w:val="en-US"/>
              </w:rPr>
            </w:pPr>
            <w:r w:rsidRPr="00E17A15">
              <w:rPr>
                <w:sz w:val="18"/>
                <w:szCs w:val="18"/>
                <w:lang w:val="en-US"/>
              </w:rPr>
              <w:t xml:space="preserve">Industry-based assessor  </w:t>
            </w:r>
          </w:p>
          <w:p w14:paraId="1D497ED0" w14:textId="77777777" w:rsidR="00E17A15" w:rsidRPr="00E17A15" w:rsidRDefault="00E17A15" w:rsidP="00E31789">
            <w:pPr>
              <w:spacing w:before="120" w:after="120" w:line="240" w:lineRule="auto"/>
              <w:rPr>
                <w:sz w:val="18"/>
                <w:szCs w:val="18"/>
                <w:lang w:val="en-US"/>
              </w:rPr>
            </w:pPr>
            <w:r w:rsidRPr="00E17A15">
              <w:rPr>
                <w:sz w:val="18"/>
                <w:szCs w:val="18"/>
                <w:lang w:val="en-US"/>
              </w:rPr>
              <w:t xml:space="preserve">Trainer and assessor  </w:t>
            </w:r>
          </w:p>
          <w:p w14:paraId="2792B7FF" w14:textId="77777777" w:rsidR="00E17A15" w:rsidRPr="00E17A15" w:rsidRDefault="00E17A15" w:rsidP="00E31789">
            <w:pPr>
              <w:spacing w:before="120" w:after="120" w:line="240" w:lineRule="auto"/>
              <w:rPr>
                <w:sz w:val="18"/>
                <w:szCs w:val="18"/>
                <w:lang w:val="en-US"/>
              </w:rPr>
            </w:pPr>
            <w:r w:rsidRPr="00E17A15">
              <w:rPr>
                <w:sz w:val="18"/>
                <w:szCs w:val="18"/>
                <w:lang w:val="en-US"/>
              </w:rPr>
              <w:t xml:space="preserve">Language, literacy and numeracy (LLN) practitioner  </w:t>
            </w:r>
          </w:p>
          <w:p w14:paraId="42A98196" w14:textId="77777777" w:rsidR="00E17A15" w:rsidRPr="00E17A15" w:rsidRDefault="00E17A15" w:rsidP="00E31789">
            <w:pPr>
              <w:spacing w:before="120" w:after="120" w:line="240" w:lineRule="auto"/>
              <w:rPr>
                <w:sz w:val="18"/>
                <w:szCs w:val="18"/>
                <w:lang w:val="en-US"/>
              </w:rPr>
            </w:pPr>
            <w:r w:rsidRPr="00E17A15">
              <w:rPr>
                <w:sz w:val="18"/>
                <w:szCs w:val="18"/>
                <w:lang w:val="en-US"/>
              </w:rPr>
              <w:t>VET Literacy and Numeracy Educator</w:t>
            </w:r>
          </w:p>
          <w:p w14:paraId="7BDD2A0F" w14:textId="77777777" w:rsidR="00E17A15" w:rsidRPr="00E17A15" w:rsidRDefault="00E17A15" w:rsidP="00E31789">
            <w:pPr>
              <w:spacing w:before="120" w:after="120" w:line="240" w:lineRule="auto"/>
              <w:rPr>
                <w:sz w:val="18"/>
                <w:szCs w:val="18"/>
                <w:lang w:val="en-US"/>
              </w:rPr>
            </w:pPr>
            <w:r w:rsidRPr="00E17A15">
              <w:rPr>
                <w:sz w:val="18"/>
                <w:szCs w:val="18"/>
                <w:lang w:val="en-US"/>
              </w:rPr>
              <w:t xml:space="preserve">Workplace assessor  </w:t>
            </w:r>
          </w:p>
          <w:p w14:paraId="6EA38818" w14:textId="77777777" w:rsidR="00E17A15" w:rsidRPr="00E17A15" w:rsidRDefault="00E17A15" w:rsidP="00E31789">
            <w:pPr>
              <w:spacing w:before="120" w:after="120" w:line="240" w:lineRule="auto"/>
              <w:rPr>
                <w:sz w:val="18"/>
                <w:szCs w:val="18"/>
                <w:lang w:val="en-US"/>
              </w:rPr>
            </w:pPr>
            <w:r w:rsidRPr="00E17A15">
              <w:rPr>
                <w:sz w:val="18"/>
                <w:szCs w:val="18"/>
                <w:lang w:val="en-US"/>
              </w:rPr>
              <w:t>Workplace Trainer</w:t>
            </w:r>
          </w:p>
          <w:p w14:paraId="12A8EA4C" w14:textId="77777777" w:rsidR="00E17A15" w:rsidRPr="00E17A15" w:rsidRDefault="00E17A15" w:rsidP="00E31789">
            <w:pPr>
              <w:spacing w:before="120" w:after="120" w:line="240" w:lineRule="auto"/>
              <w:rPr>
                <w:sz w:val="18"/>
                <w:szCs w:val="18"/>
                <w:lang w:val="en-US"/>
              </w:rPr>
            </w:pPr>
            <w:r w:rsidRPr="00E17A15">
              <w:rPr>
                <w:sz w:val="18"/>
                <w:szCs w:val="18"/>
                <w:lang w:val="en-US"/>
              </w:rPr>
              <w:t xml:space="preserve">TESOL teacher/ESL or EAL teacher  </w:t>
            </w:r>
          </w:p>
          <w:p w14:paraId="75311689" w14:textId="77777777" w:rsidR="00E17A15" w:rsidRPr="00E17A15" w:rsidRDefault="00E17A15" w:rsidP="00E31789">
            <w:pPr>
              <w:spacing w:before="120" w:after="120" w:line="240" w:lineRule="auto"/>
              <w:rPr>
                <w:sz w:val="18"/>
                <w:szCs w:val="18"/>
                <w:lang w:val="en-US"/>
              </w:rPr>
            </w:pPr>
            <w:r w:rsidRPr="00E17A15">
              <w:rPr>
                <w:sz w:val="18"/>
                <w:szCs w:val="18"/>
                <w:lang w:val="en-US"/>
              </w:rPr>
              <w:t>Adult Community Education Teacher</w:t>
            </w:r>
          </w:p>
          <w:p w14:paraId="773A770F" w14:textId="77777777" w:rsidR="00E17A15" w:rsidRPr="00E17A15" w:rsidRDefault="00E17A15" w:rsidP="00E31789">
            <w:pPr>
              <w:spacing w:before="120" w:after="120" w:line="240" w:lineRule="auto"/>
              <w:rPr>
                <w:sz w:val="18"/>
                <w:szCs w:val="18"/>
                <w:lang w:val="en-US"/>
              </w:rPr>
            </w:pPr>
            <w:r w:rsidRPr="00E17A15">
              <w:rPr>
                <w:sz w:val="18"/>
                <w:szCs w:val="18"/>
                <w:lang w:val="en-US"/>
              </w:rPr>
              <w:t>Assessor</w:t>
            </w:r>
          </w:p>
          <w:p w14:paraId="18F66CDE" w14:textId="77777777" w:rsidR="00E17A15" w:rsidRPr="00E17A15" w:rsidRDefault="00E17A15" w:rsidP="00E31789">
            <w:pPr>
              <w:spacing w:before="120" w:after="120" w:line="240" w:lineRule="auto"/>
              <w:rPr>
                <w:sz w:val="18"/>
                <w:szCs w:val="18"/>
                <w:lang w:val="en-US"/>
              </w:rPr>
            </w:pPr>
            <w:r w:rsidRPr="00E17A15">
              <w:rPr>
                <w:sz w:val="18"/>
                <w:szCs w:val="18"/>
                <w:lang w:val="en-US"/>
              </w:rPr>
              <w:t>Head Trainer</w:t>
            </w:r>
          </w:p>
          <w:p w14:paraId="40BB4236" w14:textId="77777777" w:rsidR="00E17A15" w:rsidRPr="00E17A15" w:rsidRDefault="00E17A15" w:rsidP="00E31789">
            <w:pPr>
              <w:spacing w:before="120" w:after="120" w:line="240" w:lineRule="auto"/>
              <w:rPr>
                <w:sz w:val="18"/>
                <w:szCs w:val="18"/>
                <w:lang w:val="en-US"/>
              </w:rPr>
            </w:pPr>
            <w:r w:rsidRPr="00E17A15">
              <w:rPr>
                <w:sz w:val="18"/>
                <w:szCs w:val="18"/>
                <w:lang w:val="en-US"/>
              </w:rPr>
              <w:t>Leading VET Teacher</w:t>
            </w:r>
          </w:p>
          <w:p w14:paraId="6AE7E8FB" w14:textId="77777777" w:rsidR="00E17A15" w:rsidRPr="00E17A15" w:rsidRDefault="00E17A15" w:rsidP="00E31789">
            <w:pPr>
              <w:spacing w:before="120" w:after="120" w:line="240" w:lineRule="auto"/>
              <w:rPr>
                <w:sz w:val="18"/>
                <w:szCs w:val="18"/>
                <w:lang w:val="en-US"/>
              </w:rPr>
            </w:pPr>
            <w:r w:rsidRPr="00E17A15">
              <w:rPr>
                <w:sz w:val="18"/>
                <w:szCs w:val="18"/>
                <w:lang w:val="en-US"/>
              </w:rPr>
              <w:t>Vocational Instructor</w:t>
            </w:r>
          </w:p>
          <w:p w14:paraId="5DE1DD71" w14:textId="77777777" w:rsidR="00E17A15" w:rsidRPr="00E17A15" w:rsidRDefault="00E17A15" w:rsidP="00E31789">
            <w:pPr>
              <w:spacing w:before="120" w:after="120" w:line="240" w:lineRule="auto"/>
              <w:rPr>
                <w:sz w:val="18"/>
                <w:szCs w:val="18"/>
                <w:lang w:val="en-US"/>
              </w:rPr>
            </w:pPr>
            <w:r w:rsidRPr="00E17A15">
              <w:rPr>
                <w:sz w:val="18"/>
                <w:szCs w:val="18"/>
                <w:lang w:val="en-US"/>
              </w:rPr>
              <w:t>VET tutor</w:t>
            </w:r>
          </w:p>
          <w:p w14:paraId="3CF9266C"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sz w:val="18"/>
                <w:szCs w:val="18"/>
                <w:lang w:val="en-US"/>
              </w:rPr>
              <w:t>Principal Lecturer (Leadership Crossover)</w:t>
            </w:r>
          </w:p>
        </w:tc>
      </w:tr>
      <w:tr w:rsidR="00E17A15" w:rsidRPr="00E17A15" w14:paraId="12E5859E" w14:textId="77777777" w:rsidTr="00E31789">
        <w:trPr>
          <w:trHeight w:val="300"/>
        </w:trPr>
        <w:tc>
          <w:tcPr>
            <w:tcW w:w="1555" w:type="dxa"/>
            <w:vMerge/>
            <w:shd w:val="clear" w:color="auto" w:fill="EEF1F6"/>
          </w:tcPr>
          <w:p w14:paraId="6C1242EE"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139E8C9D"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249311</w:t>
            </w:r>
          </w:p>
        </w:tc>
        <w:tc>
          <w:tcPr>
            <w:tcW w:w="3260" w:type="dxa"/>
            <w:shd w:val="clear" w:color="auto" w:fill="FFFFFF" w:themeFill="background1"/>
            <w:vAlign w:val="center"/>
          </w:tcPr>
          <w:p w14:paraId="4485291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Teacher of English to Speakers of Other Languages</w:t>
            </w:r>
          </w:p>
        </w:tc>
        <w:tc>
          <w:tcPr>
            <w:tcW w:w="3193" w:type="dxa"/>
            <w:vMerge/>
            <w:shd w:val="clear" w:color="auto" w:fill="FFFFFF" w:themeFill="background1"/>
          </w:tcPr>
          <w:p w14:paraId="43865130"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7E7CF814" w14:textId="77777777" w:rsidTr="00E31789">
        <w:trPr>
          <w:trHeight w:val="300"/>
        </w:trPr>
        <w:tc>
          <w:tcPr>
            <w:tcW w:w="1555" w:type="dxa"/>
            <w:vMerge/>
            <w:shd w:val="clear" w:color="auto" w:fill="EEF1F6"/>
          </w:tcPr>
          <w:p w14:paraId="0A43B67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62BB082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242111</w:t>
            </w:r>
          </w:p>
        </w:tc>
        <w:tc>
          <w:tcPr>
            <w:tcW w:w="3260" w:type="dxa"/>
            <w:shd w:val="clear" w:color="auto" w:fill="FFFFFF" w:themeFill="background1"/>
            <w:vAlign w:val="center"/>
          </w:tcPr>
          <w:p w14:paraId="3C34D11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University Lecturer</w:t>
            </w:r>
          </w:p>
        </w:tc>
        <w:tc>
          <w:tcPr>
            <w:tcW w:w="3193" w:type="dxa"/>
            <w:vMerge/>
            <w:shd w:val="clear" w:color="auto" w:fill="FFFFFF" w:themeFill="background1"/>
          </w:tcPr>
          <w:p w14:paraId="5145D158"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5E153841" w14:textId="77777777" w:rsidTr="00E31789">
        <w:trPr>
          <w:trHeight w:val="300"/>
        </w:trPr>
        <w:tc>
          <w:tcPr>
            <w:tcW w:w="1555" w:type="dxa"/>
            <w:vMerge/>
            <w:shd w:val="clear" w:color="auto" w:fill="EEF1F6"/>
          </w:tcPr>
          <w:p w14:paraId="1B4612AD"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6A47309D"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242000</w:t>
            </w:r>
          </w:p>
        </w:tc>
        <w:tc>
          <w:tcPr>
            <w:tcW w:w="3260" w:type="dxa"/>
            <w:shd w:val="clear" w:color="auto" w:fill="FFFFFF" w:themeFill="background1"/>
            <w:vAlign w:val="center"/>
          </w:tcPr>
          <w:p w14:paraId="4820F8F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Tertiary Education Teachers nfd</w:t>
            </w:r>
          </w:p>
        </w:tc>
        <w:tc>
          <w:tcPr>
            <w:tcW w:w="3193" w:type="dxa"/>
            <w:vMerge/>
            <w:shd w:val="clear" w:color="auto" w:fill="FFFFFF" w:themeFill="background1"/>
          </w:tcPr>
          <w:p w14:paraId="33FBCDDC"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6F65A56B" w14:textId="77777777" w:rsidTr="00E31789">
        <w:trPr>
          <w:trHeight w:val="300"/>
        </w:trPr>
        <w:tc>
          <w:tcPr>
            <w:tcW w:w="1555" w:type="dxa"/>
            <w:vMerge/>
            <w:shd w:val="clear" w:color="auto" w:fill="EEF1F6"/>
          </w:tcPr>
          <w:p w14:paraId="6F1BEC74"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1D4B0BFD"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240000</w:t>
            </w:r>
          </w:p>
        </w:tc>
        <w:tc>
          <w:tcPr>
            <w:tcW w:w="3260" w:type="dxa"/>
            <w:shd w:val="clear" w:color="auto" w:fill="FFFFFF" w:themeFill="background1"/>
            <w:vAlign w:val="center"/>
          </w:tcPr>
          <w:p w14:paraId="6317A77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Education Professionals nfd</w:t>
            </w:r>
          </w:p>
        </w:tc>
        <w:tc>
          <w:tcPr>
            <w:tcW w:w="3193" w:type="dxa"/>
            <w:vMerge/>
            <w:shd w:val="clear" w:color="auto" w:fill="FFFFFF" w:themeFill="background1"/>
          </w:tcPr>
          <w:p w14:paraId="1D80C080"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35B28726" w14:textId="77777777" w:rsidTr="00E31789">
        <w:trPr>
          <w:trHeight w:val="300"/>
        </w:trPr>
        <w:tc>
          <w:tcPr>
            <w:tcW w:w="1555" w:type="dxa"/>
            <w:vMerge/>
            <w:shd w:val="clear" w:color="auto" w:fill="EEF1F6"/>
          </w:tcPr>
          <w:p w14:paraId="2987FF8B"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6163532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254211</w:t>
            </w:r>
          </w:p>
        </w:tc>
        <w:tc>
          <w:tcPr>
            <w:tcW w:w="3260" w:type="dxa"/>
            <w:shd w:val="clear" w:color="auto" w:fill="FFFFFF" w:themeFill="background1"/>
            <w:vAlign w:val="bottom"/>
          </w:tcPr>
          <w:p w14:paraId="3A791ED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Nurse Educator</w:t>
            </w:r>
          </w:p>
        </w:tc>
        <w:tc>
          <w:tcPr>
            <w:tcW w:w="3193" w:type="dxa"/>
            <w:vMerge/>
            <w:shd w:val="clear" w:color="auto" w:fill="FFFFFF" w:themeFill="background1"/>
          </w:tcPr>
          <w:p w14:paraId="539FD4C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73BD06A8" w14:textId="77777777" w:rsidTr="00E31789">
        <w:trPr>
          <w:trHeight w:val="300"/>
        </w:trPr>
        <w:tc>
          <w:tcPr>
            <w:tcW w:w="1555" w:type="dxa"/>
            <w:vMerge/>
            <w:shd w:val="clear" w:color="auto" w:fill="EEF1F6"/>
          </w:tcPr>
          <w:p w14:paraId="1CF780C4"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5E13AF6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241411</w:t>
            </w:r>
          </w:p>
        </w:tc>
        <w:tc>
          <w:tcPr>
            <w:tcW w:w="3260" w:type="dxa"/>
            <w:shd w:val="clear" w:color="auto" w:fill="FFFFFF" w:themeFill="background1"/>
            <w:vAlign w:val="center"/>
          </w:tcPr>
          <w:p w14:paraId="343BDD5A"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Secondary School Teacher</w:t>
            </w:r>
          </w:p>
        </w:tc>
        <w:tc>
          <w:tcPr>
            <w:tcW w:w="3193" w:type="dxa"/>
            <w:vMerge/>
            <w:shd w:val="clear" w:color="auto" w:fill="FFFFFF" w:themeFill="background1"/>
          </w:tcPr>
          <w:p w14:paraId="77A7999D"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2983C7FF" w14:textId="77777777" w:rsidTr="00E31789">
        <w:trPr>
          <w:trHeight w:val="300"/>
        </w:trPr>
        <w:tc>
          <w:tcPr>
            <w:tcW w:w="1555" w:type="dxa"/>
            <w:vMerge/>
            <w:shd w:val="clear" w:color="auto" w:fill="EEF1F6"/>
          </w:tcPr>
          <w:p w14:paraId="35B54727"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06778135"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249299</w:t>
            </w:r>
          </w:p>
        </w:tc>
        <w:tc>
          <w:tcPr>
            <w:tcW w:w="3260" w:type="dxa"/>
            <w:shd w:val="clear" w:color="auto" w:fill="FFFFFF" w:themeFill="background1"/>
            <w:vAlign w:val="center"/>
          </w:tcPr>
          <w:p w14:paraId="31A4802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Private Tutors and Teachers nec</w:t>
            </w:r>
          </w:p>
        </w:tc>
        <w:tc>
          <w:tcPr>
            <w:tcW w:w="3193" w:type="dxa"/>
            <w:vMerge/>
            <w:shd w:val="clear" w:color="auto" w:fill="D9E1F2"/>
          </w:tcPr>
          <w:p w14:paraId="0ED5575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58AE575C" w14:textId="77777777" w:rsidTr="00E31789">
        <w:trPr>
          <w:trHeight w:val="300"/>
        </w:trPr>
        <w:tc>
          <w:tcPr>
            <w:tcW w:w="1555" w:type="dxa"/>
            <w:vMerge/>
            <w:shd w:val="clear" w:color="auto" w:fill="EEF1F6"/>
          </w:tcPr>
          <w:p w14:paraId="3F9C47FF"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6982CA9D"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223211</w:t>
            </w:r>
          </w:p>
        </w:tc>
        <w:tc>
          <w:tcPr>
            <w:tcW w:w="3260" w:type="dxa"/>
            <w:shd w:val="clear" w:color="auto" w:fill="FFFFFF" w:themeFill="background1"/>
            <w:vAlign w:val="bottom"/>
          </w:tcPr>
          <w:p w14:paraId="59A3E61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ICT Trainer</w:t>
            </w:r>
          </w:p>
        </w:tc>
        <w:tc>
          <w:tcPr>
            <w:tcW w:w="3193" w:type="dxa"/>
            <w:vMerge/>
            <w:shd w:val="clear" w:color="auto" w:fill="D9E1F2"/>
          </w:tcPr>
          <w:p w14:paraId="7FBEE04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62EA9B02" w14:textId="77777777" w:rsidTr="00E31789">
        <w:trPr>
          <w:trHeight w:val="300"/>
        </w:trPr>
        <w:tc>
          <w:tcPr>
            <w:tcW w:w="1555" w:type="dxa"/>
            <w:vMerge/>
            <w:shd w:val="clear" w:color="auto" w:fill="EEF1F6"/>
          </w:tcPr>
          <w:p w14:paraId="335A495A"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29BCCEE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241000</w:t>
            </w:r>
          </w:p>
        </w:tc>
        <w:tc>
          <w:tcPr>
            <w:tcW w:w="3260" w:type="dxa"/>
            <w:shd w:val="clear" w:color="auto" w:fill="FFFFFF" w:themeFill="background1"/>
            <w:vAlign w:val="center"/>
          </w:tcPr>
          <w:p w14:paraId="4B591E4C"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School Teachers nfd</w:t>
            </w:r>
          </w:p>
        </w:tc>
        <w:tc>
          <w:tcPr>
            <w:tcW w:w="3193" w:type="dxa"/>
            <w:vMerge/>
            <w:shd w:val="clear" w:color="auto" w:fill="FFFFFF" w:themeFill="background1"/>
          </w:tcPr>
          <w:p w14:paraId="34EC28EB"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5B59B9C0" w14:textId="77777777" w:rsidTr="00E31789">
        <w:trPr>
          <w:trHeight w:val="300"/>
        </w:trPr>
        <w:tc>
          <w:tcPr>
            <w:tcW w:w="1555" w:type="dxa"/>
            <w:vMerge/>
            <w:shd w:val="clear" w:color="auto" w:fill="EEF1F6"/>
          </w:tcPr>
          <w:p w14:paraId="5D497B2F"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6707A3A5"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242112</w:t>
            </w:r>
          </w:p>
        </w:tc>
        <w:tc>
          <w:tcPr>
            <w:tcW w:w="3260" w:type="dxa"/>
            <w:shd w:val="clear" w:color="auto" w:fill="FFFFFF" w:themeFill="background1"/>
            <w:vAlign w:val="center"/>
          </w:tcPr>
          <w:p w14:paraId="2B1DEE8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University Tutor</w:t>
            </w:r>
          </w:p>
        </w:tc>
        <w:tc>
          <w:tcPr>
            <w:tcW w:w="3193" w:type="dxa"/>
            <w:vMerge/>
            <w:shd w:val="clear" w:color="auto" w:fill="FFFFFF" w:themeFill="background1"/>
          </w:tcPr>
          <w:p w14:paraId="36544EA4"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5D2ABC22" w14:textId="77777777" w:rsidTr="00E31789">
        <w:trPr>
          <w:trHeight w:val="300"/>
        </w:trPr>
        <w:tc>
          <w:tcPr>
            <w:tcW w:w="1555" w:type="dxa"/>
            <w:vMerge/>
            <w:shd w:val="clear" w:color="auto" w:fill="EEF1F6"/>
          </w:tcPr>
          <w:p w14:paraId="1C37E23A"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26EE9EFE"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241511</w:t>
            </w:r>
          </w:p>
        </w:tc>
        <w:tc>
          <w:tcPr>
            <w:tcW w:w="3260" w:type="dxa"/>
            <w:shd w:val="clear" w:color="auto" w:fill="FFFFFF" w:themeFill="background1"/>
            <w:vAlign w:val="center"/>
          </w:tcPr>
          <w:p w14:paraId="2B563A8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Special Needs Teacher</w:t>
            </w:r>
          </w:p>
        </w:tc>
        <w:tc>
          <w:tcPr>
            <w:tcW w:w="3193" w:type="dxa"/>
            <w:vMerge/>
            <w:shd w:val="clear" w:color="auto" w:fill="FFFFFF" w:themeFill="background1"/>
          </w:tcPr>
          <w:p w14:paraId="26105F74"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4C9B28EE" w14:textId="77777777" w:rsidTr="00E31789">
        <w:trPr>
          <w:trHeight w:val="300"/>
        </w:trPr>
        <w:tc>
          <w:tcPr>
            <w:tcW w:w="1555" w:type="dxa"/>
            <w:vMerge/>
            <w:shd w:val="clear" w:color="auto" w:fill="EEF1F6"/>
          </w:tcPr>
          <w:p w14:paraId="4B8039C5"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1135171B"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451211</w:t>
            </w:r>
          </w:p>
        </w:tc>
        <w:tc>
          <w:tcPr>
            <w:tcW w:w="3260" w:type="dxa"/>
            <w:shd w:val="clear" w:color="auto" w:fill="FFFFFF" w:themeFill="background1"/>
            <w:vAlign w:val="bottom"/>
          </w:tcPr>
          <w:p w14:paraId="3CC426CC"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Driving Instructor</w:t>
            </w:r>
          </w:p>
        </w:tc>
        <w:tc>
          <w:tcPr>
            <w:tcW w:w="3193" w:type="dxa"/>
            <w:vMerge/>
            <w:shd w:val="clear" w:color="auto" w:fill="FFFFFF" w:themeFill="background1"/>
          </w:tcPr>
          <w:p w14:paraId="4C113E98"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03697E56" w14:textId="77777777" w:rsidTr="00E31789">
        <w:trPr>
          <w:trHeight w:val="300"/>
        </w:trPr>
        <w:tc>
          <w:tcPr>
            <w:tcW w:w="1555" w:type="dxa"/>
            <w:vMerge/>
            <w:shd w:val="clear" w:color="auto" w:fill="EEF1F6"/>
          </w:tcPr>
          <w:p w14:paraId="777E18E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3B8DA1EB"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451815</w:t>
            </w:r>
          </w:p>
        </w:tc>
        <w:tc>
          <w:tcPr>
            <w:tcW w:w="3260" w:type="dxa"/>
            <w:shd w:val="clear" w:color="auto" w:fill="FFFFFF" w:themeFill="background1"/>
            <w:vAlign w:val="bottom"/>
          </w:tcPr>
          <w:p w14:paraId="43898C1D"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First Aid Trainer</w:t>
            </w:r>
          </w:p>
        </w:tc>
        <w:tc>
          <w:tcPr>
            <w:tcW w:w="3193" w:type="dxa"/>
            <w:vMerge/>
            <w:shd w:val="clear" w:color="auto" w:fill="FFFFFF" w:themeFill="background1"/>
          </w:tcPr>
          <w:p w14:paraId="0ED102EA"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641C6433" w14:textId="77777777" w:rsidTr="00E31789">
        <w:trPr>
          <w:trHeight w:val="300"/>
        </w:trPr>
        <w:tc>
          <w:tcPr>
            <w:tcW w:w="1555" w:type="dxa"/>
            <w:vMerge/>
            <w:shd w:val="clear" w:color="auto" w:fill="EEF1F6"/>
          </w:tcPr>
          <w:p w14:paraId="01206CFB"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54019473"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241111</w:t>
            </w:r>
          </w:p>
        </w:tc>
        <w:tc>
          <w:tcPr>
            <w:tcW w:w="3260" w:type="dxa"/>
            <w:shd w:val="clear" w:color="auto" w:fill="FFFFFF" w:themeFill="background1"/>
            <w:vAlign w:val="center"/>
          </w:tcPr>
          <w:p w14:paraId="5BA8F39E"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Early Childhood (Pre-primary School) Teacher</w:t>
            </w:r>
          </w:p>
        </w:tc>
        <w:tc>
          <w:tcPr>
            <w:tcW w:w="3193" w:type="dxa"/>
            <w:vMerge/>
            <w:shd w:val="clear" w:color="auto" w:fill="FFFFFF" w:themeFill="background1"/>
          </w:tcPr>
          <w:p w14:paraId="7B96D2A8"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6B38DCAF" w14:textId="77777777" w:rsidTr="00E31789">
        <w:trPr>
          <w:trHeight w:val="300"/>
        </w:trPr>
        <w:tc>
          <w:tcPr>
            <w:tcW w:w="1555" w:type="dxa"/>
            <w:vMerge/>
            <w:shd w:val="clear" w:color="auto" w:fill="EEF1F6"/>
          </w:tcPr>
          <w:p w14:paraId="303CEB65"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2C1F46A1"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231113</w:t>
            </w:r>
          </w:p>
        </w:tc>
        <w:tc>
          <w:tcPr>
            <w:tcW w:w="3260" w:type="dxa"/>
            <w:shd w:val="clear" w:color="auto" w:fill="FFFFFF" w:themeFill="background1"/>
            <w:vAlign w:val="bottom"/>
          </w:tcPr>
          <w:p w14:paraId="46E5462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Flying Instructor</w:t>
            </w:r>
          </w:p>
        </w:tc>
        <w:tc>
          <w:tcPr>
            <w:tcW w:w="3193" w:type="dxa"/>
            <w:vMerge/>
            <w:shd w:val="clear" w:color="auto" w:fill="FFFFFF" w:themeFill="background1"/>
          </w:tcPr>
          <w:p w14:paraId="64C16B28"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4E4E0D40" w14:textId="77777777" w:rsidTr="00E31789">
        <w:trPr>
          <w:trHeight w:val="300"/>
        </w:trPr>
        <w:tc>
          <w:tcPr>
            <w:tcW w:w="1555" w:type="dxa"/>
            <w:vMerge/>
            <w:shd w:val="clear" w:color="auto" w:fill="EEF1F6"/>
          </w:tcPr>
          <w:p w14:paraId="7F7708C7"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1498A70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241599</w:t>
            </w:r>
          </w:p>
        </w:tc>
        <w:tc>
          <w:tcPr>
            <w:tcW w:w="3260" w:type="dxa"/>
            <w:shd w:val="clear" w:color="auto" w:fill="FFFFFF" w:themeFill="background1"/>
            <w:vAlign w:val="center"/>
          </w:tcPr>
          <w:p w14:paraId="3F4C0D8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Special Education Teachers nec</w:t>
            </w:r>
          </w:p>
        </w:tc>
        <w:tc>
          <w:tcPr>
            <w:tcW w:w="3193" w:type="dxa"/>
            <w:vMerge/>
            <w:shd w:val="clear" w:color="auto" w:fill="FFFFFF" w:themeFill="background1"/>
          </w:tcPr>
          <w:p w14:paraId="63AF11E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03507FC9" w14:textId="77777777" w:rsidTr="00E31789">
        <w:trPr>
          <w:trHeight w:val="300"/>
        </w:trPr>
        <w:tc>
          <w:tcPr>
            <w:tcW w:w="1555" w:type="dxa"/>
            <w:vMerge/>
            <w:shd w:val="clear" w:color="auto" w:fill="EEF1F6"/>
          </w:tcPr>
          <w:p w14:paraId="235F3DA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17CCC44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249214</w:t>
            </w:r>
          </w:p>
        </w:tc>
        <w:tc>
          <w:tcPr>
            <w:tcW w:w="3260" w:type="dxa"/>
            <w:shd w:val="clear" w:color="auto" w:fill="FFFFFF" w:themeFill="background1"/>
            <w:vAlign w:val="center"/>
          </w:tcPr>
          <w:p w14:paraId="2592896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Music Teacher (Private Tuition)</w:t>
            </w:r>
          </w:p>
        </w:tc>
        <w:tc>
          <w:tcPr>
            <w:tcW w:w="3193" w:type="dxa"/>
            <w:vMerge/>
            <w:shd w:val="clear" w:color="auto" w:fill="FFFFFF" w:themeFill="background1"/>
          </w:tcPr>
          <w:p w14:paraId="01ADCAFA"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7A8A375E" w14:textId="77777777" w:rsidTr="00E31789">
        <w:trPr>
          <w:trHeight w:val="300"/>
        </w:trPr>
        <w:tc>
          <w:tcPr>
            <w:tcW w:w="1555" w:type="dxa"/>
            <w:vMerge/>
            <w:shd w:val="clear" w:color="auto" w:fill="EEF1F6"/>
          </w:tcPr>
          <w:p w14:paraId="424306E2"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206BD3CE"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249200</w:t>
            </w:r>
          </w:p>
        </w:tc>
        <w:tc>
          <w:tcPr>
            <w:tcW w:w="3260" w:type="dxa"/>
            <w:shd w:val="clear" w:color="auto" w:fill="FFFFFF" w:themeFill="background1"/>
            <w:vAlign w:val="center"/>
          </w:tcPr>
          <w:p w14:paraId="63A95183"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Private Tutors and Teachers nfd</w:t>
            </w:r>
          </w:p>
        </w:tc>
        <w:tc>
          <w:tcPr>
            <w:tcW w:w="3193" w:type="dxa"/>
            <w:vMerge/>
            <w:shd w:val="clear" w:color="auto" w:fill="FFFFFF" w:themeFill="background1"/>
          </w:tcPr>
          <w:p w14:paraId="71A8F9F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6F950F55" w14:textId="77777777" w:rsidTr="00E31789">
        <w:trPr>
          <w:trHeight w:val="300"/>
        </w:trPr>
        <w:tc>
          <w:tcPr>
            <w:tcW w:w="1555" w:type="dxa"/>
            <w:vMerge/>
            <w:shd w:val="clear" w:color="auto" w:fill="EEF1F6"/>
          </w:tcPr>
          <w:p w14:paraId="237B0BA9"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427B0545"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242100</w:t>
            </w:r>
          </w:p>
        </w:tc>
        <w:tc>
          <w:tcPr>
            <w:tcW w:w="3260" w:type="dxa"/>
            <w:shd w:val="clear" w:color="auto" w:fill="FFFFFF" w:themeFill="background1"/>
            <w:vAlign w:val="center"/>
          </w:tcPr>
          <w:p w14:paraId="04860EB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University Lecturers and Tutors nfd</w:t>
            </w:r>
          </w:p>
        </w:tc>
        <w:tc>
          <w:tcPr>
            <w:tcW w:w="3193" w:type="dxa"/>
            <w:vMerge/>
            <w:shd w:val="clear" w:color="auto" w:fill="FFFFFF" w:themeFill="background1"/>
          </w:tcPr>
          <w:p w14:paraId="25EF7CD7"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5649BF7D" w14:textId="77777777" w:rsidTr="00E31789">
        <w:trPr>
          <w:trHeight w:val="300"/>
        </w:trPr>
        <w:tc>
          <w:tcPr>
            <w:tcW w:w="1555" w:type="dxa"/>
            <w:vMerge/>
            <w:shd w:val="clear" w:color="auto" w:fill="EEF1F6"/>
          </w:tcPr>
          <w:p w14:paraId="447A17CE"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1AF0114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249211</w:t>
            </w:r>
          </w:p>
        </w:tc>
        <w:tc>
          <w:tcPr>
            <w:tcW w:w="3260" w:type="dxa"/>
            <w:shd w:val="clear" w:color="auto" w:fill="FFFFFF" w:themeFill="background1"/>
            <w:vAlign w:val="center"/>
          </w:tcPr>
          <w:p w14:paraId="06D3A9A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Art Teacher (Private Tuition)</w:t>
            </w:r>
          </w:p>
        </w:tc>
        <w:tc>
          <w:tcPr>
            <w:tcW w:w="3193" w:type="dxa"/>
            <w:vMerge/>
            <w:shd w:val="clear" w:color="auto" w:fill="FFFFFF" w:themeFill="background1"/>
          </w:tcPr>
          <w:p w14:paraId="01207C35"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26C551B8" w14:textId="77777777" w:rsidTr="00E31789">
        <w:trPr>
          <w:trHeight w:val="300"/>
        </w:trPr>
        <w:tc>
          <w:tcPr>
            <w:tcW w:w="1555" w:type="dxa"/>
            <w:vMerge/>
            <w:shd w:val="clear" w:color="auto" w:fill="EEF1F6"/>
          </w:tcPr>
          <w:p w14:paraId="66440E21"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5BDEE69F"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241512</w:t>
            </w:r>
          </w:p>
        </w:tc>
        <w:tc>
          <w:tcPr>
            <w:tcW w:w="3260" w:type="dxa"/>
            <w:shd w:val="clear" w:color="auto" w:fill="FFFFFF" w:themeFill="background1"/>
            <w:vAlign w:val="center"/>
          </w:tcPr>
          <w:p w14:paraId="11424B6A"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Teacher of the Hearing Impaired</w:t>
            </w:r>
          </w:p>
        </w:tc>
        <w:tc>
          <w:tcPr>
            <w:tcW w:w="3193" w:type="dxa"/>
            <w:vMerge/>
            <w:shd w:val="clear" w:color="auto" w:fill="FFFFFF" w:themeFill="background1"/>
          </w:tcPr>
          <w:p w14:paraId="3753D955"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663BF198" w14:textId="77777777" w:rsidTr="00E31789">
        <w:trPr>
          <w:trHeight w:val="300"/>
        </w:trPr>
        <w:tc>
          <w:tcPr>
            <w:tcW w:w="1555" w:type="dxa"/>
            <w:vMerge/>
            <w:shd w:val="clear" w:color="auto" w:fill="EEF1F6"/>
          </w:tcPr>
          <w:p w14:paraId="7ADCD06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0433704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241213</w:t>
            </w:r>
          </w:p>
        </w:tc>
        <w:tc>
          <w:tcPr>
            <w:tcW w:w="3260" w:type="dxa"/>
            <w:shd w:val="clear" w:color="auto" w:fill="FFFFFF" w:themeFill="background1"/>
            <w:vAlign w:val="center"/>
          </w:tcPr>
          <w:p w14:paraId="44675FFC"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Primary School Teacher</w:t>
            </w:r>
          </w:p>
        </w:tc>
        <w:tc>
          <w:tcPr>
            <w:tcW w:w="3193" w:type="dxa"/>
            <w:vMerge/>
            <w:shd w:val="clear" w:color="auto" w:fill="FFFFFF" w:themeFill="background1"/>
          </w:tcPr>
          <w:p w14:paraId="4CDA1A9E"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19A1D606" w14:textId="77777777" w:rsidTr="00E31789">
        <w:trPr>
          <w:trHeight w:val="300"/>
        </w:trPr>
        <w:tc>
          <w:tcPr>
            <w:tcW w:w="1555" w:type="dxa"/>
            <w:vMerge/>
            <w:shd w:val="clear" w:color="auto" w:fill="EEF1F6"/>
          </w:tcPr>
          <w:p w14:paraId="24B0380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176215EC"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249212</w:t>
            </w:r>
          </w:p>
        </w:tc>
        <w:tc>
          <w:tcPr>
            <w:tcW w:w="3260" w:type="dxa"/>
            <w:shd w:val="clear" w:color="auto" w:fill="FFFFFF" w:themeFill="background1"/>
            <w:vAlign w:val="center"/>
          </w:tcPr>
          <w:p w14:paraId="28EFCD1C"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Dance Teacher (Private Tuition)</w:t>
            </w:r>
          </w:p>
        </w:tc>
        <w:tc>
          <w:tcPr>
            <w:tcW w:w="3193" w:type="dxa"/>
            <w:vMerge/>
            <w:shd w:val="clear" w:color="auto" w:fill="FFFFFF" w:themeFill="background1"/>
          </w:tcPr>
          <w:p w14:paraId="129C84DD"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0E20C904" w14:textId="77777777" w:rsidTr="00E31789">
        <w:trPr>
          <w:trHeight w:val="300"/>
        </w:trPr>
        <w:tc>
          <w:tcPr>
            <w:tcW w:w="1555" w:type="dxa"/>
            <w:vMerge/>
            <w:shd w:val="clear" w:color="auto" w:fill="EEF1F6"/>
          </w:tcPr>
          <w:p w14:paraId="709C5F72"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3A068C41"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241311</w:t>
            </w:r>
          </w:p>
        </w:tc>
        <w:tc>
          <w:tcPr>
            <w:tcW w:w="3260" w:type="dxa"/>
            <w:shd w:val="clear" w:color="auto" w:fill="FFFFFF" w:themeFill="background1"/>
            <w:vAlign w:val="center"/>
          </w:tcPr>
          <w:p w14:paraId="283F6C9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Middle School Teacher</w:t>
            </w:r>
          </w:p>
        </w:tc>
        <w:tc>
          <w:tcPr>
            <w:tcW w:w="3193" w:type="dxa"/>
            <w:vMerge/>
            <w:shd w:val="clear" w:color="auto" w:fill="FFFFFF" w:themeFill="background1"/>
          </w:tcPr>
          <w:p w14:paraId="243486B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10234D00" w14:textId="77777777" w:rsidTr="00E31789">
        <w:trPr>
          <w:trHeight w:val="300"/>
        </w:trPr>
        <w:tc>
          <w:tcPr>
            <w:tcW w:w="1555" w:type="dxa"/>
            <w:vMerge/>
            <w:shd w:val="clear" w:color="auto" w:fill="EEF1F6"/>
          </w:tcPr>
          <w:p w14:paraId="1ACC4A37"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2A47D67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241513</w:t>
            </w:r>
          </w:p>
        </w:tc>
        <w:tc>
          <w:tcPr>
            <w:tcW w:w="3260" w:type="dxa"/>
            <w:shd w:val="clear" w:color="auto" w:fill="FFFFFF" w:themeFill="background1"/>
            <w:vAlign w:val="center"/>
          </w:tcPr>
          <w:p w14:paraId="20FAFC01"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Teacher of the Sight Impaired</w:t>
            </w:r>
          </w:p>
        </w:tc>
        <w:tc>
          <w:tcPr>
            <w:tcW w:w="3193" w:type="dxa"/>
            <w:vMerge/>
            <w:shd w:val="clear" w:color="auto" w:fill="FFFFFF" w:themeFill="background1"/>
          </w:tcPr>
          <w:p w14:paraId="57A2805D"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1923E6AD" w14:textId="77777777" w:rsidTr="00E31789">
        <w:trPr>
          <w:trHeight w:val="269"/>
        </w:trPr>
        <w:tc>
          <w:tcPr>
            <w:tcW w:w="1555" w:type="dxa"/>
            <w:vMerge w:val="restart"/>
            <w:shd w:val="clear" w:color="auto" w:fill="EEF1F6"/>
          </w:tcPr>
          <w:p w14:paraId="354DAAFA"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Leadership </w:t>
            </w:r>
          </w:p>
          <w:p w14:paraId="7FA51893"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(Top 30 by count)</w:t>
            </w:r>
          </w:p>
        </w:tc>
        <w:tc>
          <w:tcPr>
            <w:tcW w:w="992" w:type="dxa"/>
            <w:vAlign w:val="center"/>
          </w:tcPr>
          <w:p w14:paraId="7BACC4D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134411</w:t>
            </w:r>
          </w:p>
        </w:tc>
        <w:tc>
          <w:tcPr>
            <w:tcW w:w="3260" w:type="dxa"/>
            <w:vAlign w:val="center"/>
          </w:tcPr>
          <w:p w14:paraId="2E08A601"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Faculty Head</w:t>
            </w:r>
          </w:p>
        </w:tc>
        <w:tc>
          <w:tcPr>
            <w:tcW w:w="3193" w:type="dxa"/>
            <w:vMerge w:val="restart"/>
            <w:shd w:val="clear" w:color="auto" w:fill="FFFFFF" w:themeFill="background1"/>
          </w:tcPr>
          <w:p w14:paraId="1CD540DE"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Senior Educator (Teach, Train, Assess Crossover)</w:t>
            </w:r>
          </w:p>
          <w:p w14:paraId="3C264995"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Education Manager  </w:t>
            </w:r>
          </w:p>
          <w:p w14:paraId="23E1B72A"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Program Manager  </w:t>
            </w:r>
          </w:p>
          <w:p w14:paraId="253C9E8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RTO Manager  </w:t>
            </w:r>
          </w:p>
          <w:p w14:paraId="219A537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Training Director  </w:t>
            </w:r>
          </w:p>
          <w:p w14:paraId="388105CD"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Course Coordinator  </w:t>
            </w:r>
          </w:p>
          <w:p w14:paraId="48C84FD5"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Campus managers</w:t>
            </w:r>
          </w:p>
          <w:p w14:paraId="47AB675C"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Faculty Heads</w:t>
            </w:r>
          </w:p>
          <w:p w14:paraId="15A90B1E"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Training coordinators and managers (Teach, Train, Assess Crossover)</w:t>
            </w:r>
          </w:p>
          <w:p w14:paraId="111C377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Industry engagement managers </w:t>
            </w:r>
          </w:p>
          <w:p w14:paraId="0287D713"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Industry innovation specialists </w:t>
            </w:r>
          </w:p>
          <w:p w14:paraId="3052B265"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Chief Executive Officer</w:t>
            </w:r>
          </w:p>
          <w:p w14:paraId="6F9292E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Education Manager  </w:t>
            </w:r>
          </w:p>
          <w:p w14:paraId="651A79F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Educational Team Leader (Teach, Train, Assess Crossover)</w:t>
            </w:r>
          </w:p>
          <w:p w14:paraId="43C5CEAC"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Academic Director (Deputy Director)</w:t>
            </w:r>
          </w:p>
          <w:p w14:paraId="1696837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Academic Director (RTO)</w:t>
            </w:r>
          </w:p>
          <w:p w14:paraId="273D293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Faculty Manager</w:t>
            </w:r>
          </w:p>
          <w:p w14:paraId="70621DE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Chief Product and Quality Officer</w:t>
            </w:r>
          </w:p>
          <w:p w14:paraId="7F2236B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Managing Director</w:t>
            </w:r>
          </w:p>
          <w:p w14:paraId="5E99871B"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Director - Quality &amp; Development</w:t>
            </w:r>
          </w:p>
          <w:p w14:paraId="42E1106B"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Manager - Innovative Practice</w:t>
            </w:r>
          </w:p>
          <w:p w14:paraId="4F3FAB2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Director - Vocational Education</w:t>
            </w:r>
          </w:p>
          <w:p w14:paraId="58956EDA"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Tertiary Education Administrator or Manager</w:t>
            </w:r>
          </w:p>
          <w:p w14:paraId="77CA74D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Managing Director</w:t>
            </w:r>
          </w:p>
          <w:p w14:paraId="2CF044AD"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Principal Lecturer (Teach, Train, Assess Crossover)</w:t>
            </w:r>
          </w:p>
          <w:p w14:paraId="1887771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Manager - Innovative Practice</w:t>
            </w:r>
          </w:p>
          <w:p w14:paraId="1FF089D2" w14:textId="77777777" w:rsidR="00E17A15" w:rsidRPr="00E17A15" w:rsidRDefault="00E17A15" w:rsidP="00495F38">
            <w:pPr>
              <w:spacing w:before="24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Manager - Curriculum Development</w:t>
            </w:r>
          </w:p>
          <w:p w14:paraId="69E3F64F"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Director- Skills Team</w:t>
            </w:r>
          </w:p>
          <w:p w14:paraId="696D174D"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Head of Skills</w:t>
            </w:r>
          </w:p>
        </w:tc>
      </w:tr>
      <w:tr w:rsidR="00E17A15" w:rsidRPr="00E17A15" w14:paraId="597765CB" w14:textId="77777777" w:rsidTr="00E31789">
        <w:trPr>
          <w:trHeight w:val="300"/>
        </w:trPr>
        <w:tc>
          <w:tcPr>
            <w:tcW w:w="1555" w:type="dxa"/>
            <w:vMerge/>
            <w:shd w:val="clear" w:color="auto" w:fill="EEF1F6"/>
          </w:tcPr>
          <w:p w14:paraId="11553E70"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0E48FC0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132311</w:t>
            </w:r>
          </w:p>
        </w:tc>
        <w:tc>
          <w:tcPr>
            <w:tcW w:w="3260" w:type="dxa"/>
            <w:vAlign w:val="bottom"/>
          </w:tcPr>
          <w:p w14:paraId="20F9218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Human Resource Manager</w:t>
            </w:r>
          </w:p>
        </w:tc>
        <w:tc>
          <w:tcPr>
            <w:tcW w:w="3193" w:type="dxa"/>
            <w:vMerge/>
            <w:shd w:val="clear" w:color="auto" w:fill="FFFFFF" w:themeFill="background1"/>
          </w:tcPr>
          <w:p w14:paraId="108856D2"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0CA0F56B" w14:textId="77777777" w:rsidTr="00E31789">
        <w:trPr>
          <w:trHeight w:val="300"/>
        </w:trPr>
        <w:tc>
          <w:tcPr>
            <w:tcW w:w="1555" w:type="dxa"/>
            <w:vMerge/>
            <w:shd w:val="clear" w:color="auto" w:fill="EEF1F6"/>
          </w:tcPr>
          <w:p w14:paraId="5488FCBA"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26545F9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111111</w:t>
            </w:r>
          </w:p>
        </w:tc>
        <w:tc>
          <w:tcPr>
            <w:tcW w:w="3260" w:type="dxa"/>
            <w:vAlign w:val="bottom"/>
          </w:tcPr>
          <w:p w14:paraId="0DE2D1AF"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Chief Executive or Managing Director</w:t>
            </w:r>
          </w:p>
        </w:tc>
        <w:tc>
          <w:tcPr>
            <w:tcW w:w="3193" w:type="dxa"/>
            <w:vMerge/>
            <w:shd w:val="clear" w:color="auto" w:fill="FFFFFF" w:themeFill="background1"/>
          </w:tcPr>
          <w:p w14:paraId="5192ED28"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32C14AE7" w14:textId="77777777" w:rsidTr="00E31789">
        <w:trPr>
          <w:trHeight w:val="300"/>
        </w:trPr>
        <w:tc>
          <w:tcPr>
            <w:tcW w:w="1555" w:type="dxa"/>
            <w:vMerge/>
            <w:shd w:val="clear" w:color="auto" w:fill="EEF1F6"/>
          </w:tcPr>
          <w:p w14:paraId="15F3D434"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4620898F"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512111</w:t>
            </w:r>
          </w:p>
        </w:tc>
        <w:tc>
          <w:tcPr>
            <w:tcW w:w="3260" w:type="dxa"/>
            <w:vAlign w:val="bottom"/>
          </w:tcPr>
          <w:p w14:paraId="694A156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Office Manager</w:t>
            </w:r>
          </w:p>
        </w:tc>
        <w:tc>
          <w:tcPr>
            <w:tcW w:w="3193" w:type="dxa"/>
            <w:vMerge/>
            <w:shd w:val="clear" w:color="auto" w:fill="FFFFFF" w:themeFill="background1"/>
          </w:tcPr>
          <w:p w14:paraId="5A24042E"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4E003E22" w14:textId="77777777" w:rsidTr="00E31789">
        <w:trPr>
          <w:trHeight w:val="300"/>
        </w:trPr>
        <w:tc>
          <w:tcPr>
            <w:tcW w:w="1555" w:type="dxa"/>
            <w:vMerge/>
            <w:shd w:val="clear" w:color="auto" w:fill="EEF1F6"/>
          </w:tcPr>
          <w:p w14:paraId="3C6352DD"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496EC50C"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131112</w:t>
            </w:r>
          </w:p>
        </w:tc>
        <w:tc>
          <w:tcPr>
            <w:tcW w:w="3260" w:type="dxa"/>
            <w:vAlign w:val="bottom"/>
          </w:tcPr>
          <w:p w14:paraId="398A3241"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Sales and Marketing Manager</w:t>
            </w:r>
          </w:p>
        </w:tc>
        <w:tc>
          <w:tcPr>
            <w:tcW w:w="3193" w:type="dxa"/>
            <w:vMerge/>
            <w:shd w:val="clear" w:color="auto" w:fill="FFFFFF" w:themeFill="background1"/>
          </w:tcPr>
          <w:p w14:paraId="05B6B9BD"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120B468F" w14:textId="77777777" w:rsidTr="00E31789">
        <w:trPr>
          <w:trHeight w:val="300"/>
        </w:trPr>
        <w:tc>
          <w:tcPr>
            <w:tcW w:w="1555" w:type="dxa"/>
            <w:vMerge/>
            <w:shd w:val="clear" w:color="auto" w:fill="EEF1F6"/>
          </w:tcPr>
          <w:p w14:paraId="7A5C7A3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center"/>
          </w:tcPr>
          <w:p w14:paraId="48C95DFB"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134499</w:t>
            </w:r>
          </w:p>
        </w:tc>
        <w:tc>
          <w:tcPr>
            <w:tcW w:w="3260" w:type="dxa"/>
            <w:vAlign w:val="center"/>
          </w:tcPr>
          <w:p w14:paraId="7027437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Education Managers nec</w:t>
            </w:r>
          </w:p>
        </w:tc>
        <w:tc>
          <w:tcPr>
            <w:tcW w:w="3193" w:type="dxa"/>
            <w:vMerge/>
            <w:shd w:val="clear" w:color="auto" w:fill="FFFFFF" w:themeFill="background1"/>
          </w:tcPr>
          <w:p w14:paraId="2D5431E7"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1FBB5A5D" w14:textId="77777777" w:rsidTr="00E31789">
        <w:trPr>
          <w:trHeight w:val="300"/>
        </w:trPr>
        <w:tc>
          <w:tcPr>
            <w:tcW w:w="1555" w:type="dxa"/>
            <w:vMerge/>
            <w:shd w:val="clear" w:color="auto" w:fill="EEF1F6"/>
          </w:tcPr>
          <w:p w14:paraId="559E950B"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3FC8B09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132411</w:t>
            </w:r>
          </w:p>
        </w:tc>
        <w:tc>
          <w:tcPr>
            <w:tcW w:w="3260" w:type="dxa"/>
            <w:vAlign w:val="bottom"/>
          </w:tcPr>
          <w:p w14:paraId="112AA84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Policy and Planning Manager</w:t>
            </w:r>
          </w:p>
        </w:tc>
        <w:tc>
          <w:tcPr>
            <w:tcW w:w="3193" w:type="dxa"/>
            <w:vMerge/>
            <w:shd w:val="clear" w:color="auto" w:fill="FFFFFF" w:themeFill="background1"/>
          </w:tcPr>
          <w:p w14:paraId="2C85AFF0"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2386FCB5" w14:textId="77777777" w:rsidTr="00E31789">
        <w:trPr>
          <w:trHeight w:val="300"/>
        </w:trPr>
        <w:tc>
          <w:tcPr>
            <w:tcW w:w="1555" w:type="dxa"/>
            <w:vMerge/>
            <w:shd w:val="clear" w:color="auto" w:fill="EEF1F6"/>
          </w:tcPr>
          <w:p w14:paraId="718662E5"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4B8CE57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111211</w:t>
            </w:r>
          </w:p>
        </w:tc>
        <w:tc>
          <w:tcPr>
            <w:tcW w:w="3260" w:type="dxa"/>
            <w:vAlign w:val="bottom"/>
          </w:tcPr>
          <w:p w14:paraId="774C3D9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Corporate General Manager</w:t>
            </w:r>
          </w:p>
        </w:tc>
        <w:tc>
          <w:tcPr>
            <w:tcW w:w="3193" w:type="dxa"/>
            <w:vMerge/>
            <w:shd w:val="clear" w:color="auto" w:fill="FFFFFF" w:themeFill="background1"/>
          </w:tcPr>
          <w:p w14:paraId="42E342D0"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7586A2BA" w14:textId="77777777" w:rsidTr="00E31789">
        <w:trPr>
          <w:trHeight w:val="300"/>
        </w:trPr>
        <w:tc>
          <w:tcPr>
            <w:tcW w:w="1555" w:type="dxa"/>
            <w:vMerge/>
            <w:shd w:val="clear" w:color="auto" w:fill="EEF1F6"/>
          </w:tcPr>
          <w:p w14:paraId="0C9968C0"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74543BAE"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100000</w:t>
            </w:r>
          </w:p>
        </w:tc>
        <w:tc>
          <w:tcPr>
            <w:tcW w:w="3260" w:type="dxa"/>
            <w:vAlign w:val="bottom"/>
          </w:tcPr>
          <w:p w14:paraId="5E82695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Managers nfd</w:t>
            </w:r>
          </w:p>
        </w:tc>
        <w:tc>
          <w:tcPr>
            <w:tcW w:w="3193" w:type="dxa"/>
            <w:vMerge/>
            <w:shd w:val="clear" w:color="auto" w:fill="FFFFFF" w:themeFill="background1"/>
          </w:tcPr>
          <w:p w14:paraId="4C0EF981"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59AC9D10" w14:textId="77777777" w:rsidTr="00E31789">
        <w:trPr>
          <w:trHeight w:val="300"/>
        </w:trPr>
        <w:tc>
          <w:tcPr>
            <w:tcW w:w="1555" w:type="dxa"/>
            <w:vMerge/>
            <w:shd w:val="clear" w:color="auto" w:fill="EEF1F6"/>
          </w:tcPr>
          <w:p w14:paraId="491DA3BE"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111F98B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130000</w:t>
            </w:r>
          </w:p>
        </w:tc>
        <w:tc>
          <w:tcPr>
            <w:tcW w:w="3260" w:type="dxa"/>
            <w:vAlign w:val="bottom"/>
          </w:tcPr>
          <w:p w14:paraId="0431DB5B"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Specialist Managers nfd</w:t>
            </w:r>
          </w:p>
        </w:tc>
        <w:tc>
          <w:tcPr>
            <w:tcW w:w="3193" w:type="dxa"/>
            <w:vMerge/>
            <w:shd w:val="clear" w:color="auto" w:fill="FFFFFF" w:themeFill="background1"/>
          </w:tcPr>
          <w:p w14:paraId="07B8DAC0"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57E1AC62" w14:textId="77777777" w:rsidTr="00E31789">
        <w:trPr>
          <w:trHeight w:val="300"/>
        </w:trPr>
        <w:tc>
          <w:tcPr>
            <w:tcW w:w="1555" w:type="dxa"/>
            <w:vMerge/>
            <w:shd w:val="clear" w:color="auto" w:fill="EEF1F6"/>
          </w:tcPr>
          <w:p w14:paraId="4E125A2F"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311AA21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132211</w:t>
            </w:r>
          </w:p>
        </w:tc>
        <w:tc>
          <w:tcPr>
            <w:tcW w:w="3260" w:type="dxa"/>
            <w:vAlign w:val="bottom"/>
          </w:tcPr>
          <w:p w14:paraId="65C8AD6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Finance Manager</w:t>
            </w:r>
          </w:p>
        </w:tc>
        <w:tc>
          <w:tcPr>
            <w:tcW w:w="3193" w:type="dxa"/>
            <w:vMerge/>
            <w:shd w:val="clear" w:color="auto" w:fill="FFFFFF" w:themeFill="background1"/>
          </w:tcPr>
          <w:p w14:paraId="5EB16E4F"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3A8A9D35" w14:textId="77777777" w:rsidTr="00E31789">
        <w:trPr>
          <w:trHeight w:val="300"/>
        </w:trPr>
        <w:tc>
          <w:tcPr>
            <w:tcW w:w="1555" w:type="dxa"/>
            <w:vMerge/>
            <w:shd w:val="clear" w:color="auto" w:fill="EEF1F6"/>
          </w:tcPr>
          <w:p w14:paraId="079F03B9"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7A5E74B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149212</w:t>
            </w:r>
          </w:p>
        </w:tc>
        <w:tc>
          <w:tcPr>
            <w:tcW w:w="3260" w:type="dxa"/>
            <w:vAlign w:val="bottom"/>
          </w:tcPr>
          <w:p w14:paraId="14AFBC1D"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Customer Service Manager</w:t>
            </w:r>
          </w:p>
        </w:tc>
        <w:tc>
          <w:tcPr>
            <w:tcW w:w="3193" w:type="dxa"/>
            <w:vMerge/>
            <w:shd w:val="clear" w:color="auto" w:fill="FFFFFF" w:themeFill="background1"/>
          </w:tcPr>
          <w:p w14:paraId="34D06A4B"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0907161A" w14:textId="77777777" w:rsidTr="00E31789">
        <w:trPr>
          <w:trHeight w:val="300"/>
        </w:trPr>
        <w:tc>
          <w:tcPr>
            <w:tcW w:w="1555" w:type="dxa"/>
            <w:vMerge/>
            <w:shd w:val="clear" w:color="auto" w:fill="EEF1F6"/>
          </w:tcPr>
          <w:p w14:paraId="72BDCB8C"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7636BD21"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135112</w:t>
            </w:r>
          </w:p>
        </w:tc>
        <w:tc>
          <w:tcPr>
            <w:tcW w:w="3260" w:type="dxa"/>
            <w:vAlign w:val="bottom"/>
          </w:tcPr>
          <w:p w14:paraId="2D02A42F"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ICT Project Manager</w:t>
            </w:r>
          </w:p>
        </w:tc>
        <w:tc>
          <w:tcPr>
            <w:tcW w:w="3193" w:type="dxa"/>
            <w:vMerge/>
            <w:shd w:val="clear" w:color="auto" w:fill="FFFFFF" w:themeFill="background1"/>
          </w:tcPr>
          <w:p w14:paraId="59616907"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74F8D659" w14:textId="77777777" w:rsidTr="00E31789">
        <w:trPr>
          <w:trHeight w:val="300"/>
        </w:trPr>
        <w:tc>
          <w:tcPr>
            <w:tcW w:w="1555" w:type="dxa"/>
            <w:vMerge/>
            <w:shd w:val="clear" w:color="auto" w:fill="EEF1F6"/>
          </w:tcPr>
          <w:p w14:paraId="6FE78DC7"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2136FD3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149913</w:t>
            </w:r>
          </w:p>
        </w:tc>
        <w:tc>
          <w:tcPr>
            <w:tcW w:w="3260" w:type="dxa"/>
            <w:vAlign w:val="bottom"/>
          </w:tcPr>
          <w:p w14:paraId="559BD18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Facilities Manager</w:t>
            </w:r>
          </w:p>
        </w:tc>
        <w:tc>
          <w:tcPr>
            <w:tcW w:w="3193" w:type="dxa"/>
            <w:vMerge/>
            <w:shd w:val="clear" w:color="auto" w:fill="FFFFFF" w:themeFill="background1"/>
          </w:tcPr>
          <w:p w14:paraId="55C15579"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7633B3FB" w14:textId="77777777" w:rsidTr="00E31789">
        <w:trPr>
          <w:trHeight w:val="300"/>
        </w:trPr>
        <w:tc>
          <w:tcPr>
            <w:tcW w:w="1555" w:type="dxa"/>
            <w:vMerge/>
            <w:shd w:val="clear" w:color="auto" w:fill="EEF1F6"/>
          </w:tcPr>
          <w:p w14:paraId="09441AE8"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14C8F27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132111</w:t>
            </w:r>
          </w:p>
        </w:tc>
        <w:tc>
          <w:tcPr>
            <w:tcW w:w="3260" w:type="dxa"/>
            <w:vAlign w:val="bottom"/>
          </w:tcPr>
          <w:p w14:paraId="7C09FA25"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Corporate Services Manager</w:t>
            </w:r>
          </w:p>
        </w:tc>
        <w:tc>
          <w:tcPr>
            <w:tcW w:w="3193" w:type="dxa"/>
            <w:vMerge/>
            <w:shd w:val="clear" w:color="auto" w:fill="FFFFFF" w:themeFill="background1"/>
          </w:tcPr>
          <w:p w14:paraId="25CE4B8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1A91DAE4" w14:textId="77777777" w:rsidTr="00E31789">
        <w:trPr>
          <w:trHeight w:val="300"/>
        </w:trPr>
        <w:tc>
          <w:tcPr>
            <w:tcW w:w="1555" w:type="dxa"/>
            <w:vMerge/>
            <w:shd w:val="clear" w:color="auto" w:fill="EEF1F6"/>
          </w:tcPr>
          <w:p w14:paraId="388CAAC1"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077F90A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139999</w:t>
            </w:r>
          </w:p>
        </w:tc>
        <w:tc>
          <w:tcPr>
            <w:tcW w:w="3260" w:type="dxa"/>
            <w:vAlign w:val="bottom"/>
          </w:tcPr>
          <w:p w14:paraId="43DCDE5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Specialist Managers nec</w:t>
            </w:r>
          </w:p>
        </w:tc>
        <w:tc>
          <w:tcPr>
            <w:tcW w:w="3193" w:type="dxa"/>
            <w:vMerge/>
            <w:shd w:val="clear" w:color="auto" w:fill="FFFFFF" w:themeFill="background1"/>
          </w:tcPr>
          <w:p w14:paraId="0B496AC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19E1456E" w14:textId="77777777" w:rsidTr="00E31789">
        <w:trPr>
          <w:trHeight w:val="300"/>
        </w:trPr>
        <w:tc>
          <w:tcPr>
            <w:tcW w:w="1555" w:type="dxa"/>
            <w:vMerge/>
            <w:shd w:val="clear" w:color="auto" w:fill="EEF1F6"/>
          </w:tcPr>
          <w:p w14:paraId="68870FB4"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center"/>
          </w:tcPr>
          <w:p w14:paraId="2072530B"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134400</w:t>
            </w:r>
          </w:p>
        </w:tc>
        <w:tc>
          <w:tcPr>
            <w:tcW w:w="3260" w:type="dxa"/>
            <w:vAlign w:val="center"/>
          </w:tcPr>
          <w:p w14:paraId="5CE8A0FD"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Other Education Managers nfd</w:t>
            </w:r>
          </w:p>
        </w:tc>
        <w:tc>
          <w:tcPr>
            <w:tcW w:w="3193" w:type="dxa"/>
            <w:vMerge/>
            <w:shd w:val="clear" w:color="auto" w:fill="FFFFFF" w:themeFill="background1"/>
          </w:tcPr>
          <w:p w14:paraId="6374FB80"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0501A0DA" w14:textId="77777777" w:rsidTr="00E31789">
        <w:trPr>
          <w:trHeight w:val="300"/>
        </w:trPr>
        <w:tc>
          <w:tcPr>
            <w:tcW w:w="1555" w:type="dxa"/>
            <w:vMerge/>
            <w:shd w:val="clear" w:color="auto" w:fill="EEF1F6"/>
          </w:tcPr>
          <w:p w14:paraId="72313DF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6622FEA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131114</w:t>
            </w:r>
          </w:p>
        </w:tc>
        <w:tc>
          <w:tcPr>
            <w:tcW w:w="3260" w:type="dxa"/>
            <w:vAlign w:val="bottom"/>
          </w:tcPr>
          <w:p w14:paraId="678F2E7E"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Public Relations Manager</w:t>
            </w:r>
          </w:p>
        </w:tc>
        <w:tc>
          <w:tcPr>
            <w:tcW w:w="3193" w:type="dxa"/>
            <w:vMerge/>
            <w:shd w:val="clear" w:color="auto" w:fill="FFFFFF" w:themeFill="background1"/>
          </w:tcPr>
          <w:p w14:paraId="7AF786F7"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699873F7" w14:textId="77777777" w:rsidTr="00E31789">
        <w:trPr>
          <w:trHeight w:val="300"/>
        </w:trPr>
        <w:tc>
          <w:tcPr>
            <w:tcW w:w="1555" w:type="dxa"/>
            <w:vMerge/>
            <w:shd w:val="clear" w:color="auto" w:fill="EEF1F6"/>
          </w:tcPr>
          <w:p w14:paraId="2A848D0F"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3A24455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134000</w:t>
            </w:r>
          </w:p>
        </w:tc>
        <w:tc>
          <w:tcPr>
            <w:tcW w:w="3260" w:type="dxa"/>
            <w:vAlign w:val="bottom"/>
          </w:tcPr>
          <w:p w14:paraId="1C8468EE"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Education, Health and Welfare Services Managers nfd</w:t>
            </w:r>
          </w:p>
        </w:tc>
        <w:tc>
          <w:tcPr>
            <w:tcW w:w="3193" w:type="dxa"/>
            <w:vMerge/>
            <w:shd w:val="clear" w:color="auto" w:fill="FFFFFF" w:themeFill="background1"/>
          </w:tcPr>
          <w:p w14:paraId="1EBA3BE5"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3F43A9F0" w14:textId="77777777" w:rsidTr="00E31789">
        <w:trPr>
          <w:trHeight w:val="300"/>
        </w:trPr>
        <w:tc>
          <w:tcPr>
            <w:tcW w:w="1555" w:type="dxa"/>
            <w:vMerge/>
            <w:shd w:val="clear" w:color="auto" w:fill="EEF1F6"/>
          </w:tcPr>
          <w:p w14:paraId="18A5B847"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center"/>
          </w:tcPr>
          <w:p w14:paraId="289B44B3"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134412</w:t>
            </w:r>
          </w:p>
        </w:tc>
        <w:tc>
          <w:tcPr>
            <w:tcW w:w="3260" w:type="dxa"/>
            <w:vAlign w:val="center"/>
          </w:tcPr>
          <w:p w14:paraId="67A756C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Regional Education Manager</w:t>
            </w:r>
          </w:p>
        </w:tc>
        <w:tc>
          <w:tcPr>
            <w:tcW w:w="3193" w:type="dxa"/>
            <w:vMerge/>
            <w:shd w:val="clear" w:color="auto" w:fill="FFFFFF" w:themeFill="background1"/>
          </w:tcPr>
          <w:p w14:paraId="19B7E7C8"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694E50DE" w14:textId="77777777" w:rsidTr="00E31789">
        <w:trPr>
          <w:trHeight w:val="300"/>
        </w:trPr>
        <w:tc>
          <w:tcPr>
            <w:tcW w:w="1555" w:type="dxa"/>
            <w:vMerge/>
            <w:shd w:val="clear" w:color="auto" w:fill="EEF1F6"/>
          </w:tcPr>
          <w:p w14:paraId="21DB4491"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center"/>
          </w:tcPr>
          <w:p w14:paraId="73E2231F"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249112</w:t>
            </w:r>
          </w:p>
        </w:tc>
        <w:tc>
          <w:tcPr>
            <w:tcW w:w="3260" w:type="dxa"/>
            <w:vAlign w:val="center"/>
          </w:tcPr>
          <w:p w14:paraId="456A622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Education Reviewer</w:t>
            </w:r>
          </w:p>
        </w:tc>
        <w:tc>
          <w:tcPr>
            <w:tcW w:w="3193" w:type="dxa"/>
            <w:vMerge/>
            <w:shd w:val="clear" w:color="auto" w:fill="FFFFFF" w:themeFill="background1"/>
          </w:tcPr>
          <w:p w14:paraId="1D448927"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6C6E927A" w14:textId="77777777" w:rsidTr="00E31789">
        <w:trPr>
          <w:trHeight w:val="300"/>
        </w:trPr>
        <w:tc>
          <w:tcPr>
            <w:tcW w:w="1555" w:type="dxa"/>
            <w:vMerge/>
            <w:shd w:val="clear" w:color="auto" w:fill="EEF1F6"/>
          </w:tcPr>
          <w:p w14:paraId="7C813B39"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04C9ED1A"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132000</w:t>
            </w:r>
          </w:p>
        </w:tc>
        <w:tc>
          <w:tcPr>
            <w:tcW w:w="3260" w:type="dxa"/>
            <w:vAlign w:val="bottom"/>
          </w:tcPr>
          <w:p w14:paraId="5199A76E"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Business Administration Managers nfd</w:t>
            </w:r>
          </w:p>
        </w:tc>
        <w:tc>
          <w:tcPr>
            <w:tcW w:w="3193" w:type="dxa"/>
            <w:vMerge/>
            <w:shd w:val="clear" w:color="auto" w:fill="FFFFFF" w:themeFill="background1"/>
          </w:tcPr>
          <w:p w14:paraId="0EB90E84"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2EE10888" w14:textId="77777777" w:rsidTr="00E31789">
        <w:trPr>
          <w:trHeight w:val="300"/>
        </w:trPr>
        <w:tc>
          <w:tcPr>
            <w:tcW w:w="1555" w:type="dxa"/>
            <w:vMerge/>
            <w:shd w:val="clear" w:color="auto" w:fill="EEF1F6"/>
          </w:tcPr>
          <w:p w14:paraId="68F638D2"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48EEBCB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135100</w:t>
            </w:r>
          </w:p>
        </w:tc>
        <w:tc>
          <w:tcPr>
            <w:tcW w:w="3260" w:type="dxa"/>
            <w:vAlign w:val="bottom"/>
          </w:tcPr>
          <w:p w14:paraId="09CA659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ICT Managers nfd</w:t>
            </w:r>
          </w:p>
        </w:tc>
        <w:tc>
          <w:tcPr>
            <w:tcW w:w="3193" w:type="dxa"/>
            <w:vMerge/>
            <w:shd w:val="clear" w:color="auto" w:fill="FFFFFF" w:themeFill="background1"/>
          </w:tcPr>
          <w:p w14:paraId="34A812AB"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6A27390A" w14:textId="77777777" w:rsidTr="00E31789">
        <w:trPr>
          <w:trHeight w:val="300"/>
        </w:trPr>
        <w:tc>
          <w:tcPr>
            <w:tcW w:w="1555" w:type="dxa"/>
            <w:vMerge/>
            <w:shd w:val="clear" w:color="auto" w:fill="EEF1F6"/>
          </w:tcPr>
          <w:p w14:paraId="0A111E27"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4DBE825A"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135199</w:t>
            </w:r>
          </w:p>
        </w:tc>
        <w:tc>
          <w:tcPr>
            <w:tcW w:w="3260" w:type="dxa"/>
            <w:vAlign w:val="bottom"/>
          </w:tcPr>
          <w:p w14:paraId="209B9BC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ICT Managers nec</w:t>
            </w:r>
          </w:p>
        </w:tc>
        <w:tc>
          <w:tcPr>
            <w:tcW w:w="3193" w:type="dxa"/>
            <w:vMerge/>
            <w:shd w:val="clear" w:color="auto" w:fill="FFFFFF" w:themeFill="background1"/>
          </w:tcPr>
          <w:p w14:paraId="0CB3D60C"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27430C01" w14:textId="77777777" w:rsidTr="00E31789">
        <w:trPr>
          <w:trHeight w:val="300"/>
        </w:trPr>
        <w:tc>
          <w:tcPr>
            <w:tcW w:w="1555" w:type="dxa"/>
            <w:vMerge/>
            <w:shd w:val="clear" w:color="auto" w:fill="EEF1F6"/>
          </w:tcPr>
          <w:p w14:paraId="7DC414B0"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665A9EE5"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135111</w:t>
            </w:r>
          </w:p>
        </w:tc>
        <w:tc>
          <w:tcPr>
            <w:tcW w:w="3260" w:type="dxa"/>
            <w:vAlign w:val="bottom"/>
          </w:tcPr>
          <w:p w14:paraId="3D8E93E1"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Chief Information Officer</w:t>
            </w:r>
          </w:p>
        </w:tc>
        <w:tc>
          <w:tcPr>
            <w:tcW w:w="3193" w:type="dxa"/>
            <w:vMerge/>
            <w:shd w:val="clear" w:color="auto" w:fill="FFFFFF" w:themeFill="background1"/>
          </w:tcPr>
          <w:p w14:paraId="21CBECAA"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55B73624" w14:textId="77777777" w:rsidTr="00E31789">
        <w:trPr>
          <w:trHeight w:val="300"/>
        </w:trPr>
        <w:tc>
          <w:tcPr>
            <w:tcW w:w="1555" w:type="dxa"/>
            <w:vMerge/>
            <w:shd w:val="clear" w:color="auto" w:fill="EEF1F6"/>
          </w:tcPr>
          <w:p w14:paraId="5230387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1EF2E641"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134311</w:t>
            </w:r>
          </w:p>
        </w:tc>
        <w:tc>
          <w:tcPr>
            <w:tcW w:w="3260" w:type="dxa"/>
            <w:vAlign w:val="bottom"/>
          </w:tcPr>
          <w:p w14:paraId="677807DB"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School Principal</w:t>
            </w:r>
          </w:p>
        </w:tc>
        <w:tc>
          <w:tcPr>
            <w:tcW w:w="3193" w:type="dxa"/>
            <w:vMerge/>
            <w:shd w:val="clear" w:color="auto" w:fill="FFFFFF" w:themeFill="background1"/>
          </w:tcPr>
          <w:p w14:paraId="02D237E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49F7B34E" w14:textId="77777777" w:rsidTr="00E31789">
        <w:trPr>
          <w:trHeight w:val="300"/>
        </w:trPr>
        <w:tc>
          <w:tcPr>
            <w:tcW w:w="1555" w:type="dxa"/>
            <w:vMerge/>
            <w:shd w:val="clear" w:color="auto" w:fill="EEF1F6"/>
          </w:tcPr>
          <w:p w14:paraId="70A4D6C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7ED056A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224214</w:t>
            </w:r>
          </w:p>
        </w:tc>
        <w:tc>
          <w:tcPr>
            <w:tcW w:w="3260" w:type="dxa"/>
            <w:vAlign w:val="bottom"/>
          </w:tcPr>
          <w:p w14:paraId="19990DBA"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Records Manager</w:t>
            </w:r>
          </w:p>
        </w:tc>
        <w:tc>
          <w:tcPr>
            <w:tcW w:w="3193" w:type="dxa"/>
            <w:vMerge/>
            <w:shd w:val="clear" w:color="auto" w:fill="FFFFFF" w:themeFill="background1"/>
          </w:tcPr>
          <w:p w14:paraId="1FB04FF2"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14473D9A" w14:textId="77777777" w:rsidTr="00E31789">
        <w:trPr>
          <w:trHeight w:val="300"/>
        </w:trPr>
        <w:tc>
          <w:tcPr>
            <w:tcW w:w="1555" w:type="dxa"/>
            <w:vMerge/>
            <w:shd w:val="clear" w:color="auto" w:fill="EEF1F6"/>
          </w:tcPr>
          <w:p w14:paraId="3EA6A09C"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196C626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222312</w:t>
            </w:r>
          </w:p>
        </w:tc>
        <w:tc>
          <w:tcPr>
            <w:tcW w:w="3260" w:type="dxa"/>
            <w:vAlign w:val="bottom"/>
          </w:tcPr>
          <w:p w14:paraId="6E06F7AE"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Financial Investment Manager</w:t>
            </w:r>
          </w:p>
        </w:tc>
        <w:tc>
          <w:tcPr>
            <w:tcW w:w="3193" w:type="dxa"/>
            <w:vMerge/>
            <w:shd w:val="clear" w:color="auto" w:fill="FFFFFF" w:themeFill="background1"/>
          </w:tcPr>
          <w:p w14:paraId="1C58C340"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3AFFFF66" w14:textId="77777777" w:rsidTr="00E31789">
        <w:trPr>
          <w:trHeight w:val="300"/>
        </w:trPr>
        <w:tc>
          <w:tcPr>
            <w:tcW w:w="1555" w:type="dxa"/>
            <w:vMerge/>
            <w:shd w:val="clear" w:color="auto" w:fill="EEF1F6"/>
          </w:tcPr>
          <w:p w14:paraId="0C12FE2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4FAC393D"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134299</w:t>
            </w:r>
          </w:p>
        </w:tc>
        <w:tc>
          <w:tcPr>
            <w:tcW w:w="3260" w:type="dxa"/>
            <w:vAlign w:val="bottom"/>
          </w:tcPr>
          <w:p w14:paraId="1D1CBFAA"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Health and Welfare Services Managers nec</w:t>
            </w:r>
          </w:p>
        </w:tc>
        <w:tc>
          <w:tcPr>
            <w:tcW w:w="3193" w:type="dxa"/>
            <w:vMerge/>
            <w:shd w:val="clear" w:color="auto" w:fill="FFFFFF" w:themeFill="background1"/>
          </w:tcPr>
          <w:p w14:paraId="72F1A2D0"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3322B326" w14:textId="77777777" w:rsidTr="00E31789">
        <w:trPr>
          <w:trHeight w:val="300"/>
        </w:trPr>
        <w:tc>
          <w:tcPr>
            <w:tcW w:w="1555" w:type="dxa"/>
            <w:vMerge/>
            <w:shd w:val="clear" w:color="auto" w:fill="EEF1F6"/>
          </w:tcPr>
          <w:p w14:paraId="09F5AD05"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30FB5ECD"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225211</w:t>
            </w:r>
          </w:p>
        </w:tc>
        <w:tc>
          <w:tcPr>
            <w:tcW w:w="3260" w:type="dxa"/>
            <w:vAlign w:val="bottom"/>
          </w:tcPr>
          <w:p w14:paraId="3670AAFA"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ICT Account Manager</w:t>
            </w:r>
          </w:p>
        </w:tc>
        <w:tc>
          <w:tcPr>
            <w:tcW w:w="3193" w:type="dxa"/>
            <w:vMerge/>
            <w:shd w:val="clear" w:color="auto" w:fill="FFFFFF" w:themeFill="background1"/>
          </w:tcPr>
          <w:p w14:paraId="1B5BFDC2"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38906E64" w14:textId="77777777" w:rsidTr="00E31789">
        <w:trPr>
          <w:trHeight w:val="558"/>
        </w:trPr>
        <w:tc>
          <w:tcPr>
            <w:tcW w:w="1555" w:type="dxa"/>
            <w:vMerge w:val="restart"/>
            <w:shd w:val="clear" w:color="auto" w:fill="EEF1F6"/>
          </w:tcPr>
          <w:p w14:paraId="553F911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Quality Assurance and Compliance </w:t>
            </w:r>
          </w:p>
        </w:tc>
        <w:tc>
          <w:tcPr>
            <w:tcW w:w="992" w:type="dxa"/>
            <w:shd w:val="clear" w:color="auto" w:fill="FFFFFF" w:themeFill="background1"/>
            <w:vAlign w:val="center"/>
          </w:tcPr>
          <w:p w14:paraId="02AD3855"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139914</w:t>
            </w:r>
          </w:p>
        </w:tc>
        <w:tc>
          <w:tcPr>
            <w:tcW w:w="3260" w:type="dxa"/>
            <w:shd w:val="clear" w:color="auto" w:fill="FFFFFF" w:themeFill="background1"/>
            <w:vAlign w:val="center"/>
          </w:tcPr>
          <w:p w14:paraId="4A56D1B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Quality Assurance Manager</w:t>
            </w:r>
          </w:p>
        </w:tc>
        <w:tc>
          <w:tcPr>
            <w:tcW w:w="3193" w:type="dxa"/>
            <w:vMerge w:val="restart"/>
            <w:shd w:val="clear" w:color="auto" w:fill="FFFFFF" w:themeFill="background1"/>
          </w:tcPr>
          <w:p w14:paraId="7FB86C9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Compliance Officer  </w:t>
            </w:r>
          </w:p>
          <w:p w14:paraId="6129D6A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Compliance Manager (Leadership crossover)</w:t>
            </w:r>
          </w:p>
          <w:p w14:paraId="1D1CDF1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Compliance Coordinator  </w:t>
            </w:r>
          </w:p>
          <w:p w14:paraId="77A7836B"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Risk and Compliance Coordinator  </w:t>
            </w:r>
          </w:p>
          <w:p w14:paraId="706988B1"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Training and Compliance Coordinator  </w:t>
            </w:r>
          </w:p>
          <w:p w14:paraId="1BADF30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Quality Assurance Consultant</w:t>
            </w:r>
          </w:p>
          <w:p w14:paraId="7B5014D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Quality Teaching and Learning Consultant </w:t>
            </w:r>
          </w:p>
          <w:p w14:paraId="4A3CBE78" w14:textId="3B35AA25"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Quality </w:t>
            </w:r>
            <w:r w:rsidR="00547CA4">
              <w:rPr>
                <w:rFonts w:asciiTheme="minorHAnsi" w:hAnsiTheme="minorHAnsi" w:cstheme="minorHAnsi"/>
                <w:sz w:val="18"/>
                <w:szCs w:val="18"/>
                <w:lang w:val="en-US"/>
              </w:rPr>
              <w:t xml:space="preserve">Assurance </w:t>
            </w:r>
            <w:r w:rsidRPr="00E17A15">
              <w:rPr>
                <w:rFonts w:asciiTheme="minorHAnsi" w:hAnsiTheme="minorHAnsi" w:cstheme="minorHAnsi"/>
                <w:sz w:val="18"/>
                <w:szCs w:val="18"/>
                <w:lang w:val="en-US"/>
              </w:rPr>
              <w:t>and Compliance Officer</w:t>
            </w:r>
          </w:p>
          <w:p w14:paraId="1763E25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Assessment Quality Officer  </w:t>
            </w:r>
          </w:p>
          <w:p w14:paraId="6DEE771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Quality Manager (Leadership crossover)</w:t>
            </w:r>
          </w:p>
          <w:p w14:paraId="705BD7F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Quality Specialist </w:t>
            </w:r>
          </w:p>
          <w:p w14:paraId="0E790F8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Coordinator VET Quality and LLN Services (Teach, Train Assess crossover)</w:t>
            </w:r>
          </w:p>
          <w:p w14:paraId="5554633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Head of Academic Quality (Leadership crossover)</w:t>
            </w:r>
          </w:p>
          <w:p w14:paraId="216EF3EC"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VET Curriculum &amp; Quality Assurance Manager (Leadership crossover)</w:t>
            </w:r>
          </w:p>
        </w:tc>
      </w:tr>
      <w:tr w:rsidR="00E17A15" w:rsidRPr="00E17A15" w14:paraId="1CB6A34E" w14:textId="77777777" w:rsidTr="00E31789">
        <w:trPr>
          <w:trHeight w:val="558"/>
        </w:trPr>
        <w:tc>
          <w:tcPr>
            <w:tcW w:w="1555" w:type="dxa"/>
            <w:vMerge/>
            <w:shd w:val="clear" w:color="auto" w:fill="EEF1F6"/>
          </w:tcPr>
          <w:p w14:paraId="17E7BB0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2FFE1CE9"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599599</w:t>
            </w:r>
          </w:p>
        </w:tc>
        <w:tc>
          <w:tcPr>
            <w:tcW w:w="3260" w:type="dxa"/>
            <w:shd w:val="clear" w:color="auto" w:fill="FFFFFF" w:themeFill="background1"/>
            <w:vAlign w:val="bottom"/>
          </w:tcPr>
          <w:p w14:paraId="42A7E0AD"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Inspectors and Regulatory Officers nec</w:t>
            </w:r>
          </w:p>
        </w:tc>
        <w:tc>
          <w:tcPr>
            <w:tcW w:w="3193" w:type="dxa"/>
            <w:vMerge/>
            <w:shd w:val="clear" w:color="auto" w:fill="FFFFFF" w:themeFill="background1"/>
          </w:tcPr>
          <w:p w14:paraId="3D631202"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6101A4CD" w14:textId="77777777" w:rsidTr="00E31789">
        <w:trPr>
          <w:trHeight w:val="300"/>
        </w:trPr>
        <w:tc>
          <w:tcPr>
            <w:tcW w:w="1555" w:type="dxa"/>
            <w:vMerge/>
            <w:shd w:val="clear" w:color="auto" w:fill="EEF1F6"/>
          </w:tcPr>
          <w:p w14:paraId="25A3B33D"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1420051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599500</w:t>
            </w:r>
          </w:p>
        </w:tc>
        <w:tc>
          <w:tcPr>
            <w:tcW w:w="3260" w:type="dxa"/>
            <w:shd w:val="clear" w:color="auto" w:fill="FFFFFF" w:themeFill="background1"/>
            <w:vAlign w:val="bottom"/>
          </w:tcPr>
          <w:p w14:paraId="2B6F828B"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Inspectors and Regulatory Officers nfd</w:t>
            </w:r>
          </w:p>
        </w:tc>
        <w:tc>
          <w:tcPr>
            <w:tcW w:w="3193" w:type="dxa"/>
            <w:vMerge/>
            <w:shd w:val="clear" w:color="auto" w:fill="D9E1F2"/>
          </w:tcPr>
          <w:p w14:paraId="6FEFE3C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7663A697" w14:textId="77777777" w:rsidTr="00E31789">
        <w:trPr>
          <w:trHeight w:val="300"/>
        </w:trPr>
        <w:tc>
          <w:tcPr>
            <w:tcW w:w="1555" w:type="dxa"/>
            <w:vMerge/>
            <w:shd w:val="clear" w:color="auto" w:fill="EEF1F6"/>
          </w:tcPr>
          <w:p w14:paraId="171C3B25"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3115B8C8"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221213</w:t>
            </w:r>
          </w:p>
        </w:tc>
        <w:tc>
          <w:tcPr>
            <w:tcW w:w="3260" w:type="dxa"/>
            <w:shd w:val="clear" w:color="auto" w:fill="FFFFFF" w:themeFill="background1"/>
            <w:vAlign w:val="bottom"/>
          </w:tcPr>
          <w:p w14:paraId="295EAF4B"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External Auditor</w:t>
            </w:r>
          </w:p>
        </w:tc>
        <w:tc>
          <w:tcPr>
            <w:tcW w:w="3193" w:type="dxa"/>
            <w:vMerge/>
            <w:shd w:val="clear" w:color="auto" w:fill="D9E1F2"/>
          </w:tcPr>
          <w:p w14:paraId="30779388"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4B642061" w14:textId="77777777" w:rsidTr="00E31789">
        <w:trPr>
          <w:trHeight w:val="563"/>
        </w:trPr>
        <w:tc>
          <w:tcPr>
            <w:tcW w:w="1555" w:type="dxa"/>
            <w:vMerge w:val="restart"/>
            <w:shd w:val="clear" w:color="auto" w:fill="EEF1F6"/>
          </w:tcPr>
          <w:p w14:paraId="67FAD50E"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Learning support</w:t>
            </w:r>
          </w:p>
        </w:tc>
        <w:tc>
          <w:tcPr>
            <w:tcW w:w="992" w:type="dxa"/>
            <w:shd w:val="clear" w:color="auto" w:fill="FFFFFF" w:themeFill="background1"/>
            <w:vAlign w:val="center"/>
          </w:tcPr>
          <w:p w14:paraId="1CCC710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422116</w:t>
            </w:r>
          </w:p>
        </w:tc>
        <w:tc>
          <w:tcPr>
            <w:tcW w:w="3260" w:type="dxa"/>
            <w:shd w:val="clear" w:color="auto" w:fill="FFFFFF" w:themeFill="background1"/>
            <w:vAlign w:val="center"/>
          </w:tcPr>
          <w:p w14:paraId="6A17CA9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Teachers' Aide</w:t>
            </w:r>
          </w:p>
        </w:tc>
        <w:tc>
          <w:tcPr>
            <w:tcW w:w="3193" w:type="dxa"/>
            <w:vMerge w:val="restart"/>
            <w:shd w:val="clear" w:color="auto" w:fill="FFFFFF" w:themeFill="background1"/>
          </w:tcPr>
          <w:p w14:paraId="2DC3E88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Education Aide </w:t>
            </w:r>
          </w:p>
          <w:p w14:paraId="4FBC95E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Student Support Officer </w:t>
            </w:r>
          </w:p>
          <w:p w14:paraId="10CF995C"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Counsellor </w:t>
            </w:r>
          </w:p>
          <w:p w14:paraId="073B1B1E" w14:textId="77777777" w:rsidR="00E17A15" w:rsidRPr="00E17A15" w:rsidRDefault="00E17A15" w:rsidP="00495F38">
            <w:pPr>
              <w:spacing w:before="24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Librarian (and) Library Manager </w:t>
            </w:r>
          </w:p>
          <w:p w14:paraId="018C0653"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Enrolment Officer </w:t>
            </w:r>
          </w:p>
          <w:p w14:paraId="73DB490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Student Administration Manager</w:t>
            </w:r>
          </w:p>
          <w:p w14:paraId="3E8CCE09" w14:textId="77777777" w:rsidR="00E17A15" w:rsidRPr="00E17A15" w:rsidRDefault="00E17A15" w:rsidP="00E31789">
            <w:pPr>
              <w:spacing w:before="120" w:after="120" w:line="240" w:lineRule="auto"/>
              <w:rPr>
                <w:rFonts w:asciiTheme="minorHAnsi" w:hAnsiTheme="minorHAnsi" w:cstheme="minorHAnsi"/>
                <w:sz w:val="18"/>
                <w:szCs w:val="18"/>
                <w:lang w:val="en-US"/>
              </w:rPr>
            </w:pPr>
          </w:p>
          <w:p w14:paraId="3AC8FB79"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4BA70FDE" w14:textId="77777777" w:rsidTr="00E31789">
        <w:trPr>
          <w:trHeight w:val="563"/>
        </w:trPr>
        <w:tc>
          <w:tcPr>
            <w:tcW w:w="1555" w:type="dxa"/>
            <w:vMerge/>
            <w:shd w:val="clear" w:color="auto" w:fill="EEF1F6"/>
          </w:tcPr>
          <w:p w14:paraId="5B3B17C2"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050B443F"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224611</w:t>
            </w:r>
          </w:p>
        </w:tc>
        <w:tc>
          <w:tcPr>
            <w:tcW w:w="3260" w:type="dxa"/>
            <w:shd w:val="clear" w:color="auto" w:fill="FFFFFF" w:themeFill="background1"/>
            <w:vAlign w:val="bottom"/>
          </w:tcPr>
          <w:p w14:paraId="1C45E56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Librarian</w:t>
            </w:r>
          </w:p>
        </w:tc>
        <w:tc>
          <w:tcPr>
            <w:tcW w:w="3193" w:type="dxa"/>
            <w:vMerge/>
            <w:shd w:val="clear" w:color="auto" w:fill="FFFFFF" w:themeFill="background1"/>
          </w:tcPr>
          <w:p w14:paraId="407E62F4"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519728A7" w14:textId="77777777" w:rsidTr="00E31789">
        <w:trPr>
          <w:trHeight w:val="563"/>
        </w:trPr>
        <w:tc>
          <w:tcPr>
            <w:tcW w:w="1555" w:type="dxa"/>
            <w:vMerge/>
            <w:shd w:val="clear" w:color="auto" w:fill="EEF1F6"/>
          </w:tcPr>
          <w:p w14:paraId="6318A0B2"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42D9BFD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272115</w:t>
            </w:r>
          </w:p>
        </w:tc>
        <w:tc>
          <w:tcPr>
            <w:tcW w:w="3260" w:type="dxa"/>
            <w:shd w:val="clear" w:color="auto" w:fill="FFFFFF" w:themeFill="background1"/>
            <w:vAlign w:val="bottom"/>
          </w:tcPr>
          <w:p w14:paraId="36A108D3"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Student Counsellor</w:t>
            </w:r>
          </w:p>
        </w:tc>
        <w:tc>
          <w:tcPr>
            <w:tcW w:w="3193" w:type="dxa"/>
            <w:vMerge/>
            <w:shd w:val="clear" w:color="auto" w:fill="FFFFFF" w:themeFill="background1"/>
          </w:tcPr>
          <w:p w14:paraId="5ADC5434"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49E9BB38" w14:textId="77777777" w:rsidTr="00E31789">
        <w:trPr>
          <w:trHeight w:val="563"/>
        </w:trPr>
        <w:tc>
          <w:tcPr>
            <w:tcW w:w="1555" w:type="dxa"/>
            <w:vMerge/>
            <w:shd w:val="clear" w:color="auto" w:fill="EEF1F6"/>
          </w:tcPr>
          <w:p w14:paraId="2EFF7FBC"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1AD42CCF"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399312</w:t>
            </w:r>
          </w:p>
        </w:tc>
        <w:tc>
          <w:tcPr>
            <w:tcW w:w="3260" w:type="dxa"/>
            <w:shd w:val="clear" w:color="auto" w:fill="FFFFFF" w:themeFill="background1"/>
            <w:vAlign w:val="bottom"/>
          </w:tcPr>
          <w:p w14:paraId="58C7CF0C"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Library Technician</w:t>
            </w:r>
          </w:p>
        </w:tc>
        <w:tc>
          <w:tcPr>
            <w:tcW w:w="3193" w:type="dxa"/>
            <w:vMerge/>
            <w:shd w:val="clear" w:color="auto" w:fill="FFFFFF" w:themeFill="background1"/>
          </w:tcPr>
          <w:p w14:paraId="045EF500"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0421279C" w14:textId="77777777" w:rsidTr="00E31789">
        <w:trPr>
          <w:trHeight w:val="563"/>
        </w:trPr>
        <w:tc>
          <w:tcPr>
            <w:tcW w:w="1555" w:type="dxa"/>
            <w:vMerge/>
            <w:shd w:val="clear" w:color="auto" w:fill="EEF1F6"/>
          </w:tcPr>
          <w:p w14:paraId="26C0325B"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36588CD3"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272199</w:t>
            </w:r>
          </w:p>
        </w:tc>
        <w:tc>
          <w:tcPr>
            <w:tcW w:w="3260" w:type="dxa"/>
            <w:shd w:val="clear" w:color="auto" w:fill="FFFFFF" w:themeFill="background1"/>
            <w:vAlign w:val="bottom"/>
          </w:tcPr>
          <w:p w14:paraId="7E1F443A"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Counsellors nec</w:t>
            </w:r>
          </w:p>
        </w:tc>
        <w:tc>
          <w:tcPr>
            <w:tcW w:w="3193" w:type="dxa"/>
            <w:vMerge/>
            <w:shd w:val="clear" w:color="auto" w:fill="FFFFFF" w:themeFill="background1"/>
          </w:tcPr>
          <w:p w14:paraId="1089738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72B1AC55" w14:textId="77777777" w:rsidTr="00E31789">
        <w:trPr>
          <w:trHeight w:val="563"/>
        </w:trPr>
        <w:tc>
          <w:tcPr>
            <w:tcW w:w="1555" w:type="dxa"/>
            <w:vMerge/>
            <w:shd w:val="clear" w:color="auto" w:fill="EEF1F6"/>
          </w:tcPr>
          <w:p w14:paraId="06F935EF"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2196D663"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272111</w:t>
            </w:r>
          </w:p>
        </w:tc>
        <w:tc>
          <w:tcPr>
            <w:tcW w:w="3260" w:type="dxa"/>
            <w:shd w:val="clear" w:color="auto" w:fill="FFFFFF" w:themeFill="background1"/>
            <w:vAlign w:val="bottom"/>
          </w:tcPr>
          <w:p w14:paraId="32AB4F2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Careers Counsellor</w:t>
            </w:r>
          </w:p>
        </w:tc>
        <w:tc>
          <w:tcPr>
            <w:tcW w:w="3193" w:type="dxa"/>
            <w:vMerge/>
            <w:shd w:val="clear" w:color="auto" w:fill="FFFFFF" w:themeFill="background1"/>
          </w:tcPr>
          <w:p w14:paraId="71089E6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6523CC08" w14:textId="77777777" w:rsidTr="00E31789">
        <w:trPr>
          <w:trHeight w:val="563"/>
        </w:trPr>
        <w:tc>
          <w:tcPr>
            <w:tcW w:w="1555" w:type="dxa"/>
            <w:vMerge/>
            <w:shd w:val="clear" w:color="auto" w:fill="EEF1F6"/>
          </w:tcPr>
          <w:p w14:paraId="252D2DB2"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513EC00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422112</w:t>
            </w:r>
          </w:p>
        </w:tc>
        <w:tc>
          <w:tcPr>
            <w:tcW w:w="3260" w:type="dxa"/>
            <w:shd w:val="clear" w:color="auto" w:fill="FFFFFF" w:themeFill="background1"/>
            <w:vAlign w:val="bottom"/>
          </w:tcPr>
          <w:p w14:paraId="6F59DFD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Integration Aide</w:t>
            </w:r>
          </w:p>
        </w:tc>
        <w:tc>
          <w:tcPr>
            <w:tcW w:w="3193" w:type="dxa"/>
            <w:vMerge/>
            <w:shd w:val="clear" w:color="auto" w:fill="FFFFFF" w:themeFill="background1"/>
          </w:tcPr>
          <w:p w14:paraId="65ED8C14"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36006C5F" w14:textId="77777777" w:rsidTr="00E31789">
        <w:trPr>
          <w:trHeight w:val="563"/>
        </w:trPr>
        <w:tc>
          <w:tcPr>
            <w:tcW w:w="1555" w:type="dxa"/>
            <w:vMerge/>
            <w:shd w:val="clear" w:color="auto" w:fill="EEF1F6"/>
          </w:tcPr>
          <w:p w14:paraId="295736E9"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11E2409E"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423111</w:t>
            </w:r>
          </w:p>
        </w:tc>
        <w:tc>
          <w:tcPr>
            <w:tcW w:w="3260" w:type="dxa"/>
            <w:shd w:val="clear" w:color="auto" w:fill="FFFFFF" w:themeFill="background1"/>
            <w:vAlign w:val="bottom"/>
          </w:tcPr>
          <w:p w14:paraId="2FD5BB2D"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Aged or Disabled Carer</w:t>
            </w:r>
          </w:p>
        </w:tc>
        <w:tc>
          <w:tcPr>
            <w:tcW w:w="3193" w:type="dxa"/>
            <w:vMerge/>
            <w:shd w:val="clear" w:color="auto" w:fill="FFFFFF" w:themeFill="background1"/>
          </w:tcPr>
          <w:p w14:paraId="357A75A8"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6D9997CA" w14:textId="77777777" w:rsidTr="00E31789">
        <w:trPr>
          <w:trHeight w:val="563"/>
        </w:trPr>
        <w:tc>
          <w:tcPr>
            <w:tcW w:w="1555" w:type="dxa"/>
            <w:vMerge/>
            <w:shd w:val="clear" w:color="auto" w:fill="EEF1F6"/>
          </w:tcPr>
          <w:p w14:paraId="494A5725"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43FE1017"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411712</w:t>
            </w:r>
          </w:p>
        </w:tc>
        <w:tc>
          <w:tcPr>
            <w:tcW w:w="3260" w:type="dxa"/>
            <w:shd w:val="clear" w:color="auto" w:fill="FFFFFF" w:themeFill="background1"/>
            <w:vAlign w:val="bottom"/>
          </w:tcPr>
          <w:p w14:paraId="04BC208B"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Disabilities Services Officer</w:t>
            </w:r>
          </w:p>
        </w:tc>
        <w:tc>
          <w:tcPr>
            <w:tcW w:w="3193" w:type="dxa"/>
            <w:vMerge/>
            <w:shd w:val="clear" w:color="auto" w:fill="FFFFFF" w:themeFill="background1"/>
          </w:tcPr>
          <w:p w14:paraId="4039345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6D3D7931" w14:textId="77777777" w:rsidTr="00E31789">
        <w:trPr>
          <w:trHeight w:val="563"/>
        </w:trPr>
        <w:tc>
          <w:tcPr>
            <w:tcW w:w="1555" w:type="dxa"/>
            <w:vMerge/>
            <w:shd w:val="clear" w:color="auto" w:fill="EEF1F6"/>
          </w:tcPr>
          <w:p w14:paraId="38610457"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7CF03D11"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224912</w:t>
            </w:r>
          </w:p>
        </w:tc>
        <w:tc>
          <w:tcPr>
            <w:tcW w:w="3260" w:type="dxa"/>
            <w:shd w:val="clear" w:color="auto" w:fill="FFFFFF" w:themeFill="background1"/>
            <w:vAlign w:val="bottom"/>
          </w:tcPr>
          <w:p w14:paraId="2763AF9C"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Liaison Officer</w:t>
            </w:r>
          </w:p>
        </w:tc>
        <w:tc>
          <w:tcPr>
            <w:tcW w:w="3193" w:type="dxa"/>
            <w:vMerge/>
            <w:shd w:val="clear" w:color="auto" w:fill="FFFFFF" w:themeFill="background1"/>
          </w:tcPr>
          <w:p w14:paraId="3654C605"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7955CACB" w14:textId="77777777" w:rsidTr="00E31789">
        <w:trPr>
          <w:trHeight w:val="563"/>
        </w:trPr>
        <w:tc>
          <w:tcPr>
            <w:tcW w:w="1555" w:type="dxa"/>
            <w:vMerge/>
            <w:shd w:val="clear" w:color="auto" w:fill="EEF1F6"/>
          </w:tcPr>
          <w:p w14:paraId="6A5F42A9"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638D42F5"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272312</w:t>
            </w:r>
          </w:p>
        </w:tc>
        <w:tc>
          <w:tcPr>
            <w:tcW w:w="3260" w:type="dxa"/>
            <w:shd w:val="clear" w:color="auto" w:fill="FFFFFF" w:themeFill="background1"/>
            <w:vAlign w:val="bottom"/>
          </w:tcPr>
          <w:p w14:paraId="3D4E8A9E"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Educational Psychologist</w:t>
            </w:r>
          </w:p>
        </w:tc>
        <w:tc>
          <w:tcPr>
            <w:tcW w:w="3193" w:type="dxa"/>
            <w:vMerge/>
            <w:shd w:val="clear" w:color="auto" w:fill="FFFFFF" w:themeFill="background1"/>
          </w:tcPr>
          <w:p w14:paraId="0928B288"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329DEC73" w14:textId="77777777" w:rsidTr="00E31789">
        <w:trPr>
          <w:trHeight w:val="563"/>
        </w:trPr>
        <w:tc>
          <w:tcPr>
            <w:tcW w:w="1555" w:type="dxa"/>
            <w:vMerge/>
            <w:shd w:val="clear" w:color="auto" w:fill="EEF1F6"/>
          </w:tcPr>
          <w:p w14:paraId="6B51C135"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3A6E0B03"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411711</w:t>
            </w:r>
          </w:p>
        </w:tc>
        <w:tc>
          <w:tcPr>
            <w:tcW w:w="3260" w:type="dxa"/>
            <w:shd w:val="clear" w:color="auto" w:fill="FFFFFF" w:themeFill="background1"/>
            <w:vAlign w:val="bottom"/>
          </w:tcPr>
          <w:p w14:paraId="2AA93634"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Community Worker</w:t>
            </w:r>
          </w:p>
        </w:tc>
        <w:tc>
          <w:tcPr>
            <w:tcW w:w="3193" w:type="dxa"/>
            <w:vMerge/>
            <w:shd w:val="clear" w:color="auto" w:fill="FFFFFF" w:themeFill="background1"/>
          </w:tcPr>
          <w:p w14:paraId="389120A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13C6601F" w14:textId="77777777" w:rsidTr="00E31789">
        <w:trPr>
          <w:trHeight w:val="563"/>
        </w:trPr>
        <w:tc>
          <w:tcPr>
            <w:tcW w:w="1555" w:type="dxa"/>
            <w:vMerge/>
            <w:shd w:val="clear" w:color="auto" w:fill="EEF1F6"/>
          </w:tcPr>
          <w:p w14:paraId="6F84CC72"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54A414FE"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422111</w:t>
            </w:r>
          </w:p>
        </w:tc>
        <w:tc>
          <w:tcPr>
            <w:tcW w:w="3260" w:type="dxa"/>
            <w:shd w:val="clear" w:color="auto" w:fill="FFFFFF" w:themeFill="background1"/>
            <w:vAlign w:val="bottom"/>
          </w:tcPr>
          <w:p w14:paraId="35C63D8C"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Aboriginal and Torres Strait Islander Education Worker</w:t>
            </w:r>
          </w:p>
        </w:tc>
        <w:tc>
          <w:tcPr>
            <w:tcW w:w="3193" w:type="dxa"/>
            <w:vMerge/>
            <w:shd w:val="clear" w:color="auto" w:fill="FFFFFF" w:themeFill="background1"/>
          </w:tcPr>
          <w:p w14:paraId="11340592"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058A0EF3" w14:textId="77777777" w:rsidTr="00E31789">
        <w:trPr>
          <w:trHeight w:val="563"/>
        </w:trPr>
        <w:tc>
          <w:tcPr>
            <w:tcW w:w="1555" w:type="dxa"/>
            <w:vMerge/>
            <w:shd w:val="clear" w:color="auto" w:fill="EEF1F6"/>
          </w:tcPr>
          <w:p w14:paraId="3C6253F0"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233AED64"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272613</w:t>
            </w:r>
          </w:p>
        </w:tc>
        <w:tc>
          <w:tcPr>
            <w:tcW w:w="3260" w:type="dxa"/>
            <w:shd w:val="clear" w:color="auto" w:fill="FFFFFF" w:themeFill="background1"/>
            <w:vAlign w:val="bottom"/>
          </w:tcPr>
          <w:p w14:paraId="26B1C895"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Welfare Worker</w:t>
            </w:r>
          </w:p>
        </w:tc>
        <w:tc>
          <w:tcPr>
            <w:tcW w:w="3193" w:type="dxa"/>
            <w:vMerge/>
            <w:shd w:val="clear" w:color="auto" w:fill="FFFFFF" w:themeFill="background1"/>
          </w:tcPr>
          <w:p w14:paraId="0D68B8E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67511167" w14:textId="77777777" w:rsidTr="00E31789">
        <w:trPr>
          <w:trHeight w:val="563"/>
        </w:trPr>
        <w:tc>
          <w:tcPr>
            <w:tcW w:w="1555" w:type="dxa"/>
            <w:vMerge/>
            <w:shd w:val="clear" w:color="auto" w:fill="EEF1F6"/>
          </w:tcPr>
          <w:p w14:paraId="1C6C2705"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7C219AC4"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599711</w:t>
            </w:r>
          </w:p>
        </w:tc>
        <w:tc>
          <w:tcPr>
            <w:tcW w:w="3260" w:type="dxa"/>
            <w:shd w:val="clear" w:color="auto" w:fill="FFFFFF" w:themeFill="background1"/>
            <w:vAlign w:val="bottom"/>
          </w:tcPr>
          <w:p w14:paraId="303B5AFF"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Library Assistant</w:t>
            </w:r>
          </w:p>
        </w:tc>
        <w:tc>
          <w:tcPr>
            <w:tcW w:w="3193" w:type="dxa"/>
            <w:vMerge/>
            <w:shd w:val="clear" w:color="auto" w:fill="FFFFFF" w:themeFill="background1"/>
          </w:tcPr>
          <w:p w14:paraId="701EC3F9"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0919D7FE" w14:textId="77777777" w:rsidTr="00E31789">
        <w:trPr>
          <w:trHeight w:val="563"/>
        </w:trPr>
        <w:tc>
          <w:tcPr>
            <w:tcW w:w="1555" w:type="dxa"/>
            <w:vMerge/>
            <w:shd w:val="clear" w:color="auto" w:fill="EEF1F6"/>
          </w:tcPr>
          <w:p w14:paraId="2C1596A1"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53405BC7"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272511</w:t>
            </w:r>
          </w:p>
        </w:tc>
        <w:tc>
          <w:tcPr>
            <w:tcW w:w="3260" w:type="dxa"/>
            <w:shd w:val="clear" w:color="auto" w:fill="FFFFFF" w:themeFill="background1"/>
            <w:vAlign w:val="bottom"/>
          </w:tcPr>
          <w:p w14:paraId="670DD175"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Social Worker</w:t>
            </w:r>
          </w:p>
        </w:tc>
        <w:tc>
          <w:tcPr>
            <w:tcW w:w="3193" w:type="dxa"/>
            <w:vMerge/>
            <w:shd w:val="clear" w:color="auto" w:fill="FFFFFF" w:themeFill="background1"/>
          </w:tcPr>
          <w:p w14:paraId="1829727D"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6E0F505A" w14:textId="77777777" w:rsidTr="00E31789">
        <w:trPr>
          <w:trHeight w:val="563"/>
        </w:trPr>
        <w:tc>
          <w:tcPr>
            <w:tcW w:w="1555" w:type="dxa"/>
            <w:vMerge/>
            <w:shd w:val="clear" w:color="auto" w:fill="EEF1F6"/>
          </w:tcPr>
          <w:p w14:paraId="3F7FCFB0"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254F776B"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422100</w:t>
            </w:r>
          </w:p>
        </w:tc>
        <w:tc>
          <w:tcPr>
            <w:tcW w:w="3260" w:type="dxa"/>
            <w:shd w:val="clear" w:color="auto" w:fill="FFFFFF" w:themeFill="background1"/>
            <w:vAlign w:val="bottom"/>
          </w:tcPr>
          <w:p w14:paraId="74A50D99"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Education Aides nfd</w:t>
            </w:r>
          </w:p>
        </w:tc>
        <w:tc>
          <w:tcPr>
            <w:tcW w:w="3193" w:type="dxa"/>
            <w:vMerge/>
            <w:shd w:val="clear" w:color="auto" w:fill="FFFFFF" w:themeFill="background1"/>
          </w:tcPr>
          <w:p w14:paraId="7B079C97"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28CFF759" w14:textId="77777777" w:rsidTr="00E31789">
        <w:trPr>
          <w:trHeight w:val="563"/>
        </w:trPr>
        <w:tc>
          <w:tcPr>
            <w:tcW w:w="1555" w:type="dxa"/>
            <w:vMerge/>
            <w:shd w:val="clear" w:color="auto" w:fill="EEF1F6"/>
          </w:tcPr>
          <w:p w14:paraId="5C8A8481"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490A33C9"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272412</w:t>
            </w:r>
          </w:p>
        </w:tc>
        <w:tc>
          <w:tcPr>
            <w:tcW w:w="3260" w:type="dxa"/>
            <w:shd w:val="clear" w:color="auto" w:fill="FFFFFF" w:themeFill="background1"/>
            <w:vAlign w:val="bottom"/>
          </w:tcPr>
          <w:p w14:paraId="27718794"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Interpreter</w:t>
            </w:r>
          </w:p>
        </w:tc>
        <w:tc>
          <w:tcPr>
            <w:tcW w:w="3193" w:type="dxa"/>
            <w:vMerge/>
            <w:shd w:val="clear" w:color="auto" w:fill="FFFFFF" w:themeFill="background1"/>
          </w:tcPr>
          <w:p w14:paraId="496AFF4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7A032187" w14:textId="77777777" w:rsidTr="00E31789">
        <w:trPr>
          <w:trHeight w:val="563"/>
        </w:trPr>
        <w:tc>
          <w:tcPr>
            <w:tcW w:w="1555" w:type="dxa"/>
            <w:vMerge/>
            <w:shd w:val="clear" w:color="auto" w:fill="EEF1F6"/>
          </w:tcPr>
          <w:p w14:paraId="4D50DFC8"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32A5DC51"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411716</w:t>
            </w:r>
          </w:p>
        </w:tc>
        <w:tc>
          <w:tcPr>
            <w:tcW w:w="3260" w:type="dxa"/>
            <w:shd w:val="clear" w:color="auto" w:fill="FFFFFF" w:themeFill="background1"/>
            <w:vAlign w:val="bottom"/>
          </w:tcPr>
          <w:p w14:paraId="2001CF0B"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Youth Worker</w:t>
            </w:r>
          </w:p>
        </w:tc>
        <w:tc>
          <w:tcPr>
            <w:tcW w:w="3193" w:type="dxa"/>
            <w:vMerge/>
            <w:shd w:val="clear" w:color="auto" w:fill="FFFFFF" w:themeFill="background1"/>
          </w:tcPr>
          <w:p w14:paraId="007094A5"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738E201F" w14:textId="77777777" w:rsidTr="00E31789">
        <w:trPr>
          <w:trHeight w:val="563"/>
        </w:trPr>
        <w:tc>
          <w:tcPr>
            <w:tcW w:w="1555" w:type="dxa"/>
            <w:vMerge/>
            <w:shd w:val="clear" w:color="auto" w:fill="EEF1F6"/>
          </w:tcPr>
          <w:p w14:paraId="652A42F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2157B39B"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272311</w:t>
            </w:r>
          </w:p>
        </w:tc>
        <w:tc>
          <w:tcPr>
            <w:tcW w:w="3260" w:type="dxa"/>
            <w:shd w:val="clear" w:color="auto" w:fill="FFFFFF" w:themeFill="background1"/>
            <w:vAlign w:val="bottom"/>
          </w:tcPr>
          <w:p w14:paraId="3C920BCA"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Clinical Psychologist</w:t>
            </w:r>
          </w:p>
        </w:tc>
        <w:tc>
          <w:tcPr>
            <w:tcW w:w="3193" w:type="dxa"/>
            <w:vMerge/>
            <w:shd w:val="clear" w:color="auto" w:fill="FFFFFF" w:themeFill="background1"/>
          </w:tcPr>
          <w:p w14:paraId="49DB0CFD"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790BF87D" w14:textId="77777777" w:rsidTr="00E31789">
        <w:trPr>
          <w:trHeight w:val="563"/>
        </w:trPr>
        <w:tc>
          <w:tcPr>
            <w:tcW w:w="1555" w:type="dxa"/>
            <w:vMerge/>
            <w:shd w:val="clear" w:color="auto" w:fill="EEF1F6"/>
          </w:tcPr>
          <w:p w14:paraId="2E7339C7"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157C4C28"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272211</w:t>
            </w:r>
          </w:p>
        </w:tc>
        <w:tc>
          <w:tcPr>
            <w:tcW w:w="3260" w:type="dxa"/>
            <w:shd w:val="clear" w:color="auto" w:fill="FFFFFF" w:themeFill="background1"/>
            <w:vAlign w:val="bottom"/>
          </w:tcPr>
          <w:p w14:paraId="5C824B3C"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Minister of Religion</w:t>
            </w:r>
          </w:p>
        </w:tc>
        <w:tc>
          <w:tcPr>
            <w:tcW w:w="3193" w:type="dxa"/>
            <w:vMerge/>
            <w:shd w:val="clear" w:color="auto" w:fill="FFFFFF" w:themeFill="background1"/>
          </w:tcPr>
          <w:p w14:paraId="0D8D1930"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23BB839F" w14:textId="77777777" w:rsidTr="00E31789">
        <w:trPr>
          <w:trHeight w:val="563"/>
        </w:trPr>
        <w:tc>
          <w:tcPr>
            <w:tcW w:w="1555" w:type="dxa"/>
            <w:vMerge/>
            <w:shd w:val="clear" w:color="auto" w:fill="EEF1F6"/>
          </w:tcPr>
          <w:p w14:paraId="5B48BA2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1019ABC2"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311414</w:t>
            </w:r>
          </w:p>
        </w:tc>
        <w:tc>
          <w:tcPr>
            <w:tcW w:w="3260" w:type="dxa"/>
            <w:shd w:val="clear" w:color="auto" w:fill="FFFFFF" w:themeFill="background1"/>
            <w:vAlign w:val="bottom"/>
          </w:tcPr>
          <w:p w14:paraId="43DED930"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School Laboratory Technician</w:t>
            </w:r>
          </w:p>
        </w:tc>
        <w:tc>
          <w:tcPr>
            <w:tcW w:w="3193" w:type="dxa"/>
            <w:vMerge/>
            <w:shd w:val="clear" w:color="auto" w:fill="FFFFFF" w:themeFill="background1"/>
          </w:tcPr>
          <w:p w14:paraId="573EEA9E"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15D00847" w14:textId="77777777" w:rsidTr="00E31789">
        <w:trPr>
          <w:trHeight w:val="563"/>
        </w:trPr>
        <w:tc>
          <w:tcPr>
            <w:tcW w:w="1555" w:type="dxa"/>
            <w:vMerge/>
            <w:shd w:val="clear" w:color="auto" w:fill="EEF1F6"/>
          </w:tcPr>
          <w:p w14:paraId="6BB52487"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1F4750F9"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272314</w:t>
            </w:r>
          </w:p>
        </w:tc>
        <w:tc>
          <w:tcPr>
            <w:tcW w:w="3260" w:type="dxa"/>
            <w:shd w:val="clear" w:color="auto" w:fill="FFFFFF" w:themeFill="background1"/>
            <w:vAlign w:val="bottom"/>
          </w:tcPr>
          <w:p w14:paraId="0DFA12BD"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Psychotherapist</w:t>
            </w:r>
          </w:p>
        </w:tc>
        <w:tc>
          <w:tcPr>
            <w:tcW w:w="3193" w:type="dxa"/>
            <w:vMerge/>
            <w:shd w:val="clear" w:color="auto" w:fill="FFFFFF" w:themeFill="background1"/>
          </w:tcPr>
          <w:p w14:paraId="4DAD8B91"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391FC23E" w14:textId="77777777" w:rsidTr="00E31789">
        <w:trPr>
          <w:trHeight w:val="563"/>
        </w:trPr>
        <w:tc>
          <w:tcPr>
            <w:tcW w:w="1555" w:type="dxa"/>
            <w:vMerge/>
            <w:shd w:val="clear" w:color="auto" w:fill="EEF1F6"/>
          </w:tcPr>
          <w:p w14:paraId="68DA540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1AD647EB"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411713</w:t>
            </w:r>
          </w:p>
        </w:tc>
        <w:tc>
          <w:tcPr>
            <w:tcW w:w="3260" w:type="dxa"/>
            <w:shd w:val="clear" w:color="auto" w:fill="FFFFFF" w:themeFill="background1"/>
            <w:vAlign w:val="bottom"/>
          </w:tcPr>
          <w:p w14:paraId="2991BEC4"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Family Support Worker</w:t>
            </w:r>
          </w:p>
        </w:tc>
        <w:tc>
          <w:tcPr>
            <w:tcW w:w="3193" w:type="dxa"/>
            <w:vMerge/>
            <w:shd w:val="clear" w:color="auto" w:fill="FFFFFF" w:themeFill="background1"/>
          </w:tcPr>
          <w:p w14:paraId="5750281D"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4BCB710E" w14:textId="77777777" w:rsidTr="00E31789">
        <w:trPr>
          <w:trHeight w:val="563"/>
        </w:trPr>
        <w:tc>
          <w:tcPr>
            <w:tcW w:w="1555" w:type="dxa"/>
            <w:vMerge/>
            <w:shd w:val="clear" w:color="auto" w:fill="EEF1F6"/>
          </w:tcPr>
          <w:p w14:paraId="126B98F9"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bottom"/>
          </w:tcPr>
          <w:p w14:paraId="44D830C5"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252411</w:t>
            </w:r>
          </w:p>
        </w:tc>
        <w:tc>
          <w:tcPr>
            <w:tcW w:w="3260" w:type="dxa"/>
            <w:shd w:val="clear" w:color="auto" w:fill="FFFFFF" w:themeFill="background1"/>
            <w:vAlign w:val="bottom"/>
          </w:tcPr>
          <w:p w14:paraId="34D3C4C4" w14:textId="77777777" w:rsidR="00E17A15" w:rsidRPr="00E17A15" w:rsidRDefault="00E17A15" w:rsidP="00E31789">
            <w:pPr>
              <w:spacing w:before="120" w:after="120" w:line="240" w:lineRule="auto"/>
              <w:rPr>
                <w:rFonts w:asciiTheme="minorHAnsi" w:hAnsiTheme="minorHAnsi" w:cstheme="minorHAnsi"/>
                <w:color w:val="000000"/>
                <w:sz w:val="18"/>
                <w:szCs w:val="18"/>
                <w:lang w:val="en-US"/>
              </w:rPr>
            </w:pPr>
            <w:r w:rsidRPr="00E17A15">
              <w:rPr>
                <w:rFonts w:asciiTheme="minorHAnsi" w:hAnsiTheme="minorHAnsi" w:cstheme="minorHAnsi"/>
                <w:color w:val="000000"/>
                <w:sz w:val="18"/>
                <w:szCs w:val="18"/>
                <w:lang w:val="en-US"/>
              </w:rPr>
              <w:t>Occupational Therapist</w:t>
            </w:r>
          </w:p>
        </w:tc>
        <w:tc>
          <w:tcPr>
            <w:tcW w:w="3193" w:type="dxa"/>
            <w:vMerge/>
            <w:shd w:val="clear" w:color="auto" w:fill="FFFFFF" w:themeFill="background1"/>
          </w:tcPr>
          <w:p w14:paraId="3B306CD1"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0F28FE9A" w14:textId="77777777" w:rsidTr="00E31789">
        <w:trPr>
          <w:trHeight w:val="563"/>
        </w:trPr>
        <w:tc>
          <w:tcPr>
            <w:tcW w:w="1555" w:type="dxa"/>
            <w:vMerge w:val="restart"/>
            <w:shd w:val="clear" w:color="auto" w:fill="EEF1F6"/>
          </w:tcPr>
          <w:p w14:paraId="56BD0BD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Curriculum Development and Learning Design</w:t>
            </w:r>
          </w:p>
        </w:tc>
        <w:tc>
          <w:tcPr>
            <w:tcW w:w="992" w:type="dxa"/>
            <w:shd w:val="clear" w:color="auto" w:fill="FFFFFF" w:themeFill="background1"/>
            <w:vAlign w:val="center"/>
          </w:tcPr>
          <w:p w14:paraId="2D7C0435"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223311</w:t>
            </w:r>
          </w:p>
        </w:tc>
        <w:tc>
          <w:tcPr>
            <w:tcW w:w="3260" w:type="dxa"/>
            <w:shd w:val="clear" w:color="auto" w:fill="FFFFFF" w:themeFill="background1"/>
            <w:vAlign w:val="center"/>
          </w:tcPr>
          <w:p w14:paraId="09BA3B93"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Training and Development Professional</w:t>
            </w:r>
          </w:p>
        </w:tc>
        <w:tc>
          <w:tcPr>
            <w:tcW w:w="3193" w:type="dxa"/>
            <w:vMerge w:val="restart"/>
            <w:shd w:val="clear" w:color="auto" w:fill="FFFFFF" w:themeFill="background1"/>
          </w:tcPr>
          <w:p w14:paraId="488C337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Content developers </w:t>
            </w:r>
          </w:p>
          <w:p w14:paraId="459F5DDB"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Curriculum designers </w:t>
            </w:r>
          </w:p>
          <w:p w14:paraId="0DE07D8B"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Instructional designers </w:t>
            </w:r>
          </w:p>
          <w:p w14:paraId="783CEEF2" w14:textId="77777777" w:rsidR="00E17A15" w:rsidRPr="00E17A15" w:rsidRDefault="00E17A15" w:rsidP="003A3575">
            <w:pPr>
              <w:spacing w:before="24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lastRenderedPageBreak/>
              <w:t>Curriculum Advisory Teacher (Teach, Train, Assess crossover)</w:t>
            </w:r>
          </w:p>
          <w:p w14:paraId="54A7B59F"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Home School Liaison Officer</w:t>
            </w:r>
          </w:p>
          <w:p w14:paraId="40EF6A6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Learning Designer</w:t>
            </w:r>
          </w:p>
          <w:p w14:paraId="3BD1E2DC"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Learning Technologist</w:t>
            </w:r>
          </w:p>
          <w:p w14:paraId="7DF8EBE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Learning Technologies and Support Consultant</w:t>
            </w:r>
          </w:p>
          <w:p w14:paraId="517F2941"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Education Officer</w:t>
            </w:r>
          </w:p>
          <w:p w14:paraId="165E73C3"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Training Officer </w:t>
            </w:r>
          </w:p>
          <w:p w14:paraId="408BCED1"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Education Support Officer</w:t>
            </w:r>
          </w:p>
          <w:p w14:paraId="4E89ECA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E-learning Support Officer</w:t>
            </w:r>
          </w:p>
          <w:p w14:paraId="1C47F25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Preschool Field Officer</w:t>
            </w:r>
          </w:p>
        </w:tc>
      </w:tr>
      <w:tr w:rsidR="00E17A15" w:rsidRPr="00E17A15" w14:paraId="7889522A" w14:textId="77777777" w:rsidTr="00E31789">
        <w:trPr>
          <w:trHeight w:val="300"/>
        </w:trPr>
        <w:tc>
          <w:tcPr>
            <w:tcW w:w="1555" w:type="dxa"/>
            <w:vMerge/>
            <w:shd w:val="clear" w:color="auto" w:fill="EEF1F6"/>
          </w:tcPr>
          <w:p w14:paraId="32BC0B40"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shd w:val="clear" w:color="auto" w:fill="FFFFFF" w:themeFill="background1"/>
            <w:vAlign w:val="center"/>
          </w:tcPr>
          <w:p w14:paraId="73085DA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249111</w:t>
            </w:r>
          </w:p>
        </w:tc>
        <w:tc>
          <w:tcPr>
            <w:tcW w:w="3260" w:type="dxa"/>
            <w:shd w:val="clear" w:color="auto" w:fill="FFFFFF" w:themeFill="background1"/>
            <w:vAlign w:val="center"/>
          </w:tcPr>
          <w:p w14:paraId="22FDD3D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Education Adviser</w:t>
            </w:r>
          </w:p>
        </w:tc>
        <w:tc>
          <w:tcPr>
            <w:tcW w:w="3193" w:type="dxa"/>
            <w:vMerge/>
            <w:shd w:val="clear" w:color="auto" w:fill="FFFFFF" w:themeFill="background1"/>
          </w:tcPr>
          <w:p w14:paraId="7EB4C8D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4D34EE91" w14:textId="77777777" w:rsidTr="00E31789">
        <w:trPr>
          <w:trHeight w:val="300"/>
        </w:trPr>
        <w:tc>
          <w:tcPr>
            <w:tcW w:w="1555" w:type="dxa"/>
            <w:vMerge/>
            <w:shd w:val="clear" w:color="auto" w:fill="EEF1F6"/>
          </w:tcPr>
          <w:p w14:paraId="47221DDA"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tcBorders>
              <w:bottom w:val="single" w:sz="4" w:space="0" w:color="auto"/>
            </w:tcBorders>
            <w:shd w:val="clear" w:color="auto" w:fill="FFFFFF" w:themeFill="background1"/>
            <w:vAlign w:val="bottom"/>
          </w:tcPr>
          <w:p w14:paraId="02E0132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232413</w:t>
            </w:r>
          </w:p>
        </w:tc>
        <w:tc>
          <w:tcPr>
            <w:tcW w:w="3260" w:type="dxa"/>
            <w:tcBorders>
              <w:bottom w:val="single" w:sz="4" w:space="0" w:color="auto"/>
            </w:tcBorders>
            <w:shd w:val="clear" w:color="auto" w:fill="FFFFFF" w:themeFill="background1"/>
            <w:vAlign w:val="bottom"/>
          </w:tcPr>
          <w:p w14:paraId="694AB825"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Multimedia Designer</w:t>
            </w:r>
          </w:p>
        </w:tc>
        <w:tc>
          <w:tcPr>
            <w:tcW w:w="3193" w:type="dxa"/>
            <w:vMerge/>
            <w:shd w:val="clear" w:color="auto" w:fill="FFFFFF" w:themeFill="background1"/>
          </w:tcPr>
          <w:p w14:paraId="72875781"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164EC648" w14:textId="77777777" w:rsidTr="00E31789">
        <w:trPr>
          <w:trHeight w:val="300"/>
        </w:trPr>
        <w:tc>
          <w:tcPr>
            <w:tcW w:w="1555" w:type="dxa"/>
            <w:vMerge/>
            <w:shd w:val="clear" w:color="auto" w:fill="EEF1F6"/>
          </w:tcPr>
          <w:p w14:paraId="02B1108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tcBorders>
              <w:top w:val="single" w:sz="4" w:space="0" w:color="auto"/>
              <w:bottom w:val="single" w:sz="4" w:space="0" w:color="auto"/>
              <w:right w:val="single" w:sz="4" w:space="0" w:color="auto"/>
            </w:tcBorders>
            <w:shd w:val="clear" w:color="auto" w:fill="FFFFFF" w:themeFill="background1"/>
            <w:vAlign w:val="bottom"/>
          </w:tcPr>
          <w:p w14:paraId="5DD3314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232411</w:t>
            </w:r>
          </w:p>
        </w:tc>
        <w:tc>
          <w:tcPr>
            <w:tcW w:w="3260" w:type="dxa"/>
            <w:tcBorders>
              <w:top w:val="single" w:sz="4" w:space="0" w:color="auto"/>
              <w:left w:val="single" w:sz="4" w:space="0" w:color="auto"/>
              <w:bottom w:val="single" w:sz="4" w:space="0" w:color="auto"/>
            </w:tcBorders>
            <w:shd w:val="clear" w:color="auto" w:fill="FFFFFF" w:themeFill="background1"/>
            <w:vAlign w:val="bottom"/>
          </w:tcPr>
          <w:p w14:paraId="0A1659C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Graphic Designer</w:t>
            </w:r>
          </w:p>
        </w:tc>
        <w:tc>
          <w:tcPr>
            <w:tcW w:w="3193" w:type="dxa"/>
            <w:vMerge/>
            <w:shd w:val="clear" w:color="auto" w:fill="D9E1F2"/>
          </w:tcPr>
          <w:p w14:paraId="167EB768"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260D2C96" w14:textId="77777777" w:rsidTr="00E31789">
        <w:trPr>
          <w:trHeight w:val="300"/>
        </w:trPr>
        <w:tc>
          <w:tcPr>
            <w:tcW w:w="1555" w:type="dxa"/>
            <w:vMerge/>
            <w:shd w:val="clear" w:color="auto" w:fill="EEF1F6"/>
          </w:tcPr>
          <w:p w14:paraId="67198628"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tcBorders>
              <w:top w:val="single" w:sz="4" w:space="0" w:color="auto"/>
              <w:bottom w:val="single" w:sz="4" w:space="0" w:color="auto"/>
              <w:right w:val="single" w:sz="4" w:space="0" w:color="auto"/>
            </w:tcBorders>
            <w:shd w:val="clear" w:color="auto" w:fill="FFFFFF" w:themeFill="background1"/>
            <w:vAlign w:val="bottom"/>
          </w:tcPr>
          <w:p w14:paraId="593C89BE"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212415</w:t>
            </w:r>
          </w:p>
        </w:tc>
        <w:tc>
          <w:tcPr>
            <w:tcW w:w="3260" w:type="dxa"/>
            <w:tcBorders>
              <w:top w:val="single" w:sz="4" w:space="0" w:color="auto"/>
              <w:left w:val="single" w:sz="4" w:space="0" w:color="auto"/>
              <w:bottom w:val="single" w:sz="4" w:space="0" w:color="auto"/>
            </w:tcBorders>
            <w:shd w:val="clear" w:color="auto" w:fill="FFFFFF" w:themeFill="background1"/>
            <w:vAlign w:val="bottom"/>
          </w:tcPr>
          <w:p w14:paraId="027D165E"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Technical Writer</w:t>
            </w:r>
          </w:p>
        </w:tc>
        <w:tc>
          <w:tcPr>
            <w:tcW w:w="3193" w:type="dxa"/>
            <w:vMerge/>
            <w:shd w:val="clear" w:color="auto" w:fill="D9E1F2"/>
          </w:tcPr>
          <w:p w14:paraId="13CFCD8C"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11B9195C" w14:textId="77777777" w:rsidTr="00E31789">
        <w:trPr>
          <w:trHeight w:val="300"/>
        </w:trPr>
        <w:tc>
          <w:tcPr>
            <w:tcW w:w="1555" w:type="dxa"/>
            <w:vMerge/>
            <w:shd w:val="clear" w:color="auto" w:fill="EEF1F6"/>
          </w:tcPr>
          <w:p w14:paraId="62742DDD"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tcBorders>
              <w:top w:val="single" w:sz="4" w:space="0" w:color="auto"/>
              <w:bottom w:val="single" w:sz="4" w:space="0" w:color="auto"/>
              <w:right w:val="single" w:sz="4" w:space="0" w:color="auto"/>
            </w:tcBorders>
            <w:shd w:val="clear" w:color="auto" w:fill="FFFFFF" w:themeFill="background1"/>
            <w:vAlign w:val="center"/>
          </w:tcPr>
          <w:p w14:paraId="1E105A0B"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249000</w:t>
            </w:r>
          </w:p>
        </w:tc>
        <w:tc>
          <w:tcPr>
            <w:tcW w:w="3260" w:type="dxa"/>
            <w:tcBorders>
              <w:top w:val="single" w:sz="4" w:space="0" w:color="auto"/>
              <w:left w:val="single" w:sz="4" w:space="0" w:color="auto"/>
              <w:bottom w:val="single" w:sz="4" w:space="0" w:color="auto"/>
            </w:tcBorders>
            <w:shd w:val="clear" w:color="auto" w:fill="FFFFFF" w:themeFill="background1"/>
            <w:vAlign w:val="center"/>
          </w:tcPr>
          <w:p w14:paraId="745B1AE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Miscellaneous Education Professionals nfd</w:t>
            </w:r>
          </w:p>
        </w:tc>
        <w:tc>
          <w:tcPr>
            <w:tcW w:w="3193" w:type="dxa"/>
            <w:vMerge/>
            <w:shd w:val="clear" w:color="auto" w:fill="D9E1F2"/>
          </w:tcPr>
          <w:p w14:paraId="662417FC"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020F9B7F" w14:textId="77777777" w:rsidTr="00E31789">
        <w:trPr>
          <w:trHeight w:val="300"/>
        </w:trPr>
        <w:tc>
          <w:tcPr>
            <w:tcW w:w="1555" w:type="dxa"/>
            <w:vMerge/>
            <w:shd w:val="clear" w:color="auto" w:fill="EEF1F6"/>
          </w:tcPr>
          <w:p w14:paraId="050E86BD"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tcBorders>
              <w:top w:val="single" w:sz="4" w:space="0" w:color="auto"/>
              <w:bottom w:val="single" w:sz="4" w:space="0" w:color="auto"/>
              <w:right w:val="single" w:sz="4" w:space="0" w:color="auto"/>
            </w:tcBorders>
            <w:shd w:val="clear" w:color="auto" w:fill="FFFFFF" w:themeFill="background1"/>
            <w:vAlign w:val="bottom"/>
          </w:tcPr>
          <w:p w14:paraId="1953A98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261211</w:t>
            </w:r>
          </w:p>
        </w:tc>
        <w:tc>
          <w:tcPr>
            <w:tcW w:w="3260" w:type="dxa"/>
            <w:tcBorders>
              <w:top w:val="single" w:sz="4" w:space="0" w:color="auto"/>
              <w:left w:val="single" w:sz="4" w:space="0" w:color="auto"/>
              <w:bottom w:val="single" w:sz="4" w:space="0" w:color="auto"/>
            </w:tcBorders>
            <w:shd w:val="clear" w:color="auto" w:fill="FFFFFF" w:themeFill="background1"/>
            <w:vAlign w:val="bottom"/>
          </w:tcPr>
          <w:p w14:paraId="399A46C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Multimedia Specialist</w:t>
            </w:r>
          </w:p>
        </w:tc>
        <w:tc>
          <w:tcPr>
            <w:tcW w:w="3193" w:type="dxa"/>
            <w:vMerge/>
            <w:shd w:val="clear" w:color="auto" w:fill="D9E1F2"/>
          </w:tcPr>
          <w:p w14:paraId="6E9916E1"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2102CA51" w14:textId="77777777" w:rsidTr="00E31789">
        <w:trPr>
          <w:trHeight w:val="300"/>
        </w:trPr>
        <w:tc>
          <w:tcPr>
            <w:tcW w:w="1555" w:type="dxa"/>
            <w:vMerge/>
            <w:shd w:val="clear" w:color="auto" w:fill="EEF1F6"/>
          </w:tcPr>
          <w:p w14:paraId="2BCCFE07"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tcBorders>
              <w:top w:val="single" w:sz="4" w:space="0" w:color="auto"/>
              <w:bottom w:val="single" w:sz="4" w:space="0" w:color="auto"/>
              <w:right w:val="single" w:sz="4" w:space="0" w:color="auto"/>
            </w:tcBorders>
            <w:shd w:val="clear" w:color="auto" w:fill="FFFFFF" w:themeFill="background1"/>
            <w:vAlign w:val="center"/>
          </w:tcPr>
          <w:p w14:paraId="723A106F"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249100</w:t>
            </w:r>
          </w:p>
        </w:tc>
        <w:tc>
          <w:tcPr>
            <w:tcW w:w="3260" w:type="dxa"/>
            <w:tcBorders>
              <w:top w:val="single" w:sz="4" w:space="0" w:color="auto"/>
              <w:left w:val="single" w:sz="4" w:space="0" w:color="auto"/>
              <w:bottom w:val="single" w:sz="4" w:space="0" w:color="auto"/>
            </w:tcBorders>
            <w:shd w:val="clear" w:color="auto" w:fill="FFFFFF" w:themeFill="background1"/>
            <w:vAlign w:val="center"/>
          </w:tcPr>
          <w:p w14:paraId="3895648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Education Advisers and Reviewers nfd</w:t>
            </w:r>
          </w:p>
        </w:tc>
        <w:tc>
          <w:tcPr>
            <w:tcW w:w="3193" w:type="dxa"/>
            <w:vMerge/>
            <w:shd w:val="clear" w:color="auto" w:fill="D9E1F2"/>
          </w:tcPr>
          <w:p w14:paraId="563DEEE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2E096328" w14:textId="77777777" w:rsidTr="00E31789">
        <w:trPr>
          <w:trHeight w:val="300"/>
        </w:trPr>
        <w:tc>
          <w:tcPr>
            <w:tcW w:w="1555" w:type="dxa"/>
            <w:vMerge/>
            <w:shd w:val="clear" w:color="auto" w:fill="EEF1F6"/>
          </w:tcPr>
          <w:p w14:paraId="03185A5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tcBorders>
              <w:top w:val="single" w:sz="4" w:space="0" w:color="auto"/>
              <w:bottom w:val="single" w:sz="4" w:space="0" w:color="auto"/>
              <w:right w:val="single" w:sz="4" w:space="0" w:color="auto"/>
            </w:tcBorders>
            <w:shd w:val="clear" w:color="auto" w:fill="FFFFFF" w:themeFill="background1"/>
            <w:vAlign w:val="bottom"/>
          </w:tcPr>
          <w:p w14:paraId="584DCDE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261300</w:t>
            </w:r>
          </w:p>
        </w:tc>
        <w:tc>
          <w:tcPr>
            <w:tcW w:w="3260" w:type="dxa"/>
            <w:tcBorders>
              <w:top w:val="single" w:sz="4" w:space="0" w:color="auto"/>
              <w:left w:val="single" w:sz="4" w:space="0" w:color="auto"/>
              <w:bottom w:val="single" w:sz="4" w:space="0" w:color="auto"/>
            </w:tcBorders>
            <w:shd w:val="clear" w:color="auto" w:fill="FFFFFF" w:themeFill="background1"/>
            <w:vAlign w:val="bottom"/>
          </w:tcPr>
          <w:p w14:paraId="3BE1407C"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Software and Applications Programmers nfd</w:t>
            </w:r>
          </w:p>
        </w:tc>
        <w:tc>
          <w:tcPr>
            <w:tcW w:w="3193" w:type="dxa"/>
            <w:vMerge/>
            <w:shd w:val="clear" w:color="auto" w:fill="D9E1F2"/>
          </w:tcPr>
          <w:p w14:paraId="4B73A18C"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33B8F0EC" w14:textId="77777777" w:rsidTr="00E31789">
        <w:trPr>
          <w:trHeight w:val="300"/>
        </w:trPr>
        <w:tc>
          <w:tcPr>
            <w:tcW w:w="1555" w:type="dxa"/>
            <w:vMerge/>
            <w:shd w:val="clear" w:color="auto" w:fill="EEF1F6"/>
          </w:tcPr>
          <w:p w14:paraId="392DD391"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tcBorders>
              <w:top w:val="single" w:sz="4" w:space="0" w:color="auto"/>
              <w:bottom w:val="single" w:sz="4" w:space="0" w:color="auto"/>
              <w:right w:val="single" w:sz="4" w:space="0" w:color="auto"/>
            </w:tcBorders>
            <w:shd w:val="clear" w:color="auto" w:fill="FFFFFF" w:themeFill="background1"/>
            <w:vAlign w:val="bottom"/>
          </w:tcPr>
          <w:p w14:paraId="2E1A39F1"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212000</w:t>
            </w:r>
          </w:p>
        </w:tc>
        <w:tc>
          <w:tcPr>
            <w:tcW w:w="3260" w:type="dxa"/>
            <w:tcBorders>
              <w:top w:val="single" w:sz="4" w:space="0" w:color="auto"/>
              <w:left w:val="single" w:sz="4" w:space="0" w:color="auto"/>
              <w:bottom w:val="single" w:sz="4" w:space="0" w:color="auto"/>
            </w:tcBorders>
            <w:shd w:val="clear" w:color="auto" w:fill="FFFFFF" w:themeFill="background1"/>
            <w:vAlign w:val="bottom"/>
          </w:tcPr>
          <w:p w14:paraId="3F2DAB5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Media Professionals nfd</w:t>
            </w:r>
          </w:p>
        </w:tc>
        <w:tc>
          <w:tcPr>
            <w:tcW w:w="3193" w:type="dxa"/>
            <w:vMerge/>
            <w:shd w:val="clear" w:color="auto" w:fill="D9E1F2"/>
          </w:tcPr>
          <w:p w14:paraId="56130BCF"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4525C7DC" w14:textId="77777777" w:rsidTr="00E31789">
        <w:trPr>
          <w:trHeight w:val="250"/>
        </w:trPr>
        <w:tc>
          <w:tcPr>
            <w:tcW w:w="1555" w:type="dxa"/>
            <w:vMerge w:val="restart"/>
            <w:shd w:val="clear" w:color="auto" w:fill="EEF1F6"/>
          </w:tcPr>
          <w:p w14:paraId="58FF56B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Administration and Operations </w:t>
            </w:r>
            <w:r w:rsidRPr="00E17A15">
              <w:rPr>
                <w:rFonts w:asciiTheme="minorHAnsi" w:hAnsiTheme="minorHAnsi" w:cstheme="minorHAnsi"/>
                <w:sz w:val="18"/>
                <w:szCs w:val="18"/>
                <w:lang w:val="en-US"/>
              </w:rPr>
              <w:br/>
              <w:t>(Top 30 by count)</w:t>
            </w:r>
          </w:p>
        </w:tc>
        <w:tc>
          <w:tcPr>
            <w:tcW w:w="992" w:type="dxa"/>
            <w:tcBorders>
              <w:top w:val="single" w:sz="4" w:space="0" w:color="auto"/>
            </w:tcBorders>
            <w:vAlign w:val="bottom"/>
          </w:tcPr>
          <w:p w14:paraId="56AE812C"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531111</w:t>
            </w:r>
          </w:p>
        </w:tc>
        <w:tc>
          <w:tcPr>
            <w:tcW w:w="3260" w:type="dxa"/>
            <w:tcBorders>
              <w:top w:val="single" w:sz="4" w:space="0" w:color="auto"/>
            </w:tcBorders>
            <w:vAlign w:val="bottom"/>
          </w:tcPr>
          <w:p w14:paraId="7F9E54E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General Clerk</w:t>
            </w:r>
          </w:p>
        </w:tc>
        <w:tc>
          <w:tcPr>
            <w:tcW w:w="3193" w:type="dxa"/>
            <w:vMerge w:val="restart"/>
            <w:shd w:val="clear" w:color="auto" w:fill="FFFFFF" w:themeFill="background1"/>
          </w:tcPr>
          <w:p w14:paraId="782B9BD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Administration  </w:t>
            </w:r>
          </w:p>
          <w:p w14:paraId="3C06B8C3"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Administration Assistant </w:t>
            </w:r>
          </w:p>
          <w:p w14:paraId="68EADE1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Administration Officer </w:t>
            </w:r>
          </w:p>
          <w:p w14:paraId="1556FC9D"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sz w:val="18"/>
                <w:szCs w:val="18"/>
                <w:lang w:val="en-US"/>
              </w:rPr>
              <w:t xml:space="preserve"> </w:t>
            </w:r>
          </w:p>
        </w:tc>
      </w:tr>
      <w:tr w:rsidR="00E17A15" w:rsidRPr="00E17A15" w14:paraId="665D6456" w14:textId="77777777" w:rsidTr="00E31789">
        <w:trPr>
          <w:trHeight w:val="300"/>
        </w:trPr>
        <w:tc>
          <w:tcPr>
            <w:tcW w:w="1555" w:type="dxa"/>
            <w:vMerge/>
            <w:shd w:val="clear" w:color="auto" w:fill="EEF1F6"/>
          </w:tcPr>
          <w:p w14:paraId="55711EEF"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6FBC92C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511112</w:t>
            </w:r>
          </w:p>
        </w:tc>
        <w:tc>
          <w:tcPr>
            <w:tcW w:w="3260" w:type="dxa"/>
            <w:vAlign w:val="bottom"/>
          </w:tcPr>
          <w:p w14:paraId="305717CF"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Program or Project Administrator</w:t>
            </w:r>
          </w:p>
        </w:tc>
        <w:tc>
          <w:tcPr>
            <w:tcW w:w="3193" w:type="dxa"/>
            <w:vMerge/>
            <w:shd w:val="clear" w:color="auto" w:fill="FFFFFF" w:themeFill="background1"/>
          </w:tcPr>
          <w:p w14:paraId="18393971"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4F1DD223" w14:textId="77777777" w:rsidTr="00E31789">
        <w:trPr>
          <w:trHeight w:val="300"/>
        </w:trPr>
        <w:tc>
          <w:tcPr>
            <w:tcW w:w="1555" w:type="dxa"/>
            <w:vMerge/>
            <w:shd w:val="clear" w:color="auto" w:fill="EEF1F6"/>
          </w:tcPr>
          <w:p w14:paraId="27DF319A"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387EAC2D"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541211</w:t>
            </w:r>
          </w:p>
        </w:tc>
        <w:tc>
          <w:tcPr>
            <w:tcW w:w="3260" w:type="dxa"/>
            <w:vAlign w:val="bottom"/>
          </w:tcPr>
          <w:p w14:paraId="6E9FFBE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Information Officer</w:t>
            </w:r>
          </w:p>
        </w:tc>
        <w:tc>
          <w:tcPr>
            <w:tcW w:w="3193" w:type="dxa"/>
            <w:vMerge/>
            <w:shd w:val="clear" w:color="auto" w:fill="FFFFFF" w:themeFill="background1"/>
          </w:tcPr>
          <w:p w14:paraId="0A8FF104"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2C425012" w14:textId="77777777" w:rsidTr="00E31789">
        <w:trPr>
          <w:trHeight w:val="300"/>
        </w:trPr>
        <w:tc>
          <w:tcPr>
            <w:tcW w:w="1555" w:type="dxa"/>
            <w:vMerge/>
            <w:shd w:val="clear" w:color="auto" w:fill="EEF1F6"/>
          </w:tcPr>
          <w:p w14:paraId="46135E95"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70205A1C"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225113</w:t>
            </w:r>
          </w:p>
        </w:tc>
        <w:tc>
          <w:tcPr>
            <w:tcW w:w="3260" w:type="dxa"/>
            <w:vAlign w:val="bottom"/>
          </w:tcPr>
          <w:p w14:paraId="242DD82A"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Marketing Specialist</w:t>
            </w:r>
          </w:p>
        </w:tc>
        <w:tc>
          <w:tcPr>
            <w:tcW w:w="3193" w:type="dxa"/>
            <w:vMerge/>
            <w:shd w:val="clear" w:color="auto" w:fill="FFFFFF" w:themeFill="background1"/>
          </w:tcPr>
          <w:p w14:paraId="0DCA7DA1"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40326ED1" w14:textId="77777777" w:rsidTr="00E31789">
        <w:trPr>
          <w:trHeight w:val="300"/>
        </w:trPr>
        <w:tc>
          <w:tcPr>
            <w:tcW w:w="1555" w:type="dxa"/>
            <w:vMerge/>
            <w:shd w:val="clear" w:color="auto" w:fill="EEF1F6"/>
          </w:tcPr>
          <w:p w14:paraId="0706A06E"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24453FEE"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532111</w:t>
            </w:r>
          </w:p>
        </w:tc>
        <w:tc>
          <w:tcPr>
            <w:tcW w:w="3260" w:type="dxa"/>
            <w:vAlign w:val="bottom"/>
          </w:tcPr>
          <w:p w14:paraId="0FB2482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Data Entry Operator</w:t>
            </w:r>
          </w:p>
        </w:tc>
        <w:tc>
          <w:tcPr>
            <w:tcW w:w="3193" w:type="dxa"/>
            <w:vMerge/>
            <w:shd w:val="clear" w:color="auto" w:fill="FFFFFF" w:themeFill="background1"/>
          </w:tcPr>
          <w:p w14:paraId="4585FC72"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337A69B6" w14:textId="77777777" w:rsidTr="00E31789">
        <w:trPr>
          <w:trHeight w:val="300"/>
        </w:trPr>
        <w:tc>
          <w:tcPr>
            <w:tcW w:w="1555" w:type="dxa"/>
            <w:vMerge/>
            <w:shd w:val="clear" w:color="auto" w:fill="EEF1F6"/>
          </w:tcPr>
          <w:p w14:paraId="69D213C0"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3B4CA60F"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224711</w:t>
            </w:r>
          </w:p>
        </w:tc>
        <w:tc>
          <w:tcPr>
            <w:tcW w:w="3260" w:type="dxa"/>
            <w:vAlign w:val="bottom"/>
          </w:tcPr>
          <w:p w14:paraId="068B6A3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Management Consultant</w:t>
            </w:r>
          </w:p>
        </w:tc>
        <w:tc>
          <w:tcPr>
            <w:tcW w:w="3193" w:type="dxa"/>
            <w:vMerge/>
            <w:shd w:val="clear" w:color="auto" w:fill="FFFFFF" w:themeFill="background1"/>
          </w:tcPr>
          <w:p w14:paraId="2D766E8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332FA842" w14:textId="77777777" w:rsidTr="00E31789">
        <w:trPr>
          <w:trHeight w:val="300"/>
        </w:trPr>
        <w:tc>
          <w:tcPr>
            <w:tcW w:w="1555" w:type="dxa"/>
            <w:vMerge/>
            <w:shd w:val="clear" w:color="auto" w:fill="EEF1F6"/>
          </w:tcPr>
          <w:p w14:paraId="7A3647F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0F73378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551111</w:t>
            </w:r>
          </w:p>
        </w:tc>
        <w:tc>
          <w:tcPr>
            <w:tcW w:w="3260" w:type="dxa"/>
            <w:vAlign w:val="bottom"/>
          </w:tcPr>
          <w:p w14:paraId="52251E03"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Accounts Clerk</w:t>
            </w:r>
          </w:p>
        </w:tc>
        <w:tc>
          <w:tcPr>
            <w:tcW w:w="3193" w:type="dxa"/>
            <w:vMerge/>
            <w:shd w:val="clear" w:color="auto" w:fill="FFFFFF" w:themeFill="background1"/>
          </w:tcPr>
          <w:p w14:paraId="74FD443C"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05EE9C8A" w14:textId="77777777" w:rsidTr="00E31789">
        <w:trPr>
          <w:trHeight w:val="300"/>
        </w:trPr>
        <w:tc>
          <w:tcPr>
            <w:tcW w:w="1555" w:type="dxa"/>
            <w:vMerge/>
            <w:shd w:val="clear" w:color="auto" w:fill="EEF1F6"/>
          </w:tcPr>
          <w:p w14:paraId="4656CC8F"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0AF268F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221111</w:t>
            </w:r>
          </w:p>
        </w:tc>
        <w:tc>
          <w:tcPr>
            <w:tcW w:w="3260" w:type="dxa"/>
            <w:vAlign w:val="bottom"/>
          </w:tcPr>
          <w:p w14:paraId="10B1652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Accountant (General)</w:t>
            </w:r>
          </w:p>
        </w:tc>
        <w:tc>
          <w:tcPr>
            <w:tcW w:w="3193" w:type="dxa"/>
            <w:vMerge/>
            <w:shd w:val="clear" w:color="auto" w:fill="FFFFFF" w:themeFill="background1"/>
          </w:tcPr>
          <w:p w14:paraId="008192EF"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4A5204C5" w14:textId="77777777" w:rsidTr="00E31789">
        <w:trPr>
          <w:trHeight w:val="300"/>
        </w:trPr>
        <w:tc>
          <w:tcPr>
            <w:tcW w:w="1555" w:type="dxa"/>
            <w:vMerge/>
            <w:shd w:val="clear" w:color="auto" w:fill="EEF1F6"/>
          </w:tcPr>
          <w:p w14:paraId="2DF8191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21E6C30E"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313112</w:t>
            </w:r>
          </w:p>
        </w:tc>
        <w:tc>
          <w:tcPr>
            <w:tcW w:w="3260" w:type="dxa"/>
            <w:vAlign w:val="bottom"/>
          </w:tcPr>
          <w:p w14:paraId="2CD5BFC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ICT Customer Support Officer</w:t>
            </w:r>
          </w:p>
        </w:tc>
        <w:tc>
          <w:tcPr>
            <w:tcW w:w="3193" w:type="dxa"/>
            <w:vMerge/>
            <w:shd w:val="clear" w:color="auto" w:fill="FFFFFF" w:themeFill="background1"/>
          </w:tcPr>
          <w:p w14:paraId="1F2ADC4C"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r>
      <w:tr w:rsidR="00E17A15" w:rsidRPr="00E17A15" w14:paraId="33240205" w14:textId="77777777" w:rsidTr="00E31789">
        <w:trPr>
          <w:trHeight w:val="300"/>
        </w:trPr>
        <w:tc>
          <w:tcPr>
            <w:tcW w:w="1555" w:type="dxa"/>
            <w:vMerge/>
            <w:shd w:val="clear" w:color="auto" w:fill="EEF1F6"/>
          </w:tcPr>
          <w:p w14:paraId="478DE1C1"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291A85BA"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542111</w:t>
            </w:r>
          </w:p>
        </w:tc>
        <w:tc>
          <w:tcPr>
            <w:tcW w:w="3260" w:type="dxa"/>
            <w:vAlign w:val="bottom"/>
          </w:tcPr>
          <w:p w14:paraId="7988F78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Receptionist (General)</w:t>
            </w:r>
          </w:p>
        </w:tc>
        <w:tc>
          <w:tcPr>
            <w:tcW w:w="3193" w:type="dxa"/>
            <w:vMerge/>
            <w:shd w:val="clear" w:color="auto" w:fill="FFFFFF" w:themeFill="background1"/>
          </w:tcPr>
          <w:p w14:paraId="168CD069"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4F42BC36" w14:textId="77777777" w:rsidTr="00E31789">
        <w:trPr>
          <w:trHeight w:val="300"/>
        </w:trPr>
        <w:tc>
          <w:tcPr>
            <w:tcW w:w="1555" w:type="dxa"/>
            <w:vMerge/>
            <w:shd w:val="clear" w:color="auto" w:fill="EEF1F6"/>
          </w:tcPr>
          <w:p w14:paraId="076E444D"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2C3EE03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200000</w:t>
            </w:r>
          </w:p>
        </w:tc>
        <w:tc>
          <w:tcPr>
            <w:tcW w:w="3260" w:type="dxa"/>
            <w:vAlign w:val="bottom"/>
          </w:tcPr>
          <w:p w14:paraId="032C7833"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Professionals nfd</w:t>
            </w:r>
          </w:p>
        </w:tc>
        <w:tc>
          <w:tcPr>
            <w:tcW w:w="3193" w:type="dxa"/>
            <w:vMerge/>
            <w:shd w:val="clear" w:color="auto" w:fill="FFFFFF" w:themeFill="background1"/>
          </w:tcPr>
          <w:p w14:paraId="5C0BE450"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4AC07687" w14:textId="77777777" w:rsidTr="00E31789">
        <w:trPr>
          <w:trHeight w:val="300"/>
        </w:trPr>
        <w:tc>
          <w:tcPr>
            <w:tcW w:w="1555" w:type="dxa"/>
            <w:vMerge/>
            <w:shd w:val="clear" w:color="auto" w:fill="EEF1F6"/>
          </w:tcPr>
          <w:p w14:paraId="4E3B4AB8"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53AE4C49"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223112</w:t>
            </w:r>
          </w:p>
        </w:tc>
        <w:tc>
          <w:tcPr>
            <w:tcW w:w="3260" w:type="dxa"/>
            <w:vAlign w:val="bottom"/>
          </w:tcPr>
          <w:p w14:paraId="60B1656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Recruitment Consultant</w:t>
            </w:r>
          </w:p>
        </w:tc>
        <w:tc>
          <w:tcPr>
            <w:tcW w:w="3193" w:type="dxa"/>
            <w:vMerge/>
            <w:shd w:val="clear" w:color="auto" w:fill="FFFFFF" w:themeFill="background1"/>
          </w:tcPr>
          <w:p w14:paraId="108B4AC7"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21482EF4" w14:textId="77777777" w:rsidTr="00E31789">
        <w:trPr>
          <w:trHeight w:val="300"/>
        </w:trPr>
        <w:tc>
          <w:tcPr>
            <w:tcW w:w="1555" w:type="dxa"/>
            <w:vMerge/>
            <w:shd w:val="clear" w:color="auto" w:fill="EEF1F6"/>
          </w:tcPr>
          <w:p w14:paraId="549008C3"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34ACF403"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521111</w:t>
            </w:r>
          </w:p>
        </w:tc>
        <w:tc>
          <w:tcPr>
            <w:tcW w:w="3260" w:type="dxa"/>
            <w:vAlign w:val="bottom"/>
          </w:tcPr>
          <w:p w14:paraId="6A19E26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Personal Assistant</w:t>
            </w:r>
          </w:p>
        </w:tc>
        <w:tc>
          <w:tcPr>
            <w:tcW w:w="3193" w:type="dxa"/>
            <w:vMerge/>
            <w:shd w:val="clear" w:color="auto" w:fill="FFFFFF" w:themeFill="background1"/>
          </w:tcPr>
          <w:p w14:paraId="7E0F0538"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492A2F37" w14:textId="77777777" w:rsidTr="00E31789">
        <w:trPr>
          <w:trHeight w:val="300"/>
        </w:trPr>
        <w:tc>
          <w:tcPr>
            <w:tcW w:w="1555" w:type="dxa"/>
            <w:vMerge/>
            <w:shd w:val="clear" w:color="auto" w:fill="EEF1F6"/>
          </w:tcPr>
          <w:p w14:paraId="693E18FC"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0E516D4B"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223111</w:t>
            </w:r>
          </w:p>
        </w:tc>
        <w:tc>
          <w:tcPr>
            <w:tcW w:w="3260" w:type="dxa"/>
            <w:vAlign w:val="bottom"/>
          </w:tcPr>
          <w:p w14:paraId="64DA7F61"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Human Resource Adviser</w:t>
            </w:r>
          </w:p>
        </w:tc>
        <w:tc>
          <w:tcPr>
            <w:tcW w:w="3193" w:type="dxa"/>
            <w:vMerge/>
            <w:shd w:val="clear" w:color="auto" w:fill="FFFFFF" w:themeFill="background1"/>
          </w:tcPr>
          <w:p w14:paraId="2D55A1BA"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05B0C317" w14:textId="77777777" w:rsidTr="00E31789">
        <w:trPr>
          <w:trHeight w:val="300"/>
        </w:trPr>
        <w:tc>
          <w:tcPr>
            <w:tcW w:w="1555" w:type="dxa"/>
            <w:vMerge/>
            <w:shd w:val="clear" w:color="auto" w:fill="EEF1F6"/>
          </w:tcPr>
          <w:p w14:paraId="7262383B"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3D1414D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341111</w:t>
            </w:r>
          </w:p>
        </w:tc>
        <w:tc>
          <w:tcPr>
            <w:tcW w:w="3260" w:type="dxa"/>
            <w:vAlign w:val="bottom"/>
          </w:tcPr>
          <w:p w14:paraId="466F4043"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Electrician (General)</w:t>
            </w:r>
          </w:p>
        </w:tc>
        <w:tc>
          <w:tcPr>
            <w:tcW w:w="3193" w:type="dxa"/>
            <w:vMerge/>
            <w:shd w:val="clear" w:color="auto" w:fill="FFFFFF" w:themeFill="background1"/>
          </w:tcPr>
          <w:p w14:paraId="350115DE"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65BF933C" w14:textId="77777777" w:rsidTr="00E31789">
        <w:trPr>
          <w:trHeight w:val="300"/>
        </w:trPr>
        <w:tc>
          <w:tcPr>
            <w:tcW w:w="1555" w:type="dxa"/>
            <w:vMerge/>
            <w:shd w:val="clear" w:color="auto" w:fill="EEF1F6"/>
          </w:tcPr>
          <w:p w14:paraId="6938E9DF"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477109C5"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811211</w:t>
            </w:r>
          </w:p>
        </w:tc>
        <w:tc>
          <w:tcPr>
            <w:tcW w:w="3260" w:type="dxa"/>
            <w:vAlign w:val="bottom"/>
          </w:tcPr>
          <w:p w14:paraId="5690AAC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Commercial Cleaner</w:t>
            </w:r>
          </w:p>
        </w:tc>
        <w:tc>
          <w:tcPr>
            <w:tcW w:w="3193" w:type="dxa"/>
            <w:vMerge/>
            <w:shd w:val="clear" w:color="auto" w:fill="FFFFFF" w:themeFill="background1"/>
          </w:tcPr>
          <w:p w14:paraId="06F45077"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60776883" w14:textId="77777777" w:rsidTr="00E31789">
        <w:trPr>
          <w:trHeight w:val="300"/>
        </w:trPr>
        <w:tc>
          <w:tcPr>
            <w:tcW w:w="1555" w:type="dxa"/>
            <w:vMerge/>
            <w:shd w:val="clear" w:color="auto" w:fill="EEF1F6"/>
          </w:tcPr>
          <w:p w14:paraId="018052DF"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32F7E1F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621111</w:t>
            </w:r>
          </w:p>
        </w:tc>
        <w:tc>
          <w:tcPr>
            <w:tcW w:w="3260" w:type="dxa"/>
            <w:vAlign w:val="bottom"/>
          </w:tcPr>
          <w:p w14:paraId="6AA4C055"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Sales Assistant (General)</w:t>
            </w:r>
          </w:p>
        </w:tc>
        <w:tc>
          <w:tcPr>
            <w:tcW w:w="3193" w:type="dxa"/>
            <w:vMerge/>
            <w:shd w:val="clear" w:color="auto" w:fill="FFFFFF" w:themeFill="background1"/>
          </w:tcPr>
          <w:p w14:paraId="4D736F08"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7FBE70E1" w14:textId="77777777" w:rsidTr="00E31789">
        <w:trPr>
          <w:trHeight w:val="300"/>
        </w:trPr>
        <w:tc>
          <w:tcPr>
            <w:tcW w:w="1555" w:type="dxa"/>
            <w:vMerge/>
            <w:shd w:val="clear" w:color="auto" w:fill="EEF1F6"/>
          </w:tcPr>
          <w:p w14:paraId="5FF144ED"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45EE220C"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224999</w:t>
            </w:r>
          </w:p>
        </w:tc>
        <w:tc>
          <w:tcPr>
            <w:tcW w:w="3260" w:type="dxa"/>
            <w:vAlign w:val="bottom"/>
          </w:tcPr>
          <w:p w14:paraId="5B9CFA0E"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Information and Organisation Professionals nec</w:t>
            </w:r>
          </w:p>
        </w:tc>
        <w:tc>
          <w:tcPr>
            <w:tcW w:w="3193" w:type="dxa"/>
            <w:vMerge/>
            <w:shd w:val="clear" w:color="auto" w:fill="FFFFFF" w:themeFill="background1"/>
          </w:tcPr>
          <w:p w14:paraId="3031C0CE"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10F42B4E" w14:textId="77777777" w:rsidTr="00E31789">
        <w:trPr>
          <w:trHeight w:val="300"/>
        </w:trPr>
        <w:tc>
          <w:tcPr>
            <w:tcW w:w="1555" w:type="dxa"/>
            <w:vMerge/>
            <w:shd w:val="clear" w:color="auto" w:fill="EEF1F6"/>
          </w:tcPr>
          <w:p w14:paraId="47FD63F8"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5EF1013A"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599999</w:t>
            </w:r>
          </w:p>
        </w:tc>
        <w:tc>
          <w:tcPr>
            <w:tcW w:w="3260" w:type="dxa"/>
            <w:vAlign w:val="bottom"/>
          </w:tcPr>
          <w:p w14:paraId="5EC8E9A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Clerical and Administrative Workers nec</w:t>
            </w:r>
          </w:p>
        </w:tc>
        <w:tc>
          <w:tcPr>
            <w:tcW w:w="3193" w:type="dxa"/>
            <w:vMerge/>
            <w:shd w:val="clear" w:color="auto" w:fill="FFFFFF" w:themeFill="background1"/>
          </w:tcPr>
          <w:p w14:paraId="5CB7C457"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27571C20" w14:textId="77777777" w:rsidTr="00E31789">
        <w:trPr>
          <w:trHeight w:val="300"/>
        </w:trPr>
        <w:tc>
          <w:tcPr>
            <w:tcW w:w="1555" w:type="dxa"/>
            <w:vMerge/>
            <w:shd w:val="clear" w:color="auto" w:fill="EEF1F6"/>
          </w:tcPr>
          <w:p w14:paraId="022DFFD2"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39BBBC6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251312</w:t>
            </w:r>
          </w:p>
        </w:tc>
        <w:tc>
          <w:tcPr>
            <w:tcW w:w="3260" w:type="dxa"/>
            <w:vAlign w:val="bottom"/>
          </w:tcPr>
          <w:p w14:paraId="7237C68F"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Occupational Health and Safety Adviser</w:t>
            </w:r>
          </w:p>
        </w:tc>
        <w:tc>
          <w:tcPr>
            <w:tcW w:w="3193" w:type="dxa"/>
            <w:vMerge/>
            <w:shd w:val="clear" w:color="auto" w:fill="FFFFFF" w:themeFill="background1"/>
          </w:tcPr>
          <w:p w14:paraId="60C9588E"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6321F38B" w14:textId="77777777" w:rsidTr="00E31789">
        <w:trPr>
          <w:trHeight w:val="300"/>
        </w:trPr>
        <w:tc>
          <w:tcPr>
            <w:tcW w:w="1555" w:type="dxa"/>
            <w:vMerge/>
            <w:shd w:val="clear" w:color="auto" w:fill="EEF1F6"/>
          </w:tcPr>
          <w:p w14:paraId="53DEB79D"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2236E08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441312</w:t>
            </w:r>
          </w:p>
        </w:tc>
        <w:tc>
          <w:tcPr>
            <w:tcW w:w="3260" w:type="dxa"/>
            <w:vAlign w:val="bottom"/>
          </w:tcPr>
          <w:p w14:paraId="2E502A0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Police Officer</w:t>
            </w:r>
          </w:p>
        </w:tc>
        <w:tc>
          <w:tcPr>
            <w:tcW w:w="3193" w:type="dxa"/>
            <w:vMerge/>
            <w:shd w:val="clear" w:color="auto" w:fill="FFFFFF" w:themeFill="background1"/>
          </w:tcPr>
          <w:p w14:paraId="546934F8"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336FB3C4" w14:textId="77777777" w:rsidTr="00E31789">
        <w:trPr>
          <w:trHeight w:val="300"/>
        </w:trPr>
        <w:tc>
          <w:tcPr>
            <w:tcW w:w="1555" w:type="dxa"/>
            <w:vMerge/>
            <w:shd w:val="clear" w:color="auto" w:fill="EEF1F6"/>
          </w:tcPr>
          <w:p w14:paraId="28891974"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2EA23795"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551311</w:t>
            </w:r>
          </w:p>
        </w:tc>
        <w:tc>
          <w:tcPr>
            <w:tcW w:w="3260" w:type="dxa"/>
            <w:vAlign w:val="bottom"/>
          </w:tcPr>
          <w:p w14:paraId="203B0AB3"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Payroll Clerk</w:t>
            </w:r>
          </w:p>
        </w:tc>
        <w:tc>
          <w:tcPr>
            <w:tcW w:w="3193" w:type="dxa"/>
            <w:vMerge/>
            <w:shd w:val="clear" w:color="auto" w:fill="FFFFFF" w:themeFill="background1"/>
          </w:tcPr>
          <w:p w14:paraId="14163804"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7FB22CD0" w14:textId="77777777" w:rsidTr="00E31789">
        <w:trPr>
          <w:trHeight w:val="300"/>
        </w:trPr>
        <w:tc>
          <w:tcPr>
            <w:tcW w:w="1555" w:type="dxa"/>
            <w:vMerge/>
            <w:shd w:val="clear" w:color="auto" w:fill="EEF1F6"/>
          </w:tcPr>
          <w:p w14:paraId="5F503686"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2348A81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741111</w:t>
            </w:r>
          </w:p>
        </w:tc>
        <w:tc>
          <w:tcPr>
            <w:tcW w:w="3260" w:type="dxa"/>
            <w:vAlign w:val="bottom"/>
          </w:tcPr>
          <w:p w14:paraId="35656C66"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Storeperson</w:t>
            </w:r>
          </w:p>
        </w:tc>
        <w:tc>
          <w:tcPr>
            <w:tcW w:w="3193" w:type="dxa"/>
            <w:vMerge/>
            <w:shd w:val="clear" w:color="auto" w:fill="FFFFFF" w:themeFill="background1"/>
          </w:tcPr>
          <w:p w14:paraId="0EFC4A11"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41956BEA" w14:textId="77777777" w:rsidTr="00E31789">
        <w:trPr>
          <w:trHeight w:val="300"/>
        </w:trPr>
        <w:tc>
          <w:tcPr>
            <w:tcW w:w="1555" w:type="dxa"/>
            <w:vMerge/>
            <w:shd w:val="clear" w:color="auto" w:fill="EEF1F6"/>
          </w:tcPr>
          <w:p w14:paraId="716E2211"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291DE5C8"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551211</w:t>
            </w:r>
          </w:p>
        </w:tc>
        <w:tc>
          <w:tcPr>
            <w:tcW w:w="3260" w:type="dxa"/>
            <w:vAlign w:val="bottom"/>
          </w:tcPr>
          <w:p w14:paraId="7B04EA0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Bookkeeper</w:t>
            </w:r>
          </w:p>
        </w:tc>
        <w:tc>
          <w:tcPr>
            <w:tcW w:w="3193" w:type="dxa"/>
            <w:vMerge/>
            <w:shd w:val="clear" w:color="auto" w:fill="FFFFFF" w:themeFill="background1"/>
          </w:tcPr>
          <w:p w14:paraId="06929CC8"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73E883DB" w14:textId="77777777" w:rsidTr="00E31789">
        <w:trPr>
          <w:trHeight w:val="300"/>
        </w:trPr>
        <w:tc>
          <w:tcPr>
            <w:tcW w:w="1555" w:type="dxa"/>
            <w:vMerge/>
            <w:shd w:val="clear" w:color="auto" w:fill="EEF1F6"/>
          </w:tcPr>
          <w:p w14:paraId="1C59BFE2"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3A230CB4"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262113</w:t>
            </w:r>
          </w:p>
        </w:tc>
        <w:tc>
          <w:tcPr>
            <w:tcW w:w="3260" w:type="dxa"/>
            <w:vAlign w:val="bottom"/>
          </w:tcPr>
          <w:p w14:paraId="6DAB39CB"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Systems Administrator</w:t>
            </w:r>
          </w:p>
        </w:tc>
        <w:tc>
          <w:tcPr>
            <w:tcW w:w="3193" w:type="dxa"/>
            <w:vMerge/>
            <w:shd w:val="clear" w:color="auto" w:fill="FFFFFF" w:themeFill="background1"/>
          </w:tcPr>
          <w:p w14:paraId="5CD509DE"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63AF63B7" w14:textId="77777777" w:rsidTr="00E31789">
        <w:trPr>
          <w:trHeight w:val="300"/>
        </w:trPr>
        <w:tc>
          <w:tcPr>
            <w:tcW w:w="1555" w:type="dxa"/>
            <w:vMerge/>
            <w:shd w:val="clear" w:color="auto" w:fill="EEF1F6"/>
          </w:tcPr>
          <w:p w14:paraId="3A174C37"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2AD3A3F0"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599916</w:t>
            </w:r>
          </w:p>
        </w:tc>
        <w:tc>
          <w:tcPr>
            <w:tcW w:w="3260" w:type="dxa"/>
            <w:vAlign w:val="bottom"/>
          </w:tcPr>
          <w:p w14:paraId="1444EC6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Facilities Administrator</w:t>
            </w:r>
          </w:p>
        </w:tc>
        <w:tc>
          <w:tcPr>
            <w:tcW w:w="3193" w:type="dxa"/>
            <w:vMerge/>
            <w:shd w:val="clear" w:color="auto" w:fill="FFFFFF" w:themeFill="background1"/>
          </w:tcPr>
          <w:p w14:paraId="332D15F0"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41FBBE5B" w14:textId="77777777" w:rsidTr="00E31789">
        <w:trPr>
          <w:trHeight w:val="300"/>
        </w:trPr>
        <w:tc>
          <w:tcPr>
            <w:tcW w:w="1555" w:type="dxa"/>
            <w:vMerge/>
            <w:shd w:val="clear" w:color="auto" w:fill="EEF1F6"/>
          </w:tcPr>
          <w:p w14:paraId="5A9140EA"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11743E4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149311</w:t>
            </w:r>
          </w:p>
        </w:tc>
        <w:tc>
          <w:tcPr>
            <w:tcW w:w="3260" w:type="dxa"/>
            <w:vAlign w:val="bottom"/>
          </w:tcPr>
          <w:p w14:paraId="33851702"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Conference and Event Organiser</w:t>
            </w:r>
          </w:p>
        </w:tc>
        <w:tc>
          <w:tcPr>
            <w:tcW w:w="3193" w:type="dxa"/>
            <w:vMerge/>
            <w:shd w:val="clear" w:color="auto" w:fill="FFFFFF" w:themeFill="background1"/>
          </w:tcPr>
          <w:p w14:paraId="13D087F0"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2CF4B66D" w14:textId="77777777" w:rsidTr="00E31789">
        <w:trPr>
          <w:trHeight w:val="300"/>
        </w:trPr>
        <w:tc>
          <w:tcPr>
            <w:tcW w:w="1555" w:type="dxa"/>
            <w:vMerge/>
            <w:shd w:val="clear" w:color="auto" w:fill="EEF1F6"/>
          </w:tcPr>
          <w:p w14:paraId="71C27D6D"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4D52ACAB"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261312</w:t>
            </w:r>
          </w:p>
        </w:tc>
        <w:tc>
          <w:tcPr>
            <w:tcW w:w="3260" w:type="dxa"/>
            <w:vAlign w:val="bottom"/>
          </w:tcPr>
          <w:p w14:paraId="77B6EF83"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Developer Programmer</w:t>
            </w:r>
          </w:p>
        </w:tc>
        <w:tc>
          <w:tcPr>
            <w:tcW w:w="3193" w:type="dxa"/>
            <w:vMerge/>
            <w:shd w:val="clear" w:color="auto" w:fill="FFFFFF" w:themeFill="background1"/>
          </w:tcPr>
          <w:p w14:paraId="400F7B29"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4B952D33" w14:textId="77777777" w:rsidTr="00E31789">
        <w:trPr>
          <w:trHeight w:val="300"/>
        </w:trPr>
        <w:tc>
          <w:tcPr>
            <w:tcW w:w="1555" w:type="dxa"/>
            <w:vMerge/>
            <w:shd w:val="clear" w:color="auto" w:fill="EEF1F6"/>
          </w:tcPr>
          <w:p w14:paraId="430747F8"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0960BCCE"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225311</w:t>
            </w:r>
          </w:p>
        </w:tc>
        <w:tc>
          <w:tcPr>
            <w:tcW w:w="3260" w:type="dxa"/>
            <w:vAlign w:val="bottom"/>
          </w:tcPr>
          <w:p w14:paraId="5F37D7CB"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Public Relations Professional</w:t>
            </w:r>
          </w:p>
        </w:tc>
        <w:tc>
          <w:tcPr>
            <w:tcW w:w="3193" w:type="dxa"/>
            <w:vMerge/>
            <w:shd w:val="clear" w:color="auto" w:fill="FFFFFF" w:themeFill="background1"/>
          </w:tcPr>
          <w:p w14:paraId="7C5E5FFB"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r w:rsidR="00E17A15" w:rsidRPr="00E17A15" w14:paraId="6A0E0465" w14:textId="77777777" w:rsidTr="00E31789">
        <w:trPr>
          <w:trHeight w:val="315"/>
        </w:trPr>
        <w:tc>
          <w:tcPr>
            <w:tcW w:w="1555" w:type="dxa"/>
            <w:vMerge/>
            <w:shd w:val="clear" w:color="auto" w:fill="EEF1F6"/>
          </w:tcPr>
          <w:p w14:paraId="34F3D1AC" w14:textId="77777777" w:rsidR="00E17A15" w:rsidRPr="00E17A15" w:rsidRDefault="00E17A15" w:rsidP="00E31789">
            <w:pPr>
              <w:spacing w:before="120" w:after="120" w:line="240" w:lineRule="auto"/>
              <w:rPr>
                <w:rFonts w:asciiTheme="minorHAnsi" w:hAnsiTheme="minorHAnsi" w:cstheme="minorHAnsi"/>
                <w:sz w:val="18"/>
                <w:szCs w:val="18"/>
                <w:lang w:val="en-US"/>
              </w:rPr>
            </w:pPr>
          </w:p>
        </w:tc>
        <w:tc>
          <w:tcPr>
            <w:tcW w:w="992" w:type="dxa"/>
            <w:vAlign w:val="bottom"/>
          </w:tcPr>
          <w:p w14:paraId="08BF8CA7"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142111</w:t>
            </w:r>
          </w:p>
        </w:tc>
        <w:tc>
          <w:tcPr>
            <w:tcW w:w="3260" w:type="dxa"/>
            <w:vAlign w:val="bottom"/>
          </w:tcPr>
          <w:p w14:paraId="37839BFD" w14:textId="77777777" w:rsidR="00E17A15" w:rsidRPr="00E17A15" w:rsidRDefault="00E17A15" w:rsidP="00E31789">
            <w:pPr>
              <w:spacing w:before="120" w:after="120" w:line="240" w:lineRule="auto"/>
              <w:rPr>
                <w:rFonts w:asciiTheme="minorHAnsi" w:hAnsiTheme="minorHAnsi" w:cstheme="minorHAnsi"/>
                <w:sz w:val="18"/>
                <w:szCs w:val="18"/>
                <w:lang w:val="en-US"/>
              </w:rPr>
            </w:pPr>
            <w:r w:rsidRPr="00E17A15">
              <w:rPr>
                <w:rFonts w:asciiTheme="minorHAnsi" w:hAnsiTheme="minorHAnsi" w:cstheme="minorHAnsi"/>
                <w:color w:val="000000"/>
                <w:sz w:val="18"/>
                <w:szCs w:val="18"/>
                <w:lang w:val="en-US"/>
              </w:rPr>
              <w:t>Retail Manager (General)</w:t>
            </w:r>
          </w:p>
        </w:tc>
        <w:tc>
          <w:tcPr>
            <w:tcW w:w="3193" w:type="dxa"/>
            <w:vMerge/>
            <w:shd w:val="clear" w:color="auto" w:fill="FFFFFF" w:themeFill="background1"/>
          </w:tcPr>
          <w:p w14:paraId="4F041106" w14:textId="77777777" w:rsidR="00E17A15" w:rsidRPr="00E17A15" w:rsidRDefault="00E17A15" w:rsidP="00E31789">
            <w:pPr>
              <w:spacing w:before="120" w:after="120" w:line="240" w:lineRule="auto"/>
              <w:rPr>
                <w:rFonts w:asciiTheme="minorHAnsi" w:eastAsia="Arial" w:hAnsiTheme="minorHAnsi" w:cstheme="minorHAnsi"/>
                <w:sz w:val="18"/>
                <w:szCs w:val="18"/>
                <w:lang w:val="en-US"/>
              </w:rPr>
            </w:pPr>
          </w:p>
        </w:tc>
      </w:tr>
    </w:tbl>
    <w:p w14:paraId="36CB8224" w14:textId="76AEEF1B" w:rsidR="00E17A15" w:rsidRPr="00E17A15" w:rsidRDefault="00E31789" w:rsidP="00E17A15">
      <w:pPr>
        <w:rPr>
          <w:rFonts w:asciiTheme="minorHAnsi" w:hAnsiTheme="minorHAnsi" w:cstheme="minorHAnsi"/>
          <w:sz w:val="18"/>
          <w:szCs w:val="18"/>
        </w:rPr>
      </w:pPr>
      <w:r>
        <w:rPr>
          <w:rFonts w:asciiTheme="minorHAnsi" w:hAnsiTheme="minorHAnsi" w:cstheme="minorHAnsi"/>
          <w:sz w:val="18"/>
          <w:szCs w:val="18"/>
        </w:rPr>
        <w:br w:type="textWrapping" w:clear="all"/>
      </w:r>
    </w:p>
    <w:p w14:paraId="384C64B0" w14:textId="77777777" w:rsidR="00E17A15" w:rsidRPr="00E17A15" w:rsidRDefault="00E17A15" w:rsidP="00E17A15">
      <w:pPr>
        <w:rPr>
          <w:rFonts w:asciiTheme="minorHAnsi" w:hAnsiTheme="minorHAnsi" w:cstheme="minorHAnsi"/>
          <w:sz w:val="18"/>
          <w:szCs w:val="18"/>
        </w:rPr>
      </w:pPr>
    </w:p>
    <w:p w14:paraId="65BF83F5" w14:textId="77777777" w:rsidR="00E17A15" w:rsidRPr="00E17A15" w:rsidRDefault="00E17A15" w:rsidP="00E17A15">
      <w:pPr>
        <w:rPr>
          <w:rFonts w:asciiTheme="minorHAnsi" w:eastAsiaTheme="majorEastAsia" w:hAnsiTheme="minorHAnsi" w:cstheme="minorHAnsi"/>
          <w:b/>
          <w:color w:val="441170" w:themeColor="text2"/>
          <w:sz w:val="18"/>
          <w:szCs w:val="18"/>
        </w:rPr>
      </w:pPr>
      <w:r w:rsidRPr="00E17A15">
        <w:rPr>
          <w:rFonts w:asciiTheme="minorHAnsi" w:hAnsiTheme="minorHAnsi" w:cstheme="minorHAnsi"/>
          <w:sz w:val="18"/>
          <w:szCs w:val="18"/>
        </w:rPr>
        <w:br w:type="page"/>
      </w:r>
    </w:p>
    <w:p w14:paraId="7F364DE7" w14:textId="77777777" w:rsidR="00E17A15" w:rsidRPr="005A3010" w:rsidRDefault="00E17A15" w:rsidP="00BA2E4D">
      <w:pPr>
        <w:keepNext/>
        <w:keepLines/>
        <w:numPr>
          <w:ilvl w:val="0"/>
          <w:numId w:val="22"/>
        </w:numPr>
        <w:spacing w:before="240" w:after="720"/>
        <w:outlineLvl w:val="0"/>
        <w:rPr>
          <w:rFonts w:eastAsiaTheme="majorEastAsia" w:cstheme="majorBidi"/>
          <w:b/>
          <w:color w:val="4B0885"/>
          <w:sz w:val="56"/>
          <w:szCs w:val="32"/>
        </w:rPr>
      </w:pPr>
      <w:bookmarkStart w:id="226" w:name="_Toc176770999"/>
      <w:r w:rsidRPr="005A3010">
        <w:rPr>
          <w:rFonts w:eastAsiaTheme="majorEastAsia" w:cstheme="majorBidi"/>
          <w:b/>
          <w:color w:val="4B0885"/>
          <w:sz w:val="56"/>
          <w:szCs w:val="32"/>
        </w:rPr>
        <w:lastRenderedPageBreak/>
        <w:t>TAFE and Dual Sector Workforce Profiles</w:t>
      </w:r>
      <w:bookmarkEnd w:id="226"/>
    </w:p>
    <w:p w14:paraId="61579971" w14:textId="77777777" w:rsidR="00E17A15" w:rsidRPr="00E17A15" w:rsidRDefault="00E17A15" w:rsidP="00E17A15">
      <w:pPr>
        <w:keepNext/>
        <w:keepLines/>
        <w:spacing w:before="360" w:after="360" w:line="400" w:lineRule="exact"/>
        <w:outlineLvl w:val="1"/>
        <w:rPr>
          <w:rFonts w:eastAsiaTheme="majorEastAsia" w:cstheme="majorBidi"/>
          <w:b/>
          <w:sz w:val="32"/>
          <w:szCs w:val="26"/>
        </w:rPr>
      </w:pPr>
      <w:bookmarkStart w:id="227" w:name="_Toc176771000"/>
      <w:r w:rsidRPr="00E17A15">
        <w:rPr>
          <w:rFonts w:eastAsiaTheme="majorEastAsia" w:cstheme="majorBidi"/>
          <w:b/>
          <w:sz w:val="32"/>
          <w:szCs w:val="26"/>
        </w:rPr>
        <w:t>TAFE Workforce Profile</w:t>
      </w:r>
      <w:bookmarkEnd w:id="227"/>
    </w:p>
    <w:p w14:paraId="78A66E12" w14:textId="77777777" w:rsidR="00E17A15" w:rsidRPr="00E17A15" w:rsidRDefault="00E17A15" w:rsidP="00E17A15">
      <w:r w:rsidRPr="00E17A15">
        <w:t>This study collected 2022-23 workforce data from TAFEs in every state and territory including Charles Darwin University in the NT which is contracted by government as the public VET provider. The data reveals a remarkable diversity between TAFE institutions across different jurisdictions and regions, particularly in organisational structure but also offers a national workforce profile demonstrating the TAFE VET workforce shares many important characteristics.</w:t>
      </w:r>
    </w:p>
    <w:p w14:paraId="23D9A991" w14:textId="77777777" w:rsidR="00E17A15" w:rsidRPr="00E17A15" w:rsidRDefault="00E17A15" w:rsidP="00E17A15">
      <w:pPr>
        <w:keepNext/>
        <w:keepLines/>
        <w:outlineLvl w:val="2"/>
        <w:rPr>
          <w:rFonts w:asciiTheme="minorHAnsi" w:eastAsiaTheme="majorEastAsia" w:hAnsiTheme="minorHAnsi" w:cstheme="minorHAnsi"/>
          <w:b/>
          <w:color w:val="441170" w:themeColor="text2"/>
          <w:sz w:val="18"/>
          <w:szCs w:val="18"/>
        </w:rPr>
      </w:pPr>
      <w:r w:rsidRPr="00E17A15">
        <w:rPr>
          <w:rFonts w:eastAsiaTheme="majorEastAsia" w:cstheme="majorBidi"/>
          <w:b/>
          <w:color w:val="441170" w:themeColor="text2"/>
          <w:sz w:val="26"/>
          <w:szCs w:val="24"/>
        </w:rPr>
        <w:t>TAFE structures across Australia</w:t>
      </w:r>
    </w:p>
    <w:p w14:paraId="704AF16C" w14:textId="77777777" w:rsidR="00E17A15" w:rsidRPr="00E17A15" w:rsidRDefault="00E17A15" w:rsidP="00E17A15">
      <w:r w:rsidRPr="00E17A15">
        <w:t>Across Australia, there is variation in how state and territory governments have chosen to structure TAFE and establish governance arrangements. Broadly, NSW, South Australia, Tasmania and the ACT all have a single TAFE institute operating in their jurisdiction (TAFE NSW, TAFE SA and Canberra Institute of Technology respectively). Victoria and Western Australia have locality-based institutes. In Victoria these are: Bendigo TAFE, Box Hill Institute, Goulburn Ovens Institute of TAFE, Holmesglen Institute, Kangan Institute, Melbourne Polytechnic, Southwest Institute of TAFE, the Gordon Institute of TAFE, Sunraysia Institute of TAFE, TAFE Gippsland, William Angliss Institute (specialising in hospitality), and Wodonga TAFE</w:t>
      </w:r>
      <w:r w:rsidRPr="00E17A15">
        <w:rPr>
          <w:rFonts w:asciiTheme="minorHAnsi" w:hAnsiTheme="minorHAnsi" w:cstheme="minorHAnsi"/>
          <w:sz w:val="18"/>
          <w:szCs w:val="18"/>
          <w:vertAlign w:val="superscript"/>
        </w:rPr>
        <w:footnoteReference w:id="16"/>
      </w:r>
      <w:r w:rsidRPr="00E17A15">
        <w:t xml:space="preserve">. Victoria also has five dual sector institutions (see next section). The Western Australia TAFE colleges are: North Metropolitan TAFE, South Metropolitan TAFE, Central Regional TAFE, South Regional TAFE, and North Regional TAFE. As noted above, NT contracts Charles Dawin University as its public VET provider. In Queensland, CQ University is a dual sector institution servicing Central Queensland, with TAFE Queensland servicing the rest of the state. </w:t>
      </w:r>
    </w:p>
    <w:p w14:paraId="061C9C99" w14:textId="77777777" w:rsidR="00E17A15" w:rsidRPr="00E17A15" w:rsidRDefault="00E17A15" w:rsidP="00E17A15">
      <w:pPr>
        <w:keepNext/>
        <w:keepLines/>
        <w:outlineLvl w:val="2"/>
        <w:rPr>
          <w:rFonts w:eastAsiaTheme="majorEastAsia" w:cstheme="majorBidi"/>
          <w:b/>
          <w:color w:val="441170" w:themeColor="text2"/>
          <w:sz w:val="26"/>
          <w:szCs w:val="24"/>
        </w:rPr>
      </w:pPr>
      <w:r w:rsidRPr="00E17A15">
        <w:rPr>
          <w:rFonts w:eastAsiaTheme="majorEastAsia" w:cstheme="majorBidi"/>
          <w:b/>
          <w:color w:val="441170" w:themeColor="text2"/>
          <w:sz w:val="26"/>
          <w:szCs w:val="24"/>
        </w:rPr>
        <w:t>Size and key demographics:</w:t>
      </w:r>
    </w:p>
    <w:p w14:paraId="12B03D7A" w14:textId="77777777" w:rsidR="00E17A15" w:rsidRPr="00E17A15" w:rsidRDefault="00E17A15" w:rsidP="00E17A15">
      <w:r w:rsidRPr="00E17A15">
        <w:t xml:space="preserve">Based on the data compiled, we estimate there were approximately 40,000 workers nationally across TAFEs during 2022-23. This is lower than 2021 census data which puts the public VET workforce at just over 48,000 workers which was close to 70% of the workforce at the time.  </w:t>
      </w:r>
    </w:p>
    <w:p w14:paraId="0E332506" w14:textId="77777777" w:rsidR="00E17A15" w:rsidRPr="00E17A15" w:rsidRDefault="00E17A15" w:rsidP="00E17A15">
      <w:r w:rsidRPr="00E17A15">
        <w:t xml:space="preserve">Teachers, trainers and assessors make up on average 54.0% of the TAFE workforce which aligns with the 48.5% proportion in Census based on our taxonomy analysis and the 2011 Productivity Commission report. The 2019 NCVER workforce survey provided a lower estimate, reporting that teachers represented just under one third (29%) of the total VET workforce, including those delivering training under supervision (estimated at around 9%). However, NCVER acknowledged that this was likely an underestimation of the VET teaching workforce and that the proportion of the VET workforce made up of teachers, trainers and assessors differs based on provider size. </w:t>
      </w:r>
    </w:p>
    <w:p w14:paraId="792E4AB7" w14:textId="4978EE3B" w:rsidR="00E17A15" w:rsidRPr="002E375A" w:rsidRDefault="00E17A15" w:rsidP="00E17A15">
      <w:pPr>
        <w:rPr>
          <w:rFonts w:asciiTheme="minorHAnsi" w:hAnsiTheme="minorHAnsi" w:cstheme="minorHAnsi"/>
          <w:sz w:val="18"/>
          <w:szCs w:val="18"/>
          <w:vertAlign w:val="superscript"/>
        </w:rPr>
      </w:pPr>
      <w:r w:rsidRPr="00E17A15">
        <w:lastRenderedPageBreak/>
        <w:t>It reported that for large (1,000 to 9,999 students) and very large (more than 10,000 students) RTOs these roles constituted 40% and 59% of their workforce respectively, while for medium (100-999 students) and small RTOs (less than 100 students) it was 22% and 20% respectively. This aligns with stakeholder feedback from private and smaller RTOs where the teaching workforce is shared amongst other roles, including executive positions.</w:t>
      </w:r>
      <w:r w:rsidRPr="00E17A15">
        <w:rPr>
          <w:rFonts w:asciiTheme="minorHAnsi" w:hAnsiTheme="minorHAnsi" w:cstheme="minorHAnsi"/>
          <w:sz w:val="18"/>
          <w:szCs w:val="18"/>
          <w:vertAlign w:val="superscript"/>
        </w:rPr>
        <w:endnoteReference w:id="80"/>
      </w:r>
      <w:r w:rsidRPr="00E17A15">
        <w:t xml:space="preserve">Demographically, the TAFE workforce is slightly more feminised and older than the overall VET workforce. Females make up close to 65% of the workforce in various larger TAFEs and generally over half of the workforce at each TAFE is over 50 years. Only a third of the Australian workforce is in this older age bracket. </w:t>
      </w:r>
    </w:p>
    <w:p w14:paraId="7FF54430" w14:textId="77777777" w:rsidR="00E17A15" w:rsidRPr="00E17A15" w:rsidRDefault="00E17A15" w:rsidP="00E17A15">
      <w:r w:rsidRPr="00E17A15">
        <w:t>First Nations employment across the workforce varies. CDU has 4.5% of their VET workforce identifying as First Nations but when compared to the population parity of the NT and Darwin itself this is low.</w:t>
      </w:r>
      <w:r w:rsidRPr="00E17A15" w:rsidDel="00350C77">
        <w:t xml:space="preserve"> </w:t>
      </w:r>
      <w:r w:rsidRPr="00E17A15">
        <w:t xml:space="preserve">In the ACT, the First Nations workforce is higher than the First Nations population – CIT shows a 3.2% First Nations workforce where 2% of the ACT population identifies as First Nations. </w:t>
      </w:r>
    </w:p>
    <w:p w14:paraId="7F45F36C" w14:textId="77777777" w:rsidR="00E17A15" w:rsidRPr="00E17A15" w:rsidRDefault="00E17A15" w:rsidP="00E17A15">
      <w:pPr>
        <w:rPr>
          <w:b/>
          <w:sz w:val="20"/>
          <w:lang w:val="en-US"/>
        </w:rPr>
      </w:pPr>
      <w:r w:rsidRPr="00E17A15">
        <w:rPr>
          <w:b/>
          <w:sz w:val="20"/>
          <w:lang w:val="en-US"/>
        </w:rPr>
        <w:t xml:space="preserve">Table </w:t>
      </w:r>
      <w:r w:rsidRPr="00E17A15">
        <w:rPr>
          <w:b/>
          <w:sz w:val="20"/>
          <w:lang w:val="en-US"/>
        </w:rPr>
        <w:fldChar w:fldCharType="begin"/>
      </w:r>
      <w:r w:rsidRPr="00E17A15">
        <w:rPr>
          <w:b/>
          <w:sz w:val="20"/>
          <w:lang w:val="en-US"/>
        </w:rPr>
        <w:instrText xml:space="preserve"> STYLEREF 1 \s </w:instrText>
      </w:r>
      <w:r w:rsidRPr="00E17A15">
        <w:rPr>
          <w:b/>
          <w:sz w:val="20"/>
          <w:lang w:val="en-US"/>
        </w:rPr>
        <w:fldChar w:fldCharType="separate"/>
      </w:r>
      <w:r w:rsidRPr="00E17A15">
        <w:rPr>
          <w:b/>
          <w:noProof/>
          <w:sz w:val="20"/>
          <w:lang w:val="en-US"/>
        </w:rPr>
        <w:t>B</w:t>
      </w:r>
      <w:r w:rsidRPr="00E17A15">
        <w:rPr>
          <w:b/>
          <w:sz w:val="20"/>
          <w:lang w:val="en-US"/>
        </w:rPr>
        <w:fldChar w:fldCharType="end"/>
      </w:r>
      <w:r w:rsidRPr="00E17A15">
        <w:rPr>
          <w:b/>
          <w:sz w:val="20"/>
          <w:lang w:val="en-US"/>
        </w:rPr>
        <w:t>.</w:t>
      </w:r>
      <w:r w:rsidRPr="00E17A15">
        <w:rPr>
          <w:b/>
          <w:sz w:val="20"/>
          <w:lang w:val="en-US"/>
        </w:rPr>
        <w:fldChar w:fldCharType="begin"/>
      </w:r>
      <w:r w:rsidRPr="00E17A15">
        <w:rPr>
          <w:b/>
          <w:sz w:val="20"/>
          <w:lang w:val="en-US"/>
        </w:rPr>
        <w:instrText xml:space="preserve"> SEQ Table \* ARABIC \s 1 </w:instrText>
      </w:r>
      <w:r w:rsidRPr="00E17A15">
        <w:rPr>
          <w:b/>
          <w:sz w:val="20"/>
          <w:lang w:val="en-US"/>
        </w:rPr>
        <w:fldChar w:fldCharType="separate"/>
      </w:r>
      <w:r w:rsidRPr="00E17A15">
        <w:rPr>
          <w:b/>
          <w:noProof/>
          <w:sz w:val="20"/>
          <w:lang w:val="en-US"/>
        </w:rPr>
        <w:t>1</w:t>
      </w:r>
      <w:r w:rsidRPr="00E17A15">
        <w:rPr>
          <w:b/>
          <w:sz w:val="20"/>
          <w:lang w:val="en-US"/>
        </w:rPr>
        <w:fldChar w:fldCharType="end"/>
      </w:r>
      <w:r w:rsidRPr="00E17A15">
        <w:rPr>
          <w:b/>
          <w:sz w:val="20"/>
          <w:lang w:val="en-US"/>
        </w:rPr>
        <w:t xml:space="preserve"> TAFE VET Workforce counts and key demographics</w:t>
      </w:r>
    </w:p>
    <w:tbl>
      <w:tblPr>
        <w:tblStyle w:val="JSATable11"/>
        <w:tblW w:w="9128" w:type="dxa"/>
        <w:tblLayout w:type="fixed"/>
        <w:tblCellMar>
          <w:top w:w="28" w:type="dxa"/>
          <w:bottom w:w="28" w:type="dxa"/>
        </w:tblCellMar>
        <w:tblLook w:val="04A0" w:firstRow="1" w:lastRow="0" w:firstColumn="1" w:lastColumn="0" w:noHBand="0" w:noVBand="1"/>
      </w:tblPr>
      <w:tblGrid>
        <w:gridCol w:w="1560"/>
        <w:gridCol w:w="141"/>
        <w:gridCol w:w="1134"/>
        <w:gridCol w:w="1361"/>
        <w:gridCol w:w="964"/>
        <w:gridCol w:w="1077"/>
        <w:gridCol w:w="1134"/>
        <w:gridCol w:w="1757"/>
      </w:tblGrid>
      <w:tr w:rsidR="002E375A" w:rsidRPr="007F0835" w14:paraId="6DB02871" w14:textId="77777777" w:rsidTr="003A3575">
        <w:trPr>
          <w:cnfStyle w:val="100000000000" w:firstRow="1" w:lastRow="0" w:firstColumn="0" w:lastColumn="0" w:oddVBand="0" w:evenVBand="0" w:oddHBand="0" w:evenHBand="0" w:firstRowFirstColumn="0" w:firstRowLastColumn="0" w:lastRowFirstColumn="0" w:lastRowLastColumn="0"/>
          <w:trHeight w:val="802"/>
        </w:trPr>
        <w:tc>
          <w:tcPr>
            <w:tcW w:w="1560" w:type="dxa"/>
            <w:shd w:val="clear" w:color="auto" w:fill="012749"/>
            <w:vAlign w:val="bottom"/>
          </w:tcPr>
          <w:p w14:paraId="39987E88" w14:textId="77777777" w:rsidR="00E17A15" w:rsidRPr="007F0835" w:rsidRDefault="00E17A15" w:rsidP="00E17A15">
            <w:pPr>
              <w:spacing w:after="160" w:line="259" w:lineRule="auto"/>
              <w:rPr>
                <w:rFonts w:asciiTheme="minorHAnsi" w:hAnsiTheme="minorHAnsi" w:cstheme="minorHAnsi"/>
                <w:sz w:val="20"/>
                <w:szCs w:val="20"/>
              </w:rPr>
            </w:pPr>
            <w:bookmarkStart w:id="228" w:name="_Hlk174612569"/>
          </w:p>
        </w:tc>
        <w:tc>
          <w:tcPr>
            <w:tcW w:w="1275" w:type="dxa"/>
            <w:gridSpan w:val="2"/>
            <w:shd w:val="clear" w:color="auto" w:fill="012749"/>
            <w:vAlign w:val="bottom"/>
          </w:tcPr>
          <w:p w14:paraId="2A3AEA78" w14:textId="77777777" w:rsidR="00E17A15" w:rsidRPr="007F0835" w:rsidRDefault="00E17A15" w:rsidP="003A3575">
            <w:pPr>
              <w:spacing w:after="60"/>
              <w:jc w:val="center"/>
              <w:rPr>
                <w:color w:val="FFFFFF" w:themeColor="background1"/>
                <w:sz w:val="20"/>
                <w:szCs w:val="20"/>
                <w:lang w:val="en-US"/>
              </w:rPr>
            </w:pPr>
            <w:r w:rsidRPr="007F0835">
              <w:rPr>
                <w:color w:val="FFFFFF" w:themeColor="background1"/>
                <w:sz w:val="20"/>
                <w:szCs w:val="20"/>
                <w:lang w:val="en-US"/>
              </w:rPr>
              <w:t>Headcount</w:t>
            </w:r>
          </w:p>
        </w:tc>
        <w:tc>
          <w:tcPr>
            <w:tcW w:w="1361" w:type="dxa"/>
            <w:shd w:val="clear" w:color="auto" w:fill="012749"/>
            <w:vAlign w:val="bottom"/>
          </w:tcPr>
          <w:p w14:paraId="3141C6E0" w14:textId="77777777" w:rsidR="00E17A15" w:rsidRPr="007F0835" w:rsidRDefault="00E17A15" w:rsidP="003A3575">
            <w:pPr>
              <w:spacing w:after="60"/>
              <w:jc w:val="center"/>
              <w:rPr>
                <w:color w:val="FFFFFF" w:themeColor="background1"/>
                <w:sz w:val="20"/>
                <w:szCs w:val="20"/>
                <w:lang w:val="en-US"/>
              </w:rPr>
            </w:pPr>
            <w:r w:rsidRPr="007F0835">
              <w:rPr>
                <w:color w:val="FFFFFF" w:themeColor="background1"/>
                <w:sz w:val="20"/>
                <w:szCs w:val="20"/>
                <w:lang w:val="en-US"/>
              </w:rPr>
              <w:t>% of teachers (headcount)</w:t>
            </w:r>
          </w:p>
        </w:tc>
        <w:tc>
          <w:tcPr>
            <w:tcW w:w="964" w:type="dxa"/>
            <w:shd w:val="clear" w:color="auto" w:fill="012749"/>
            <w:vAlign w:val="bottom"/>
          </w:tcPr>
          <w:p w14:paraId="43774B94" w14:textId="77777777" w:rsidR="00E17A15" w:rsidRPr="007F0835" w:rsidRDefault="00E17A15" w:rsidP="003A3575">
            <w:pPr>
              <w:spacing w:after="60"/>
              <w:jc w:val="center"/>
              <w:rPr>
                <w:color w:val="FFFFFF" w:themeColor="background1"/>
                <w:sz w:val="20"/>
                <w:szCs w:val="20"/>
                <w:lang w:val="en-US"/>
              </w:rPr>
            </w:pPr>
            <w:r w:rsidRPr="007F0835">
              <w:rPr>
                <w:color w:val="FFFFFF" w:themeColor="background1"/>
                <w:sz w:val="20"/>
                <w:szCs w:val="20"/>
                <w:lang w:val="en-US"/>
              </w:rPr>
              <w:t>Female</w:t>
            </w:r>
          </w:p>
        </w:tc>
        <w:tc>
          <w:tcPr>
            <w:tcW w:w="1077" w:type="dxa"/>
            <w:shd w:val="clear" w:color="auto" w:fill="012749"/>
            <w:vAlign w:val="bottom"/>
          </w:tcPr>
          <w:p w14:paraId="529B3C30" w14:textId="77777777" w:rsidR="00E17A15" w:rsidRPr="007F0835" w:rsidRDefault="00E17A15" w:rsidP="003A3575">
            <w:pPr>
              <w:spacing w:after="60"/>
              <w:jc w:val="center"/>
              <w:rPr>
                <w:bCs/>
                <w:color w:val="FFFFFF" w:themeColor="background1"/>
                <w:sz w:val="20"/>
                <w:szCs w:val="20"/>
                <w:lang w:val="en-US"/>
              </w:rPr>
            </w:pPr>
            <w:r w:rsidRPr="007F0835">
              <w:rPr>
                <w:bCs/>
                <w:color w:val="FFFFFF" w:themeColor="background1"/>
                <w:sz w:val="20"/>
                <w:szCs w:val="20"/>
                <w:lang w:val="en-US"/>
              </w:rPr>
              <w:t>First Nations</w:t>
            </w:r>
          </w:p>
        </w:tc>
        <w:tc>
          <w:tcPr>
            <w:tcW w:w="1134" w:type="dxa"/>
            <w:shd w:val="clear" w:color="auto" w:fill="012749"/>
            <w:vAlign w:val="bottom"/>
          </w:tcPr>
          <w:p w14:paraId="2860EBF5" w14:textId="77777777" w:rsidR="00E17A15" w:rsidRPr="007F0835" w:rsidRDefault="00E17A15" w:rsidP="003A3575">
            <w:pPr>
              <w:spacing w:after="60"/>
              <w:jc w:val="center"/>
              <w:rPr>
                <w:bCs/>
                <w:color w:val="FFFFFF" w:themeColor="background1"/>
                <w:sz w:val="20"/>
                <w:szCs w:val="20"/>
                <w:lang w:val="en-US"/>
              </w:rPr>
            </w:pPr>
            <w:r w:rsidRPr="007F0835">
              <w:rPr>
                <w:bCs/>
                <w:color w:val="FFFFFF" w:themeColor="background1"/>
                <w:sz w:val="20"/>
                <w:szCs w:val="20"/>
                <w:lang w:val="en-US"/>
              </w:rPr>
              <w:t>Disability</w:t>
            </w:r>
          </w:p>
        </w:tc>
        <w:tc>
          <w:tcPr>
            <w:tcW w:w="1757" w:type="dxa"/>
            <w:shd w:val="clear" w:color="auto" w:fill="012749"/>
            <w:vAlign w:val="bottom"/>
          </w:tcPr>
          <w:p w14:paraId="2948ECC6" w14:textId="77777777" w:rsidR="00E17A15" w:rsidRPr="007F0835" w:rsidRDefault="00E17A15" w:rsidP="003A3575">
            <w:pPr>
              <w:spacing w:after="60"/>
              <w:jc w:val="center"/>
              <w:rPr>
                <w:bCs/>
                <w:color w:val="FFFFFF" w:themeColor="background1"/>
                <w:sz w:val="20"/>
                <w:szCs w:val="20"/>
                <w:lang w:val="en-US"/>
              </w:rPr>
            </w:pPr>
            <w:r w:rsidRPr="007F0835">
              <w:rPr>
                <w:bCs/>
                <w:color w:val="FFFFFF" w:themeColor="background1"/>
                <w:sz w:val="20"/>
                <w:szCs w:val="20"/>
                <w:lang w:val="en-US"/>
              </w:rPr>
              <w:t>% 50 years +</w:t>
            </w:r>
          </w:p>
        </w:tc>
      </w:tr>
      <w:tr w:rsidR="002E375A" w:rsidRPr="00E17A15" w14:paraId="7E84DB11" w14:textId="77777777" w:rsidTr="003A3575">
        <w:trPr>
          <w:trHeight w:val="340"/>
        </w:trPr>
        <w:tc>
          <w:tcPr>
            <w:tcW w:w="1701" w:type="dxa"/>
            <w:gridSpan w:val="2"/>
            <w:vAlign w:val="center"/>
          </w:tcPr>
          <w:p w14:paraId="1A0C5FF4" w14:textId="77777777" w:rsidR="00E17A15" w:rsidRPr="00A341D9" w:rsidRDefault="00E17A15" w:rsidP="002E375A">
            <w:pPr>
              <w:rPr>
                <w:sz w:val="20"/>
                <w:szCs w:val="20"/>
                <w:lang w:val="en-US"/>
              </w:rPr>
            </w:pPr>
            <w:r w:rsidRPr="00A341D9">
              <w:rPr>
                <w:sz w:val="20"/>
                <w:szCs w:val="20"/>
                <w:lang w:val="en-US"/>
              </w:rPr>
              <w:t xml:space="preserve">TAFE NSW </w:t>
            </w:r>
          </w:p>
        </w:tc>
        <w:tc>
          <w:tcPr>
            <w:tcW w:w="1134" w:type="dxa"/>
            <w:vAlign w:val="center"/>
          </w:tcPr>
          <w:p w14:paraId="67C9D281" w14:textId="77777777" w:rsidR="00E17A15" w:rsidRPr="00A341D9" w:rsidRDefault="00E17A15" w:rsidP="002E375A">
            <w:pPr>
              <w:jc w:val="center"/>
              <w:rPr>
                <w:sz w:val="20"/>
                <w:szCs w:val="20"/>
                <w:lang w:val="en-US"/>
              </w:rPr>
            </w:pPr>
            <w:r w:rsidRPr="00A341D9">
              <w:rPr>
                <w:sz w:val="20"/>
                <w:szCs w:val="20"/>
                <w:lang w:val="en-US"/>
              </w:rPr>
              <w:t>15,726</w:t>
            </w:r>
          </w:p>
        </w:tc>
        <w:tc>
          <w:tcPr>
            <w:tcW w:w="1361" w:type="dxa"/>
            <w:vAlign w:val="center"/>
          </w:tcPr>
          <w:p w14:paraId="449D87EA" w14:textId="77777777" w:rsidR="00E17A15" w:rsidRPr="00A341D9" w:rsidRDefault="00E17A15" w:rsidP="002E375A">
            <w:pPr>
              <w:jc w:val="center"/>
              <w:rPr>
                <w:sz w:val="20"/>
                <w:szCs w:val="20"/>
                <w:lang w:val="en-US"/>
              </w:rPr>
            </w:pPr>
            <w:r w:rsidRPr="00A341D9">
              <w:rPr>
                <w:sz w:val="20"/>
                <w:szCs w:val="20"/>
                <w:lang w:val="en-US"/>
              </w:rPr>
              <w:t>54.5%</w:t>
            </w:r>
          </w:p>
        </w:tc>
        <w:tc>
          <w:tcPr>
            <w:tcW w:w="964" w:type="dxa"/>
            <w:vAlign w:val="center"/>
          </w:tcPr>
          <w:p w14:paraId="6A73E8CF" w14:textId="77777777" w:rsidR="00E17A15" w:rsidRPr="00A341D9" w:rsidRDefault="00E17A15" w:rsidP="002E375A">
            <w:pPr>
              <w:jc w:val="center"/>
              <w:rPr>
                <w:sz w:val="20"/>
                <w:szCs w:val="20"/>
                <w:lang w:val="en-US"/>
              </w:rPr>
            </w:pPr>
            <w:r w:rsidRPr="00A341D9">
              <w:rPr>
                <w:sz w:val="20"/>
                <w:szCs w:val="20"/>
                <w:lang w:val="en-US"/>
              </w:rPr>
              <w:t>62.7%</w:t>
            </w:r>
          </w:p>
        </w:tc>
        <w:tc>
          <w:tcPr>
            <w:tcW w:w="1077" w:type="dxa"/>
            <w:vAlign w:val="center"/>
          </w:tcPr>
          <w:p w14:paraId="7BB72E01" w14:textId="77777777" w:rsidR="00E17A15" w:rsidRPr="00A341D9" w:rsidRDefault="00E17A15" w:rsidP="002E375A">
            <w:pPr>
              <w:jc w:val="center"/>
              <w:rPr>
                <w:sz w:val="20"/>
                <w:szCs w:val="20"/>
                <w:lang w:val="en-US"/>
              </w:rPr>
            </w:pPr>
            <w:r w:rsidRPr="00A341D9">
              <w:rPr>
                <w:sz w:val="20"/>
                <w:szCs w:val="20"/>
                <w:lang w:val="en-US"/>
              </w:rPr>
              <w:t>2.2%</w:t>
            </w:r>
          </w:p>
        </w:tc>
        <w:tc>
          <w:tcPr>
            <w:tcW w:w="1134" w:type="dxa"/>
            <w:vAlign w:val="center"/>
          </w:tcPr>
          <w:p w14:paraId="3D6CD047" w14:textId="77777777" w:rsidR="00E17A15" w:rsidRPr="00A341D9" w:rsidRDefault="00E17A15" w:rsidP="002E375A">
            <w:pPr>
              <w:jc w:val="center"/>
              <w:rPr>
                <w:sz w:val="20"/>
                <w:szCs w:val="20"/>
                <w:lang w:val="en-US"/>
              </w:rPr>
            </w:pPr>
            <w:r w:rsidRPr="00A341D9">
              <w:rPr>
                <w:sz w:val="20"/>
                <w:szCs w:val="20"/>
                <w:lang w:val="en-US"/>
              </w:rPr>
              <w:t>2.3%</w:t>
            </w:r>
          </w:p>
        </w:tc>
        <w:tc>
          <w:tcPr>
            <w:tcW w:w="1757" w:type="dxa"/>
            <w:vAlign w:val="center"/>
          </w:tcPr>
          <w:p w14:paraId="127F0DA3" w14:textId="484CE561" w:rsidR="00E17A15" w:rsidRPr="00A341D9" w:rsidRDefault="00E17A15" w:rsidP="002E375A">
            <w:pPr>
              <w:jc w:val="center"/>
              <w:rPr>
                <w:sz w:val="20"/>
                <w:szCs w:val="20"/>
                <w:lang w:val="en-US"/>
              </w:rPr>
            </w:pPr>
            <w:r w:rsidRPr="00A341D9">
              <w:rPr>
                <w:sz w:val="20"/>
                <w:szCs w:val="20"/>
                <w:lang w:val="en-US"/>
              </w:rPr>
              <w:t>66.7%</w:t>
            </w:r>
          </w:p>
          <w:p w14:paraId="2F3AD186" w14:textId="77777777" w:rsidR="00E17A15" w:rsidRPr="00A341D9" w:rsidRDefault="00E17A15" w:rsidP="002E375A">
            <w:pPr>
              <w:jc w:val="center"/>
              <w:rPr>
                <w:sz w:val="20"/>
                <w:szCs w:val="20"/>
                <w:lang w:val="en-US"/>
              </w:rPr>
            </w:pPr>
            <w:r w:rsidRPr="00A341D9">
              <w:rPr>
                <w:sz w:val="20"/>
                <w:szCs w:val="20"/>
                <w:lang w:val="en-US"/>
              </w:rPr>
              <w:t>(45 &amp; over)</w:t>
            </w:r>
          </w:p>
        </w:tc>
      </w:tr>
      <w:tr w:rsidR="002E375A" w:rsidRPr="00E17A15" w14:paraId="72E0A847" w14:textId="77777777" w:rsidTr="003A3575">
        <w:trPr>
          <w:cnfStyle w:val="000000010000" w:firstRow="0" w:lastRow="0" w:firstColumn="0" w:lastColumn="0" w:oddVBand="0" w:evenVBand="0" w:oddHBand="0" w:evenHBand="1" w:firstRowFirstColumn="0" w:firstRowLastColumn="0" w:lastRowFirstColumn="0" w:lastRowLastColumn="0"/>
          <w:trHeight w:val="340"/>
        </w:trPr>
        <w:tc>
          <w:tcPr>
            <w:tcW w:w="1701" w:type="dxa"/>
            <w:gridSpan w:val="2"/>
            <w:shd w:val="clear" w:color="auto" w:fill="EEF1F6"/>
            <w:vAlign w:val="center"/>
          </w:tcPr>
          <w:p w14:paraId="49D50FC4" w14:textId="77777777" w:rsidR="00E17A15" w:rsidRPr="00A341D9" w:rsidRDefault="00E17A15" w:rsidP="002E375A">
            <w:pPr>
              <w:rPr>
                <w:sz w:val="20"/>
                <w:szCs w:val="20"/>
                <w:lang w:val="en-US"/>
              </w:rPr>
            </w:pPr>
            <w:r w:rsidRPr="00A341D9">
              <w:rPr>
                <w:sz w:val="20"/>
                <w:szCs w:val="20"/>
                <w:lang w:val="en-US"/>
              </w:rPr>
              <w:t xml:space="preserve">TAFE QLD </w:t>
            </w:r>
          </w:p>
        </w:tc>
        <w:tc>
          <w:tcPr>
            <w:tcW w:w="1134" w:type="dxa"/>
            <w:shd w:val="clear" w:color="auto" w:fill="EEF1F6"/>
            <w:vAlign w:val="center"/>
          </w:tcPr>
          <w:p w14:paraId="0DCA9DF6" w14:textId="77777777" w:rsidR="00E17A15" w:rsidRPr="00A341D9" w:rsidRDefault="00E17A15" w:rsidP="002E375A">
            <w:pPr>
              <w:jc w:val="center"/>
              <w:rPr>
                <w:sz w:val="20"/>
                <w:szCs w:val="20"/>
                <w:lang w:val="en-US"/>
              </w:rPr>
            </w:pPr>
            <w:r w:rsidRPr="00A341D9">
              <w:rPr>
                <w:sz w:val="20"/>
                <w:szCs w:val="20"/>
                <w:lang w:val="en-US"/>
              </w:rPr>
              <w:t>5,073</w:t>
            </w:r>
          </w:p>
        </w:tc>
        <w:tc>
          <w:tcPr>
            <w:tcW w:w="1361" w:type="dxa"/>
            <w:shd w:val="clear" w:color="auto" w:fill="EEF1F6"/>
            <w:vAlign w:val="center"/>
          </w:tcPr>
          <w:p w14:paraId="311A8BFC" w14:textId="77777777" w:rsidR="00E17A15" w:rsidRPr="00A341D9" w:rsidRDefault="00E17A15" w:rsidP="002E375A">
            <w:pPr>
              <w:jc w:val="center"/>
              <w:rPr>
                <w:sz w:val="20"/>
                <w:szCs w:val="20"/>
                <w:lang w:val="en-US"/>
              </w:rPr>
            </w:pPr>
            <w:r w:rsidRPr="00A341D9">
              <w:rPr>
                <w:sz w:val="20"/>
                <w:szCs w:val="20"/>
                <w:lang w:val="en-US"/>
              </w:rPr>
              <w:t>49.5%</w:t>
            </w:r>
          </w:p>
        </w:tc>
        <w:tc>
          <w:tcPr>
            <w:tcW w:w="964" w:type="dxa"/>
            <w:shd w:val="clear" w:color="auto" w:fill="EEF1F6"/>
            <w:vAlign w:val="center"/>
          </w:tcPr>
          <w:p w14:paraId="6278FD10" w14:textId="77777777" w:rsidR="00E17A15" w:rsidRPr="00A341D9" w:rsidRDefault="00E17A15" w:rsidP="002E375A">
            <w:pPr>
              <w:jc w:val="center"/>
              <w:rPr>
                <w:sz w:val="20"/>
                <w:szCs w:val="20"/>
                <w:lang w:val="en-US"/>
              </w:rPr>
            </w:pPr>
            <w:r w:rsidRPr="00A341D9">
              <w:rPr>
                <w:sz w:val="20"/>
                <w:szCs w:val="20"/>
                <w:lang w:val="en-US"/>
              </w:rPr>
              <w:t>62.4%</w:t>
            </w:r>
          </w:p>
        </w:tc>
        <w:tc>
          <w:tcPr>
            <w:tcW w:w="1077" w:type="dxa"/>
            <w:shd w:val="clear" w:color="auto" w:fill="EEF1F6"/>
            <w:vAlign w:val="center"/>
          </w:tcPr>
          <w:p w14:paraId="569149B2" w14:textId="77777777" w:rsidR="00E17A15" w:rsidRPr="00A341D9" w:rsidRDefault="00E17A15" w:rsidP="002E375A">
            <w:pPr>
              <w:jc w:val="center"/>
              <w:rPr>
                <w:sz w:val="20"/>
                <w:szCs w:val="20"/>
                <w:lang w:val="en-US"/>
              </w:rPr>
            </w:pPr>
            <w:r w:rsidRPr="00A341D9">
              <w:rPr>
                <w:sz w:val="20"/>
                <w:szCs w:val="20"/>
                <w:lang w:val="en-US"/>
              </w:rPr>
              <w:t>1.9%</w:t>
            </w:r>
          </w:p>
        </w:tc>
        <w:tc>
          <w:tcPr>
            <w:tcW w:w="1134" w:type="dxa"/>
            <w:shd w:val="clear" w:color="auto" w:fill="EEF1F6"/>
            <w:vAlign w:val="center"/>
          </w:tcPr>
          <w:p w14:paraId="1EC5074F" w14:textId="77777777" w:rsidR="00E17A15" w:rsidRPr="00A341D9" w:rsidRDefault="00E17A15" w:rsidP="002E375A">
            <w:pPr>
              <w:jc w:val="center"/>
              <w:rPr>
                <w:sz w:val="20"/>
                <w:szCs w:val="20"/>
                <w:lang w:val="en-US"/>
              </w:rPr>
            </w:pPr>
            <w:r w:rsidRPr="00A341D9">
              <w:rPr>
                <w:sz w:val="20"/>
                <w:szCs w:val="20"/>
                <w:lang w:val="en-US"/>
              </w:rPr>
              <w:t>3.0%</w:t>
            </w:r>
          </w:p>
        </w:tc>
        <w:tc>
          <w:tcPr>
            <w:tcW w:w="1757" w:type="dxa"/>
            <w:shd w:val="clear" w:color="auto" w:fill="EEF1F6"/>
            <w:vAlign w:val="center"/>
          </w:tcPr>
          <w:p w14:paraId="07B62CC8" w14:textId="77777777" w:rsidR="00E17A15" w:rsidRPr="00A341D9" w:rsidRDefault="00E17A15" w:rsidP="002E375A">
            <w:pPr>
              <w:jc w:val="center"/>
              <w:rPr>
                <w:sz w:val="20"/>
                <w:szCs w:val="20"/>
                <w:lang w:val="en-US"/>
              </w:rPr>
            </w:pPr>
            <w:r w:rsidRPr="00A341D9">
              <w:rPr>
                <w:sz w:val="20"/>
                <w:szCs w:val="20"/>
                <w:lang w:val="en-US"/>
              </w:rPr>
              <w:t>52.0%</w:t>
            </w:r>
          </w:p>
        </w:tc>
      </w:tr>
      <w:tr w:rsidR="00A341D9" w:rsidRPr="00E17A15" w14:paraId="7DBCFD66" w14:textId="77777777" w:rsidTr="003A3575">
        <w:trPr>
          <w:trHeight w:val="340"/>
        </w:trPr>
        <w:tc>
          <w:tcPr>
            <w:tcW w:w="1701" w:type="dxa"/>
            <w:gridSpan w:val="2"/>
            <w:vAlign w:val="center"/>
          </w:tcPr>
          <w:p w14:paraId="2FA4B1C4" w14:textId="77777777" w:rsidR="00E17A15" w:rsidRPr="00A341D9" w:rsidRDefault="00E17A15" w:rsidP="002E375A">
            <w:pPr>
              <w:rPr>
                <w:sz w:val="20"/>
                <w:szCs w:val="20"/>
                <w:lang w:val="en-US"/>
              </w:rPr>
            </w:pPr>
            <w:r w:rsidRPr="00A341D9">
              <w:rPr>
                <w:sz w:val="20"/>
                <w:szCs w:val="20"/>
                <w:lang w:val="en-US"/>
              </w:rPr>
              <w:t xml:space="preserve">TAFE SA </w:t>
            </w:r>
          </w:p>
        </w:tc>
        <w:tc>
          <w:tcPr>
            <w:tcW w:w="1134" w:type="dxa"/>
            <w:vAlign w:val="center"/>
          </w:tcPr>
          <w:p w14:paraId="5C447D59" w14:textId="77777777" w:rsidR="00E17A15" w:rsidRPr="00A341D9" w:rsidRDefault="00E17A15" w:rsidP="002E375A">
            <w:pPr>
              <w:jc w:val="center"/>
              <w:rPr>
                <w:sz w:val="20"/>
                <w:szCs w:val="20"/>
                <w:lang w:val="en-US"/>
              </w:rPr>
            </w:pPr>
            <w:r w:rsidRPr="00A341D9">
              <w:rPr>
                <w:sz w:val="20"/>
                <w:szCs w:val="20"/>
                <w:lang w:val="en-US"/>
              </w:rPr>
              <w:t>2,315</w:t>
            </w:r>
          </w:p>
        </w:tc>
        <w:tc>
          <w:tcPr>
            <w:tcW w:w="1361" w:type="dxa"/>
            <w:vAlign w:val="center"/>
          </w:tcPr>
          <w:p w14:paraId="4A89B4AB" w14:textId="77777777" w:rsidR="00E17A15" w:rsidRPr="00A341D9" w:rsidRDefault="00E17A15" w:rsidP="002E375A">
            <w:pPr>
              <w:jc w:val="center"/>
              <w:rPr>
                <w:sz w:val="20"/>
                <w:szCs w:val="20"/>
                <w:lang w:val="en-US"/>
              </w:rPr>
            </w:pPr>
            <w:r w:rsidRPr="00A341D9">
              <w:rPr>
                <w:sz w:val="20"/>
                <w:szCs w:val="20"/>
                <w:lang w:val="en-US"/>
              </w:rPr>
              <w:t>55.4%</w:t>
            </w:r>
          </w:p>
        </w:tc>
        <w:tc>
          <w:tcPr>
            <w:tcW w:w="964" w:type="dxa"/>
            <w:vAlign w:val="center"/>
          </w:tcPr>
          <w:p w14:paraId="1FE4EF32" w14:textId="77777777" w:rsidR="00E17A15" w:rsidRPr="00A341D9" w:rsidRDefault="00E17A15" w:rsidP="002E375A">
            <w:pPr>
              <w:jc w:val="center"/>
              <w:rPr>
                <w:sz w:val="20"/>
                <w:szCs w:val="20"/>
                <w:lang w:val="en-US"/>
              </w:rPr>
            </w:pPr>
            <w:r w:rsidRPr="00A341D9">
              <w:rPr>
                <w:sz w:val="20"/>
                <w:szCs w:val="20"/>
                <w:lang w:val="en-US"/>
              </w:rPr>
              <w:t>63.6%</w:t>
            </w:r>
          </w:p>
        </w:tc>
        <w:tc>
          <w:tcPr>
            <w:tcW w:w="1077" w:type="dxa"/>
            <w:vAlign w:val="center"/>
          </w:tcPr>
          <w:p w14:paraId="2CB91A4C" w14:textId="77777777" w:rsidR="00E17A15" w:rsidRPr="00A341D9" w:rsidRDefault="00E17A15" w:rsidP="002E375A">
            <w:pPr>
              <w:jc w:val="center"/>
              <w:rPr>
                <w:sz w:val="20"/>
                <w:szCs w:val="20"/>
                <w:lang w:val="en-US"/>
              </w:rPr>
            </w:pPr>
            <w:r w:rsidRPr="00A341D9">
              <w:rPr>
                <w:sz w:val="20"/>
                <w:szCs w:val="20"/>
                <w:lang w:val="en-US"/>
              </w:rPr>
              <w:t>0.9%</w:t>
            </w:r>
          </w:p>
        </w:tc>
        <w:tc>
          <w:tcPr>
            <w:tcW w:w="1134" w:type="dxa"/>
            <w:vAlign w:val="center"/>
          </w:tcPr>
          <w:p w14:paraId="543293E0" w14:textId="77777777" w:rsidR="00E17A15" w:rsidRPr="00A341D9" w:rsidRDefault="00E17A15" w:rsidP="002E375A">
            <w:pPr>
              <w:jc w:val="center"/>
              <w:rPr>
                <w:sz w:val="20"/>
                <w:szCs w:val="20"/>
                <w:lang w:val="en-US"/>
              </w:rPr>
            </w:pPr>
            <w:r w:rsidRPr="00A341D9">
              <w:rPr>
                <w:sz w:val="20"/>
                <w:szCs w:val="20"/>
                <w:lang w:val="en-US"/>
              </w:rPr>
              <w:t>0.5%</w:t>
            </w:r>
          </w:p>
        </w:tc>
        <w:tc>
          <w:tcPr>
            <w:tcW w:w="1757" w:type="dxa"/>
            <w:vAlign w:val="center"/>
          </w:tcPr>
          <w:p w14:paraId="335FD00B" w14:textId="77777777" w:rsidR="00E17A15" w:rsidRPr="00A341D9" w:rsidRDefault="00E17A15" w:rsidP="002E375A">
            <w:pPr>
              <w:jc w:val="center"/>
              <w:rPr>
                <w:sz w:val="20"/>
                <w:szCs w:val="20"/>
                <w:lang w:val="en-US"/>
              </w:rPr>
            </w:pPr>
            <w:r w:rsidRPr="00A341D9">
              <w:rPr>
                <w:sz w:val="20"/>
                <w:szCs w:val="20"/>
                <w:lang w:val="en-US"/>
              </w:rPr>
              <w:t>53.8%</w:t>
            </w:r>
          </w:p>
        </w:tc>
      </w:tr>
      <w:tr w:rsidR="002E375A" w:rsidRPr="00E17A15" w14:paraId="096F77BF" w14:textId="77777777" w:rsidTr="003A3575">
        <w:trPr>
          <w:cnfStyle w:val="000000010000" w:firstRow="0" w:lastRow="0" w:firstColumn="0" w:lastColumn="0" w:oddVBand="0" w:evenVBand="0" w:oddHBand="0" w:evenHBand="1" w:firstRowFirstColumn="0" w:firstRowLastColumn="0" w:lastRowFirstColumn="0" w:lastRowLastColumn="0"/>
          <w:trHeight w:val="340"/>
        </w:trPr>
        <w:tc>
          <w:tcPr>
            <w:tcW w:w="1701" w:type="dxa"/>
            <w:gridSpan w:val="2"/>
            <w:shd w:val="clear" w:color="auto" w:fill="EEF1F6"/>
            <w:vAlign w:val="center"/>
          </w:tcPr>
          <w:p w14:paraId="5652363A" w14:textId="77777777" w:rsidR="00E17A15" w:rsidRPr="00A341D9" w:rsidRDefault="00E17A15" w:rsidP="002E375A">
            <w:pPr>
              <w:rPr>
                <w:sz w:val="20"/>
                <w:szCs w:val="20"/>
                <w:lang w:val="en-US"/>
              </w:rPr>
            </w:pPr>
            <w:r w:rsidRPr="00A341D9">
              <w:rPr>
                <w:sz w:val="20"/>
                <w:szCs w:val="20"/>
                <w:lang w:val="en-US"/>
              </w:rPr>
              <w:t xml:space="preserve">TAS TAFE </w:t>
            </w:r>
          </w:p>
        </w:tc>
        <w:tc>
          <w:tcPr>
            <w:tcW w:w="1134" w:type="dxa"/>
            <w:shd w:val="clear" w:color="auto" w:fill="EEF1F6"/>
            <w:vAlign w:val="center"/>
          </w:tcPr>
          <w:p w14:paraId="2AF738CC" w14:textId="77777777" w:rsidR="00E17A15" w:rsidRPr="00A341D9" w:rsidRDefault="00E17A15" w:rsidP="002E375A">
            <w:pPr>
              <w:jc w:val="center"/>
              <w:rPr>
                <w:sz w:val="20"/>
                <w:szCs w:val="20"/>
                <w:lang w:val="en-US"/>
              </w:rPr>
            </w:pPr>
            <w:r w:rsidRPr="00A341D9">
              <w:rPr>
                <w:sz w:val="20"/>
                <w:szCs w:val="20"/>
                <w:lang w:val="en-US"/>
              </w:rPr>
              <w:t>944</w:t>
            </w:r>
          </w:p>
        </w:tc>
        <w:tc>
          <w:tcPr>
            <w:tcW w:w="1361" w:type="dxa"/>
            <w:shd w:val="clear" w:color="auto" w:fill="EEF1F6"/>
            <w:vAlign w:val="center"/>
          </w:tcPr>
          <w:p w14:paraId="694AA8E6" w14:textId="77777777" w:rsidR="00E17A15" w:rsidRPr="00A341D9" w:rsidRDefault="00E17A15" w:rsidP="002E375A">
            <w:pPr>
              <w:jc w:val="center"/>
              <w:rPr>
                <w:sz w:val="20"/>
                <w:szCs w:val="20"/>
                <w:lang w:val="en-US"/>
              </w:rPr>
            </w:pPr>
            <w:r w:rsidRPr="00A341D9">
              <w:rPr>
                <w:sz w:val="20"/>
                <w:szCs w:val="20"/>
                <w:lang w:val="en-US"/>
              </w:rPr>
              <w:t>51.1%</w:t>
            </w:r>
          </w:p>
        </w:tc>
        <w:tc>
          <w:tcPr>
            <w:tcW w:w="964" w:type="dxa"/>
            <w:shd w:val="clear" w:color="auto" w:fill="EEF1F6"/>
            <w:vAlign w:val="center"/>
          </w:tcPr>
          <w:p w14:paraId="703E61A2" w14:textId="77777777" w:rsidR="00E17A15" w:rsidRPr="00A341D9" w:rsidRDefault="00E17A15" w:rsidP="002E375A">
            <w:pPr>
              <w:jc w:val="center"/>
              <w:rPr>
                <w:sz w:val="20"/>
                <w:szCs w:val="20"/>
                <w:lang w:val="en-US"/>
              </w:rPr>
            </w:pPr>
            <w:r w:rsidRPr="00A341D9">
              <w:rPr>
                <w:sz w:val="20"/>
                <w:szCs w:val="20"/>
                <w:lang w:val="en-US"/>
              </w:rPr>
              <w:t>54.9%</w:t>
            </w:r>
          </w:p>
        </w:tc>
        <w:tc>
          <w:tcPr>
            <w:tcW w:w="1077" w:type="dxa"/>
            <w:shd w:val="clear" w:color="auto" w:fill="EEF1F6"/>
            <w:vAlign w:val="center"/>
          </w:tcPr>
          <w:p w14:paraId="24347B24" w14:textId="77777777" w:rsidR="00E17A15" w:rsidRPr="00A341D9" w:rsidRDefault="00E17A15" w:rsidP="002E375A">
            <w:pPr>
              <w:jc w:val="center"/>
              <w:rPr>
                <w:sz w:val="20"/>
                <w:szCs w:val="20"/>
                <w:lang w:val="en-US"/>
              </w:rPr>
            </w:pPr>
            <w:r w:rsidRPr="00A341D9">
              <w:rPr>
                <w:sz w:val="20"/>
                <w:szCs w:val="20"/>
                <w:lang w:val="en-US"/>
              </w:rPr>
              <w:t>2.5%</w:t>
            </w:r>
          </w:p>
        </w:tc>
        <w:tc>
          <w:tcPr>
            <w:tcW w:w="1134" w:type="dxa"/>
            <w:shd w:val="clear" w:color="auto" w:fill="EEF1F6"/>
            <w:vAlign w:val="center"/>
          </w:tcPr>
          <w:p w14:paraId="0C64CE27" w14:textId="77777777" w:rsidR="00E17A15" w:rsidRPr="00A341D9" w:rsidRDefault="00E17A15" w:rsidP="002E375A">
            <w:pPr>
              <w:jc w:val="center"/>
              <w:rPr>
                <w:sz w:val="20"/>
                <w:szCs w:val="20"/>
                <w:lang w:val="en-US"/>
              </w:rPr>
            </w:pPr>
            <w:r w:rsidRPr="00A341D9">
              <w:rPr>
                <w:sz w:val="20"/>
                <w:szCs w:val="20"/>
                <w:lang w:val="en-US"/>
              </w:rPr>
              <w:t>2.5%</w:t>
            </w:r>
          </w:p>
        </w:tc>
        <w:tc>
          <w:tcPr>
            <w:tcW w:w="1757" w:type="dxa"/>
            <w:shd w:val="clear" w:color="auto" w:fill="EEF1F6"/>
            <w:vAlign w:val="center"/>
          </w:tcPr>
          <w:p w14:paraId="124558E1" w14:textId="77777777" w:rsidR="00E17A15" w:rsidRPr="00A341D9" w:rsidRDefault="00E17A15" w:rsidP="002E375A">
            <w:pPr>
              <w:jc w:val="center"/>
              <w:rPr>
                <w:sz w:val="20"/>
                <w:szCs w:val="20"/>
                <w:lang w:val="en-US"/>
              </w:rPr>
            </w:pPr>
            <w:r w:rsidRPr="00A341D9">
              <w:rPr>
                <w:sz w:val="20"/>
                <w:szCs w:val="20"/>
                <w:lang w:val="en-US"/>
              </w:rPr>
              <w:t>61.</w:t>
            </w:r>
            <w:r w:rsidRPr="00A341D9" w:rsidDel="00391502">
              <w:rPr>
                <w:sz w:val="20"/>
                <w:szCs w:val="20"/>
                <w:lang w:val="en-US"/>
              </w:rPr>
              <w:t>0</w:t>
            </w:r>
            <w:r w:rsidRPr="00A341D9">
              <w:rPr>
                <w:sz w:val="20"/>
                <w:szCs w:val="20"/>
                <w:lang w:val="en-US"/>
              </w:rPr>
              <w:t>%</w:t>
            </w:r>
          </w:p>
        </w:tc>
      </w:tr>
      <w:tr w:rsidR="00A341D9" w:rsidRPr="00E17A15" w14:paraId="16A7D6D3" w14:textId="77777777" w:rsidTr="003A3575">
        <w:trPr>
          <w:trHeight w:val="340"/>
        </w:trPr>
        <w:tc>
          <w:tcPr>
            <w:tcW w:w="1701" w:type="dxa"/>
            <w:gridSpan w:val="2"/>
            <w:vAlign w:val="center"/>
          </w:tcPr>
          <w:p w14:paraId="1451A338" w14:textId="77777777" w:rsidR="00E17A15" w:rsidRPr="00A341D9" w:rsidRDefault="00E17A15" w:rsidP="002E375A">
            <w:pPr>
              <w:rPr>
                <w:sz w:val="20"/>
                <w:szCs w:val="20"/>
                <w:lang w:val="en-US"/>
              </w:rPr>
            </w:pPr>
            <w:r w:rsidRPr="00A341D9">
              <w:rPr>
                <w:sz w:val="20"/>
                <w:szCs w:val="20"/>
                <w:lang w:val="en-US"/>
              </w:rPr>
              <w:t>Victorian TAFEs^</w:t>
            </w:r>
          </w:p>
        </w:tc>
        <w:tc>
          <w:tcPr>
            <w:tcW w:w="1134" w:type="dxa"/>
            <w:vAlign w:val="center"/>
          </w:tcPr>
          <w:p w14:paraId="1AEF641A" w14:textId="77777777" w:rsidR="00E17A15" w:rsidRPr="00A341D9" w:rsidRDefault="00E17A15" w:rsidP="002E375A">
            <w:pPr>
              <w:jc w:val="center"/>
              <w:rPr>
                <w:sz w:val="20"/>
                <w:szCs w:val="20"/>
                <w:lang w:val="en-US"/>
              </w:rPr>
            </w:pPr>
            <w:r w:rsidRPr="00A341D9">
              <w:rPr>
                <w:sz w:val="20"/>
                <w:szCs w:val="20"/>
                <w:lang w:val="en-US"/>
              </w:rPr>
              <w:t>9,448</w:t>
            </w:r>
          </w:p>
        </w:tc>
        <w:tc>
          <w:tcPr>
            <w:tcW w:w="1361" w:type="dxa"/>
            <w:vAlign w:val="center"/>
          </w:tcPr>
          <w:p w14:paraId="6CDFFB3B" w14:textId="77777777" w:rsidR="00E17A15" w:rsidRPr="00A341D9" w:rsidRDefault="00E17A15" w:rsidP="002E375A">
            <w:pPr>
              <w:jc w:val="center"/>
              <w:rPr>
                <w:sz w:val="20"/>
                <w:szCs w:val="20"/>
                <w:lang w:val="en-US"/>
              </w:rPr>
            </w:pPr>
            <w:r w:rsidRPr="00A341D9">
              <w:rPr>
                <w:sz w:val="20"/>
                <w:szCs w:val="20"/>
                <w:lang w:val="en-US"/>
              </w:rPr>
              <w:t>48.1%</w:t>
            </w:r>
          </w:p>
        </w:tc>
        <w:tc>
          <w:tcPr>
            <w:tcW w:w="964" w:type="dxa"/>
            <w:vAlign w:val="center"/>
          </w:tcPr>
          <w:p w14:paraId="67B5F2B4" w14:textId="77777777" w:rsidR="00E17A15" w:rsidRPr="00A341D9" w:rsidRDefault="00E17A15" w:rsidP="002E375A">
            <w:pPr>
              <w:jc w:val="center"/>
              <w:rPr>
                <w:sz w:val="20"/>
                <w:szCs w:val="20"/>
                <w:lang w:val="en-US"/>
              </w:rPr>
            </w:pPr>
            <w:r w:rsidRPr="00A341D9">
              <w:rPr>
                <w:sz w:val="20"/>
                <w:szCs w:val="20"/>
                <w:lang w:val="en-US"/>
              </w:rPr>
              <w:t>59.2%</w:t>
            </w:r>
          </w:p>
        </w:tc>
        <w:tc>
          <w:tcPr>
            <w:tcW w:w="1077" w:type="dxa"/>
            <w:vAlign w:val="center"/>
          </w:tcPr>
          <w:p w14:paraId="4A2CCF5D" w14:textId="77777777" w:rsidR="00E17A15" w:rsidRPr="00A341D9" w:rsidRDefault="00E17A15" w:rsidP="002E375A">
            <w:pPr>
              <w:jc w:val="center"/>
              <w:rPr>
                <w:sz w:val="20"/>
                <w:szCs w:val="20"/>
                <w:lang w:val="en-US"/>
              </w:rPr>
            </w:pPr>
            <w:r w:rsidRPr="00A341D9">
              <w:rPr>
                <w:sz w:val="20"/>
                <w:szCs w:val="20"/>
                <w:lang w:val="en-US"/>
              </w:rPr>
              <w:t>0.8%</w:t>
            </w:r>
          </w:p>
        </w:tc>
        <w:tc>
          <w:tcPr>
            <w:tcW w:w="1134" w:type="dxa"/>
            <w:vAlign w:val="center"/>
          </w:tcPr>
          <w:p w14:paraId="341BF2CF" w14:textId="77777777" w:rsidR="00E17A15" w:rsidRPr="00A341D9" w:rsidRDefault="00E17A15" w:rsidP="002E375A">
            <w:pPr>
              <w:jc w:val="center"/>
              <w:rPr>
                <w:sz w:val="20"/>
                <w:szCs w:val="20"/>
                <w:lang w:val="en-US"/>
              </w:rPr>
            </w:pPr>
            <w:r w:rsidRPr="00A341D9">
              <w:rPr>
                <w:sz w:val="20"/>
                <w:szCs w:val="20"/>
                <w:lang w:val="en-US"/>
              </w:rPr>
              <w:t>N/A</w:t>
            </w:r>
          </w:p>
        </w:tc>
        <w:tc>
          <w:tcPr>
            <w:tcW w:w="1757" w:type="dxa"/>
            <w:vAlign w:val="center"/>
          </w:tcPr>
          <w:p w14:paraId="2F3EC8BD" w14:textId="77777777" w:rsidR="00E17A15" w:rsidRPr="00A341D9" w:rsidRDefault="00E17A15" w:rsidP="002E375A">
            <w:pPr>
              <w:jc w:val="center"/>
              <w:rPr>
                <w:sz w:val="20"/>
                <w:szCs w:val="20"/>
                <w:lang w:val="en-US"/>
              </w:rPr>
            </w:pPr>
            <w:r w:rsidRPr="00A341D9">
              <w:rPr>
                <w:sz w:val="20"/>
                <w:szCs w:val="20"/>
                <w:lang w:val="en-US"/>
              </w:rPr>
              <w:t>48.4%</w:t>
            </w:r>
          </w:p>
        </w:tc>
      </w:tr>
      <w:tr w:rsidR="002E375A" w:rsidRPr="00E17A15" w14:paraId="0C64D410" w14:textId="77777777" w:rsidTr="003A3575">
        <w:trPr>
          <w:cnfStyle w:val="000000010000" w:firstRow="0" w:lastRow="0" w:firstColumn="0" w:lastColumn="0" w:oddVBand="0" w:evenVBand="0" w:oddHBand="0" w:evenHBand="1" w:firstRowFirstColumn="0" w:firstRowLastColumn="0" w:lastRowFirstColumn="0" w:lastRowLastColumn="0"/>
          <w:trHeight w:val="340"/>
        </w:trPr>
        <w:tc>
          <w:tcPr>
            <w:tcW w:w="1701" w:type="dxa"/>
            <w:gridSpan w:val="2"/>
            <w:shd w:val="clear" w:color="auto" w:fill="EEF1F6"/>
            <w:vAlign w:val="center"/>
          </w:tcPr>
          <w:p w14:paraId="3FE9202A" w14:textId="77777777" w:rsidR="00E17A15" w:rsidRPr="00A341D9" w:rsidRDefault="00E17A15" w:rsidP="002E375A">
            <w:pPr>
              <w:rPr>
                <w:sz w:val="20"/>
                <w:szCs w:val="20"/>
                <w:lang w:val="en-US"/>
              </w:rPr>
            </w:pPr>
            <w:r w:rsidRPr="00A341D9">
              <w:rPr>
                <w:sz w:val="20"/>
                <w:szCs w:val="20"/>
                <w:lang w:val="en-US"/>
              </w:rPr>
              <w:t xml:space="preserve">WA TAFEs* </w:t>
            </w:r>
          </w:p>
        </w:tc>
        <w:tc>
          <w:tcPr>
            <w:tcW w:w="1134" w:type="dxa"/>
            <w:shd w:val="clear" w:color="auto" w:fill="EEF1F6"/>
            <w:vAlign w:val="center"/>
          </w:tcPr>
          <w:p w14:paraId="6D83B7FB" w14:textId="77777777" w:rsidR="00E17A15" w:rsidRPr="00A341D9" w:rsidRDefault="00E17A15" w:rsidP="002E375A">
            <w:pPr>
              <w:jc w:val="center"/>
              <w:rPr>
                <w:sz w:val="20"/>
                <w:szCs w:val="20"/>
                <w:lang w:val="en-US"/>
              </w:rPr>
            </w:pPr>
            <w:r w:rsidRPr="00A341D9">
              <w:rPr>
                <w:sz w:val="20"/>
                <w:szCs w:val="20"/>
                <w:lang w:val="en-US"/>
              </w:rPr>
              <w:t>4,525*</w:t>
            </w:r>
          </w:p>
        </w:tc>
        <w:tc>
          <w:tcPr>
            <w:tcW w:w="1361" w:type="dxa"/>
            <w:shd w:val="clear" w:color="auto" w:fill="EEF1F6"/>
            <w:vAlign w:val="center"/>
          </w:tcPr>
          <w:p w14:paraId="71361862" w14:textId="77777777" w:rsidR="00E17A15" w:rsidRPr="00A341D9" w:rsidRDefault="00E17A15" w:rsidP="002E375A">
            <w:pPr>
              <w:jc w:val="center"/>
              <w:rPr>
                <w:sz w:val="20"/>
                <w:szCs w:val="20"/>
                <w:lang w:val="en-US"/>
              </w:rPr>
            </w:pPr>
            <w:r w:rsidRPr="00A341D9">
              <w:rPr>
                <w:sz w:val="20"/>
                <w:szCs w:val="20"/>
                <w:lang w:val="en-US"/>
              </w:rPr>
              <w:t>62.6%†</w:t>
            </w:r>
          </w:p>
        </w:tc>
        <w:tc>
          <w:tcPr>
            <w:tcW w:w="964" w:type="dxa"/>
            <w:shd w:val="clear" w:color="auto" w:fill="EEF1F6"/>
            <w:vAlign w:val="center"/>
          </w:tcPr>
          <w:p w14:paraId="43525FB6" w14:textId="77777777" w:rsidR="00E17A15" w:rsidRPr="00A341D9" w:rsidRDefault="00E17A15" w:rsidP="002E375A">
            <w:pPr>
              <w:jc w:val="center"/>
              <w:rPr>
                <w:sz w:val="20"/>
                <w:szCs w:val="20"/>
                <w:lang w:val="en-US"/>
              </w:rPr>
            </w:pPr>
            <w:r w:rsidRPr="00A341D9">
              <w:rPr>
                <w:sz w:val="20"/>
                <w:szCs w:val="20"/>
                <w:lang w:val="en-US"/>
              </w:rPr>
              <w:t>63.3%†</w:t>
            </w:r>
          </w:p>
        </w:tc>
        <w:tc>
          <w:tcPr>
            <w:tcW w:w="1077" w:type="dxa"/>
            <w:shd w:val="clear" w:color="auto" w:fill="EEF1F6"/>
            <w:vAlign w:val="center"/>
          </w:tcPr>
          <w:p w14:paraId="4A2EA98D" w14:textId="77777777" w:rsidR="00E17A15" w:rsidRPr="00A341D9" w:rsidRDefault="00E17A15" w:rsidP="002E375A">
            <w:pPr>
              <w:jc w:val="center"/>
              <w:rPr>
                <w:sz w:val="20"/>
                <w:szCs w:val="20"/>
                <w:lang w:val="en-US"/>
              </w:rPr>
            </w:pPr>
            <w:r w:rsidRPr="00A341D9">
              <w:rPr>
                <w:sz w:val="20"/>
                <w:szCs w:val="20"/>
                <w:lang w:val="en-US"/>
              </w:rPr>
              <w:t>5.7%†</w:t>
            </w:r>
          </w:p>
        </w:tc>
        <w:tc>
          <w:tcPr>
            <w:tcW w:w="1134" w:type="dxa"/>
            <w:shd w:val="clear" w:color="auto" w:fill="EEF1F6"/>
            <w:vAlign w:val="center"/>
          </w:tcPr>
          <w:p w14:paraId="7B2B574B" w14:textId="77777777" w:rsidR="00E17A15" w:rsidRPr="00A341D9" w:rsidRDefault="00E17A15" w:rsidP="002E375A">
            <w:pPr>
              <w:jc w:val="center"/>
              <w:rPr>
                <w:sz w:val="20"/>
                <w:szCs w:val="20"/>
                <w:lang w:val="en-US"/>
              </w:rPr>
            </w:pPr>
            <w:r w:rsidRPr="00A341D9">
              <w:rPr>
                <w:sz w:val="20"/>
                <w:szCs w:val="20"/>
                <w:lang w:val="en-US"/>
              </w:rPr>
              <w:t>3.7%†</w:t>
            </w:r>
          </w:p>
        </w:tc>
        <w:tc>
          <w:tcPr>
            <w:tcW w:w="1757" w:type="dxa"/>
            <w:shd w:val="clear" w:color="auto" w:fill="EEF1F6"/>
            <w:vAlign w:val="center"/>
          </w:tcPr>
          <w:p w14:paraId="48C0C69E" w14:textId="49089CC5" w:rsidR="00E17A15" w:rsidRPr="00A341D9" w:rsidRDefault="00E17A15" w:rsidP="002E375A">
            <w:pPr>
              <w:jc w:val="center"/>
              <w:rPr>
                <w:sz w:val="20"/>
                <w:szCs w:val="20"/>
                <w:lang w:val="en-US"/>
              </w:rPr>
            </w:pPr>
            <w:r w:rsidRPr="00A341D9">
              <w:rPr>
                <w:sz w:val="20"/>
                <w:szCs w:val="20"/>
                <w:lang w:val="en-US"/>
              </w:rPr>
              <w:t>68.3%</w:t>
            </w:r>
          </w:p>
          <w:p w14:paraId="2690644E" w14:textId="77777777" w:rsidR="00E17A15" w:rsidRPr="00A341D9" w:rsidRDefault="00E17A15" w:rsidP="002E375A">
            <w:pPr>
              <w:jc w:val="center"/>
              <w:rPr>
                <w:sz w:val="20"/>
                <w:szCs w:val="20"/>
                <w:lang w:val="en-US"/>
              </w:rPr>
            </w:pPr>
            <w:r w:rsidRPr="00A341D9">
              <w:rPr>
                <w:sz w:val="20"/>
                <w:szCs w:val="20"/>
                <w:lang w:val="en-US"/>
              </w:rPr>
              <w:t>(45 &amp; over)</w:t>
            </w:r>
          </w:p>
        </w:tc>
      </w:tr>
      <w:bookmarkEnd w:id="228"/>
      <w:tr w:rsidR="00A341D9" w:rsidRPr="00E17A15" w14:paraId="2C984805" w14:textId="77777777" w:rsidTr="003A3575">
        <w:trPr>
          <w:trHeight w:val="1037"/>
        </w:trPr>
        <w:tc>
          <w:tcPr>
            <w:tcW w:w="1701" w:type="dxa"/>
            <w:gridSpan w:val="2"/>
            <w:vAlign w:val="center"/>
          </w:tcPr>
          <w:p w14:paraId="1328277B" w14:textId="77777777" w:rsidR="00E17A15" w:rsidRPr="00A341D9" w:rsidRDefault="00E17A15" w:rsidP="002E375A">
            <w:pPr>
              <w:rPr>
                <w:sz w:val="20"/>
                <w:szCs w:val="20"/>
                <w:lang w:val="en-US"/>
              </w:rPr>
            </w:pPr>
            <w:r w:rsidRPr="00A341D9">
              <w:rPr>
                <w:sz w:val="20"/>
                <w:szCs w:val="20"/>
                <w:lang w:val="en-US"/>
              </w:rPr>
              <w:t>Canberra Institute of Technology (CIT) - ACT</w:t>
            </w:r>
          </w:p>
        </w:tc>
        <w:tc>
          <w:tcPr>
            <w:tcW w:w="1134" w:type="dxa"/>
            <w:vAlign w:val="center"/>
          </w:tcPr>
          <w:p w14:paraId="067F5FF8" w14:textId="77777777" w:rsidR="00E17A15" w:rsidRPr="00A341D9" w:rsidRDefault="00E17A15" w:rsidP="002E375A">
            <w:pPr>
              <w:jc w:val="center"/>
              <w:rPr>
                <w:sz w:val="20"/>
                <w:szCs w:val="20"/>
                <w:lang w:val="en-US"/>
              </w:rPr>
            </w:pPr>
            <w:r w:rsidRPr="00A341D9">
              <w:rPr>
                <w:sz w:val="20"/>
                <w:szCs w:val="20"/>
                <w:lang w:val="en-US"/>
              </w:rPr>
              <w:t>875</w:t>
            </w:r>
          </w:p>
        </w:tc>
        <w:tc>
          <w:tcPr>
            <w:tcW w:w="1361" w:type="dxa"/>
            <w:vAlign w:val="center"/>
          </w:tcPr>
          <w:p w14:paraId="5F916F1B" w14:textId="77777777" w:rsidR="00E17A15" w:rsidRPr="00A341D9" w:rsidRDefault="00E17A15" w:rsidP="002E375A">
            <w:pPr>
              <w:jc w:val="center"/>
              <w:rPr>
                <w:sz w:val="20"/>
                <w:szCs w:val="20"/>
                <w:lang w:val="en-US"/>
              </w:rPr>
            </w:pPr>
            <w:r w:rsidRPr="00A341D9">
              <w:rPr>
                <w:sz w:val="20"/>
                <w:szCs w:val="20"/>
                <w:lang w:val="en-US"/>
              </w:rPr>
              <w:t>57.0%</w:t>
            </w:r>
          </w:p>
        </w:tc>
        <w:tc>
          <w:tcPr>
            <w:tcW w:w="964" w:type="dxa"/>
            <w:vAlign w:val="center"/>
          </w:tcPr>
          <w:p w14:paraId="6960399F" w14:textId="77777777" w:rsidR="00E17A15" w:rsidRPr="00A341D9" w:rsidRDefault="00E17A15" w:rsidP="002E375A">
            <w:pPr>
              <w:jc w:val="center"/>
              <w:rPr>
                <w:sz w:val="20"/>
                <w:szCs w:val="20"/>
                <w:lang w:val="en-US"/>
              </w:rPr>
            </w:pPr>
            <w:r w:rsidRPr="00A341D9">
              <w:rPr>
                <w:sz w:val="20"/>
                <w:szCs w:val="20"/>
                <w:lang w:val="en-US"/>
              </w:rPr>
              <w:t>54.9%</w:t>
            </w:r>
          </w:p>
        </w:tc>
        <w:tc>
          <w:tcPr>
            <w:tcW w:w="1077" w:type="dxa"/>
            <w:vAlign w:val="center"/>
          </w:tcPr>
          <w:p w14:paraId="2B8F684C" w14:textId="77777777" w:rsidR="00E17A15" w:rsidRPr="00A341D9" w:rsidRDefault="00E17A15" w:rsidP="002E375A">
            <w:pPr>
              <w:jc w:val="center"/>
              <w:rPr>
                <w:sz w:val="20"/>
                <w:szCs w:val="20"/>
                <w:lang w:val="en-US"/>
              </w:rPr>
            </w:pPr>
            <w:r w:rsidRPr="00A341D9">
              <w:rPr>
                <w:sz w:val="20"/>
                <w:szCs w:val="20"/>
                <w:lang w:val="en-US"/>
              </w:rPr>
              <w:t>3.1%</w:t>
            </w:r>
          </w:p>
        </w:tc>
        <w:tc>
          <w:tcPr>
            <w:tcW w:w="1134" w:type="dxa"/>
            <w:vAlign w:val="center"/>
          </w:tcPr>
          <w:p w14:paraId="37A0F5CA" w14:textId="77777777" w:rsidR="00E17A15" w:rsidRPr="00A341D9" w:rsidRDefault="00E17A15" w:rsidP="002E375A">
            <w:pPr>
              <w:jc w:val="center"/>
              <w:rPr>
                <w:sz w:val="20"/>
                <w:szCs w:val="20"/>
                <w:lang w:val="en-US"/>
              </w:rPr>
            </w:pPr>
            <w:r w:rsidRPr="00A341D9">
              <w:rPr>
                <w:sz w:val="20"/>
                <w:szCs w:val="20"/>
                <w:lang w:val="en-US"/>
              </w:rPr>
              <w:t>4.6%</w:t>
            </w:r>
          </w:p>
        </w:tc>
        <w:tc>
          <w:tcPr>
            <w:tcW w:w="1757" w:type="dxa"/>
            <w:vAlign w:val="center"/>
          </w:tcPr>
          <w:p w14:paraId="3502197B" w14:textId="77777777" w:rsidR="00E17A15" w:rsidRPr="00A341D9" w:rsidRDefault="00E17A15" w:rsidP="002E375A">
            <w:pPr>
              <w:jc w:val="center"/>
              <w:rPr>
                <w:sz w:val="20"/>
                <w:szCs w:val="20"/>
                <w:lang w:val="en-US"/>
              </w:rPr>
            </w:pPr>
            <w:r w:rsidRPr="00A341D9">
              <w:rPr>
                <w:sz w:val="20"/>
                <w:szCs w:val="20"/>
                <w:lang w:val="en-US"/>
              </w:rPr>
              <w:t>45.</w:t>
            </w:r>
            <w:r w:rsidRPr="00A341D9" w:rsidDel="00391502">
              <w:rPr>
                <w:sz w:val="20"/>
                <w:szCs w:val="20"/>
                <w:lang w:val="en-US"/>
              </w:rPr>
              <w:t>0</w:t>
            </w:r>
            <w:r w:rsidRPr="00A341D9">
              <w:rPr>
                <w:sz w:val="20"/>
                <w:szCs w:val="20"/>
                <w:lang w:val="en-US"/>
              </w:rPr>
              <w:t>%</w:t>
            </w:r>
          </w:p>
        </w:tc>
      </w:tr>
      <w:tr w:rsidR="002E375A" w:rsidRPr="00E17A15" w14:paraId="29760CC2" w14:textId="77777777" w:rsidTr="003A3575">
        <w:trPr>
          <w:cnfStyle w:val="000000010000" w:firstRow="0" w:lastRow="0" w:firstColumn="0" w:lastColumn="0" w:oddVBand="0" w:evenVBand="0" w:oddHBand="0" w:evenHBand="1" w:firstRowFirstColumn="0" w:firstRowLastColumn="0" w:lastRowFirstColumn="0" w:lastRowLastColumn="0"/>
          <w:trHeight w:val="782"/>
        </w:trPr>
        <w:tc>
          <w:tcPr>
            <w:tcW w:w="1701" w:type="dxa"/>
            <w:gridSpan w:val="2"/>
            <w:shd w:val="clear" w:color="auto" w:fill="EEF1F6"/>
            <w:vAlign w:val="center"/>
          </w:tcPr>
          <w:p w14:paraId="690FB477" w14:textId="086956DD" w:rsidR="00E17A15" w:rsidRPr="00A341D9" w:rsidRDefault="00E17A15" w:rsidP="002E375A">
            <w:pPr>
              <w:rPr>
                <w:sz w:val="20"/>
                <w:szCs w:val="20"/>
                <w:lang w:val="en-US"/>
              </w:rPr>
            </w:pPr>
            <w:r w:rsidRPr="00A341D9">
              <w:rPr>
                <w:sz w:val="20"/>
                <w:szCs w:val="20"/>
                <w:lang w:val="en-US"/>
              </w:rPr>
              <w:t>Charles</w:t>
            </w:r>
            <w:r w:rsidR="002E375A">
              <w:rPr>
                <w:sz w:val="20"/>
                <w:szCs w:val="20"/>
                <w:lang w:val="en-US"/>
              </w:rPr>
              <w:t xml:space="preserve"> </w:t>
            </w:r>
            <w:r w:rsidRPr="00A341D9">
              <w:rPr>
                <w:sz w:val="20"/>
                <w:szCs w:val="20"/>
                <w:lang w:val="en-US"/>
              </w:rPr>
              <w:t>Darwin University (CDU) - NT</w:t>
            </w:r>
          </w:p>
        </w:tc>
        <w:tc>
          <w:tcPr>
            <w:tcW w:w="1134" w:type="dxa"/>
            <w:shd w:val="clear" w:color="auto" w:fill="EEF1F6"/>
            <w:vAlign w:val="center"/>
          </w:tcPr>
          <w:p w14:paraId="1A8B3278" w14:textId="77777777" w:rsidR="00E17A15" w:rsidRPr="00A341D9" w:rsidRDefault="00E17A15" w:rsidP="002E375A">
            <w:pPr>
              <w:jc w:val="center"/>
              <w:rPr>
                <w:sz w:val="20"/>
                <w:szCs w:val="20"/>
                <w:lang w:val="en-US"/>
              </w:rPr>
            </w:pPr>
            <w:r w:rsidRPr="00A341D9">
              <w:rPr>
                <w:sz w:val="20"/>
                <w:szCs w:val="20"/>
                <w:lang w:val="en-US"/>
              </w:rPr>
              <w:t>292</w:t>
            </w:r>
          </w:p>
        </w:tc>
        <w:tc>
          <w:tcPr>
            <w:tcW w:w="1361" w:type="dxa"/>
            <w:shd w:val="clear" w:color="auto" w:fill="EEF1F6"/>
            <w:vAlign w:val="center"/>
          </w:tcPr>
          <w:p w14:paraId="691BD505" w14:textId="77777777" w:rsidR="00E17A15" w:rsidRPr="00A341D9" w:rsidRDefault="00E17A15" w:rsidP="002E375A">
            <w:pPr>
              <w:jc w:val="center"/>
              <w:rPr>
                <w:sz w:val="20"/>
                <w:szCs w:val="20"/>
                <w:lang w:val="en-US"/>
              </w:rPr>
            </w:pPr>
            <w:r w:rsidRPr="00A341D9">
              <w:rPr>
                <w:sz w:val="20"/>
                <w:szCs w:val="20"/>
                <w:lang w:val="en-US"/>
              </w:rPr>
              <w:t>N/A</w:t>
            </w:r>
          </w:p>
        </w:tc>
        <w:tc>
          <w:tcPr>
            <w:tcW w:w="964" w:type="dxa"/>
            <w:shd w:val="clear" w:color="auto" w:fill="EEF1F6"/>
            <w:vAlign w:val="center"/>
          </w:tcPr>
          <w:p w14:paraId="6BC82031" w14:textId="77777777" w:rsidR="00E17A15" w:rsidRPr="00A341D9" w:rsidRDefault="00E17A15" w:rsidP="002E375A">
            <w:pPr>
              <w:jc w:val="center"/>
              <w:rPr>
                <w:sz w:val="20"/>
                <w:szCs w:val="20"/>
                <w:lang w:val="en-US"/>
              </w:rPr>
            </w:pPr>
            <w:r w:rsidRPr="00A341D9">
              <w:rPr>
                <w:sz w:val="20"/>
                <w:szCs w:val="20"/>
                <w:lang w:val="en-US"/>
              </w:rPr>
              <w:t>51.0%</w:t>
            </w:r>
          </w:p>
        </w:tc>
        <w:tc>
          <w:tcPr>
            <w:tcW w:w="1077" w:type="dxa"/>
            <w:shd w:val="clear" w:color="auto" w:fill="EEF1F6"/>
            <w:vAlign w:val="center"/>
          </w:tcPr>
          <w:p w14:paraId="7787EFE8" w14:textId="77777777" w:rsidR="00E17A15" w:rsidRPr="00A341D9" w:rsidRDefault="00E17A15" w:rsidP="002E375A">
            <w:pPr>
              <w:jc w:val="center"/>
              <w:rPr>
                <w:sz w:val="20"/>
                <w:szCs w:val="20"/>
                <w:lang w:val="en-US"/>
              </w:rPr>
            </w:pPr>
            <w:r w:rsidRPr="00A341D9">
              <w:rPr>
                <w:sz w:val="20"/>
                <w:szCs w:val="20"/>
                <w:lang w:val="en-US"/>
              </w:rPr>
              <w:t>4.5%</w:t>
            </w:r>
          </w:p>
        </w:tc>
        <w:tc>
          <w:tcPr>
            <w:tcW w:w="1134" w:type="dxa"/>
            <w:shd w:val="clear" w:color="auto" w:fill="EEF1F6"/>
            <w:vAlign w:val="center"/>
          </w:tcPr>
          <w:p w14:paraId="350B9E14" w14:textId="77777777" w:rsidR="00E17A15" w:rsidRPr="00A341D9" w:rsidRDefault="00E17A15" w:rsidP="002E375A">
            <w:pPr>
              <w:jc w:val="center"/>
              <w:rPr>
                <w:sz w:val="20"/>
                <w:szCs w:val="20"/>
                <w:lang w:val="en-US"/>
              </w:rPr>
            </w:pPr>
            <w:r w:rsidRPr="00A341D9">
              <w:rPr>
                <w:sz w:val="20"/>
                <w:szCs w:val="20"/>
                <w:lang w:val="en-US"/>
              </w:rPr>
              <w:t>N/A</w:t>
            </w:r>
          </w:p>
        </w:tc>
        <w:tc>
          <w:tcPr>
            <w:tcW w:w="1757" w:type="dxa"/>
            <w:shd w:val="clear" w:color="auto" w:fill="EEF1F6"/>
            <w:vAlign w:val="center"/>
          </w:tcPr>
          <w:p w14:paraId="19BC366A" w14:textId="6A7305EF" w:rsidR="00E17A15" w:rsidRPr="00A341D9" w:rsidRDefault="00E17A15" w:rsidP="002E375A">
            <w:pPr>
              <w:jc w:val="center"/>
              <w:rPr>
                <w:sz w:val="20"/>
                <w:szCs w:val="20"/>
                <w:lang w:val="en-US"/>
              </w:rPr>
            </w:pPr>
            <w:r w:rsidRPr="00A341D9">
              <w:rPr>
                <w:sz w:val="20"/>
                <w:szCs w:val="20"/>
                <w:lang w:val="en-US"/>
              </w:rPr>
              <w:t>62.7%</w:t>
            </w:r>
          </w:p>
          <w:p w14:paraId="64804F7B" w14:textId="77777777" w:rsidR="00E17A15" w:rsidRPr="00A341D9" w:rsidRDefault="00E17A15" w:rsidP="002E375A">
            <w:pPr>
              <w:jc w:val="center"/>
              <w:rPr>
                <w:sz w:val="20"/>
                <w:szCs w:val="20"/>
                <w:lang w:val="en-US"/>
              </w:rPr>
            </w:pPr>
            <w:r w:rsidRPr="00A341D9">
              <w:rPr>
                <w:sz w:val="20"/>
                <w:szCs w:val="20"/>
                <w:lang w:val="en-US"/>
              </w:rPr>
              <w:t>(46 &amp; over)</w:t>
            </w:r>
          </w:p>
        </w:tc>
      </w:tr>
      <w:tr w:rsidR="00A341D9" w:rsidRPr="00E17A15" w14:paraId="1C865912" w14:textId="77777777" w:rsidTr="00E30778">
        <w:trPr>
          <w:trHeight w:val="527"/>
        </w:trPr>
        <w:tc>
          <w:tcPr>
            <w:tcW w:w="1701" w:type="dxa"/>
            <w:gridSpan w:val="2"/>
            <w:tcBorders>
              <w:bottom w:val="nil"/>
            </w:tcBorders>
            <w:vAlign w:val="center"/>
          </w:tcPr>
          <w:p w14:paraId="30D4379C" w14:textId="77777777" w:rsidR="00E17A15" w:rsidRPr="00A341D9" w:rsidRDefault="00E17A15" w:rsidP="002E375A">
            <w:pPr>
              <w:rPr>
                <w:sz w:val="20"/>
                <w:szCs w:val="20"/>
                <w:lang w:val="en-US"/>
              </w:rPr>
            </w:pPr>
            <w:r w:rsidRPr="00A341D9">
              <w:rPr>
                <w:sz w:val="20"/>
                <w:szCs w:val="20"/>
                <w:lang w:val="en-US"/>
              </w:rPr>
              <w:t>Total or national TAFE average†</w:t>
            </w:r>
          </w:p>
        </w:tc>
        <w:tc>
          <w:tcPr>
            <w:tcW w:w="1134" w:type="dxa"/>
            <w:tcBorders>
              <w:bottom w:val="nil"/>
            </w:tcBorders>
            <w:vAlign w:val="center"/>
          </w:tcPr>
          <w:p w14:paraId="586619F0" w14:textId="77777777" w:rsidR="00E17A15" w:rsidRPr="00A341D9" w:rsidRDefault="00E17A15" w:rsidP="002E375A">
            <w:pPr>
              <w:jc w:val="center"/>
              <w:rPr>
                <w:sz w:val="20"/>
                <w:szCs w:val="20"/>
                <w:lang w:val="en-US"/>
              </w:rPr>
            </w:pPr>
            <w:r w:rsidRPr="00A341D9">
              <w:rPr>
                <w:sz w:val="20"/>
                <w:szCs w:val="20"/>
                <w:lang w:val="en-US"/>
              </w:rPr>
              <w:t>39,198</w:t>
            </w:r>
          </w:p>
        </w:tc>
        <w:tc>
          <w:tcPr>
            <w:tcW w:w="1361" w:type="dxa"/>
            <w:tcBorders>
              <w:bottom w:val="nil"/>
            </w:tcBorders>
            <w:vAlign w:val="center"/>
          </w:tcPr>
          <w:p w14:paraId="5FFDE3DA" w14:textId="77777777" w:rsidR="00E17A15" w:rsidRPr="00A341D9" w:rsidRDefault="00E17A15" w:rsidP="002E375A">
            <w:pPr>
              <w:jc w:val="center"/>
              <w:rPr>
                <w:sz w:val="20"/>
                <w:szCs w:val="20"/>
                <w:lang w:val="en-US"/>
              </w:rPr>
            </w:pPr>
            <w:r w:rsidRPr="00A341D9">
              <w:rPr>
                <w:sz w:val="20"/>
                <w:szCs w:val="20"/>
                <w:lang w:val="en-US"/>
              </w:rPr>
              <w:t>54.0%</w:t>
            </w:r>
          </w:p>
        </w:tc>
        <w:tc>
          <w:tcPr>
            <w:tcW w:w="964" w:type="dxa"/>
            <w:tcBorders>
              <w:bottom w:val="nil"/>
            </w:tcBorders>
            <w:vAlign w:val="center"/>
          </w:tcPr>
          <w:p w14:paraId="2A1B0FF8" w14:textId="77777777" w:rsidR="00E17A15" w:rsidRPr="00A341D9" w:rsidRDefault="00E17A15" w:rsidP="002E375A">
            <w:pPr>
              <w:jc w:val="center"/>
              <w:rPr>
                <w:sz w:val="20"/>
                <w:szCs w:val="20"/>
                <w:lang w:val="en-US"/>
              </w:rPr>
            </w:pPr>
            <w:r w:rsidRPr="00A341D9">
              <w:rPr>
                <w:sz w:val="20"/>
                <w:szCs w:val="20"/>
                <w:lang w:val="en-US"/>
              </w:rPr>
              <w:t>59.0%</w:t>
            </w:r>
          </w:p>
        </w:tc>
        <w:tc>
          <w:tcPr>
            <w:tcW w:w="1077" w:type="dxa"/>
            <w:tcBorders>
              <w:bottom w:val="nil"/>
            </w:tcBorders>
            <w:vAlign w:val="center"/>
          </w:tcPr>
          <w:p w14:paraId="6B40548A" w14:textId="77777777" w:rsidR="00E17A15" w:rsidRPr="00A341D9" w:rsidRDefault="00E17A15" w:rsidP="002E375A">
            <w:pPr>
              <w:jc w:val="center"/>
              <w:rPr>
                <w:sz w:val="20"/>
                <w:szCs w:val="20"/>
                <w:lang w:val="en-US"/>
              </w:rPr>
            </w:pPr>
            <w:r w:rsidRPr="00A341D9">
              <w:rPr>
                <w:sz w:val="20"/>
                <w:szCs w:val="20"/>
                <w:lang w:val="en-US"/>
              </w:rPr>
              <w:t>2.7%</w:t>
            </w:r>
          </w:p>
        </w:tc>
        <w:tc>
          <w:tcPr>
            <w:tcW w:w="1134" w:type="dxa"/>
            <w:tcBorders>
              <w:bottom w:val="nil"/>
            </w:tcBorders>
            <w:vAlign w:val="center"/>
          </w:tcPr>
          <w:p w14:paraId="1DF81BDC" w14:textId="77777777" w:rsidR="00E17A15" w:rsidRPr="00A341D9" w:rsidRDefault="00E17A15" w:rsidP="002E375A">
            <w:pPr>
              <w:jc w:val="center"/>
              <w:rPr>
                <w:sz w:val="20"/>
                <w:szCs w:val="20"/>
                <w:lang w:val="en-US"/>
              </w:rPr>
            </w:pPr>
            <w:r w:rsidRPr="00A341D9">
              <w:rPr>
                <w:sz w:val="20"/>
                <w:szCs w:val="20"/>
                <w:lang w:val="en-US"/>
              </w:rPr>
              <w:t>2.8%</w:t>
            </w:r>
          </w:p>
        </w:tc>
        <w:tc>
          <w:tcPr>
            <w:tcW w:w="1757" w:type="dxa"/>
            <w:tcBorders>
              <w:bottom w:val="nil"/>
            </w:tcBorders>
            <w:vAlign w:val="center"/>
          </w:tcPr>
          <w:p w14:paraId="525185C9" w14:textId="77777777" w:rsidR="00E17A15" w:rsidRPr="00A341D9" w:rsidRDefault="00E17A15" w:rsidP="002E375A">
            <w:pPr>
              <w:jc w:val="center"/>
              <w:rPr>
                <w:sz w:val="20"/>
                <w:szCs w:val="20"/>
                <w:lang w:val="en-US"/>
              </w:rPr>
            </w:pPr>
            <w:r w:rsidRPr="00A341D9">
              <w:rPr>
                <w:sz w:val="20"/>
                <w:szCs w:val="20"/>
                <w:lang w:val="en-US"/>
              </w:rPr>
              <w:t>N/A</w:t>
            </w:r>
          </w:p>
        </w:tc>
      </w:tr>
      <w:tr w:rsidR="002E375A" w:rsidRPr="00E17A15" w14:paraId="579679CF" w14:textId="77777777" w:rsidTr="00E30778">
        <w:trPr>
          <w:cnfStyle w:val="000000010000" w:firstRow="0" w:lastRow="0" w:firstColumn="0" w:lastColumn="0" w:oddVBand="0" w:evenVBand="0" w:oddHBand="0" w:evenHBand="1" w:firstRowFirstColumn="0" w:firstRowLastColumn="0" w:lastRowFirstColumn="0" w:lastRowLastColumn="0"/>
          <w:trHeight w:val="300"/>
        </w:trPr>
        <w:tc>
          <w:tcPr>
            <w:tcW w:w="1701" w:type="dxa"/>
            <w:gridSpan w:val="2"/>
            <w:tcBorders>
              <w:bottom w:val="single" w:sz="8" w:space="0" w:color="012749"/>
            </w:tcBorders>
            <w:shd w:val="clear" w:color="auto" w:fill="EEF1F6"/>
            <w:vAlign w:val="center"/>
          </w:tcPr>
          <w:p w14:paraId="6913D457" w14:textId="77777777" w:rsidR="00E17A15" w:rsidRPr="00A341D9" w:rsidRDefault="00E17A15" w:rsidP="002E375A">
            <w:pPr>
              <w:rPr>
                <w:sz w:val="20"/>
                <w:szCs w:val="20"/>
                <w:lang w:val="en-US"/>
              </w:rPr>
            </w:pPr>
            <w:r w:rsidRPr="00A341D9">
              <w:rPr>
                <w:sz w:val="20"/>
                <w:szCs w:val="20"/>
                <w:lang w:val="en-US"/>
              </w:rPr>
              <w:t>VET Workforce Overall +</w:t>
            </w:r>
          </w:p>
        </w:tc>
        <w:tc>
          <w:tcPr>
            <w:tcW w:w="1134" w:type="dxa"/>
            <w:tcBorders>
              <w:bottom w:val="single" w:sz="8" w:space="0" w:color="012749"/>
            </w:tcBorders>
            <w:shd w:val="clear" w:color="auto" w:fill="EEF1F6"/>
            <w:vAlign w:val="center"/>
          </w:tcPr>
          <w:p w14:paraId="38C5EE6A" w14:textId="77777777" w:rsidR="00E17A15" w:rsidRPr="00A341D9" w:rsidRDefault="00E17A15" w:rsidP="002E375A">
            <w:pPr>
              <w:jc w:val="center"/>
              <w:rPr>
                <w:sz w:val="20"/>
                <w:szCs w:val="20"/>
                <w:lang w:val="en-US"/>
              </w:rPr>
            </w:pPr>
            <w:r w:rsidRPr="00A341D9">
              <w:rPr>
                <w:sz w:val="20"/>
                <w:szCs w:val="20"/>
                <w:lang w:val="en-US"/>
              </w:rPr>
              <w:t>70,744</w:t>
            </w:r>
          </w:p>
        </w:tc>
        <w:tc>
          <w:tcPr>
            <w:tcW w:w="1361" w:type="dxa"/>
            <w:tcBorders>
              <w:bottom w:val="single" w:sz="8" w:space="0" w:color="012749"/>
            </w:tcBorders>
            <w:shd w:val="clear" w:color="auto" w:fill="EEF1F6"/>
            <w:vAlign w:val="center"/>
          </w:tcPr>
          <w:p w14:paraId="1C582610" w14:textId="77777777" w:rsidR="00E17A15" w:rsidRPr="00A341D9" w:rsidRDefault="00E17A15" w:rsidP="002E375A">
            <w:pPr>
              <w:jc w:val="center"/>
              <w:rPr>
                <w:sz w:val="20"/>
                <w:szCs w:val="20"/>
                <w:lang w:val="en-US"/>
              </w:rPr>
            </w:pPr>
            <w:r w:rsidRPr="00A341D9">
              <w:rPr>
                <w:sz w:val="20"/>
                <w:szCs w:val="20"/>
                <w:lang w:val="en-US"/>
              </w:rPr>
              <w:t>48.5%</w:t>
            </w:r>
          </w:p>
        </w:tc>
        <w:tc>
          <w:tcPr>
            <w:tcW w:w="964" w:type="dxa"/>
            <w:tcBorders>
              <w:bottom w:val="single" w:sz="8" w:space="0" w:color="012749"/>
            </w:tcBorders>
            <w:shd w:val="clear" w:color="auto" w:fill="EEF1F6"/>
            <w:vAlign w:val="center"/>
          </w:tcPr>
          <w:p w14:paraId="7CB8E736" w14:textId="77777777" w:rsidR="00E17A15" w:rsidRPr="00A341D9" w:rsidRDefault="00E17A15" w:rsidP="002E375A">
            <w:pPr>
              <w:jc w:val="center"/>
              <w:rPr>
                <w:sz w:val="20"/>
                <w:szCs w:val="20"/>
                <w:lang w:val="en-US"/>
              </w:rPr>
            </w:pPr>
            <w:r w:rsidRPr="00A341D9">
              <w:rPr>
                <w:sz w:val="20"/>
                <w:szCs w:val="20"/>
                <w:lang w:val="en-US"/>
              </w:rPr>
              <w:t>57.2%</w:t>
            </w:r>
          </w:p>
        </w:tc>
        <w:tc>
          <w:tcPr>
            <w:tcW w:w="1077" w:type="dxa"/>
            <w:tcBorders>
              <w:bottom w:val="single" w:sz="8" w:space="0" w:color="012749"/>
            </w:tcBorders>
            <w:shd w:val="clear" w:color="auto" w:fill="EEF1F6"/>
            <w:vAlign w:val="center"/>
          </w:tcPr>
          <w:p w14:paraId="5C8AF3AF" w14:textId="77777777" w:rsidR="00E17A15" w:rsidRPr="00A341D9" w:rsidRDefault="00E17A15" w:rsidP="002E375A">
            <w:pPr>
              <w:jc w:val="center"/>
              <w:rPr>
                <w:sz w:val="20"/>
                <w:szCs w:val="20"/>
                <w:lang w:val="en-US"/>
              </w:rPr>
            </w:pPr>
            <w:r w:rsidRPr="00A341D9">
              <w:rPr>
                <w:sz w:val="20"/>
                <w:szCs w:val="20"/>
                <w:lang w:val="en-US"/>
              </w:rPr>
              <w:t>2.1%</w:t>
            </w:r>
          </w:p>
        </w:tc>
        <w:tc>
          <w:tcPr>
            <w:tcW w:w="1134" w:type="dxa"/>
            <w:tcBorders>
              <w:bottom w:val="single" w:sz="8" w:space="0" w:color="012749"/>
            </w:tcBorders>
            <w:shd w:val="clear" w:color="auto" w:fill="EEF1F6"/>
            <w:vAlign w:val="center"/>
          </w:tcPr>
          <w:p w14:paraId="59B35E29" w14:textId="77777777" w:rsidR="00E17A15" w:rsidRPr="00A341D9" w:rsidRDefault="00E17A15" w:rsidP="002E375A">
            <w:pPr>
              <w:jc w:val="center"/>
              <w:rPr>
                <w:sz w:val="20"/>
                <w:szCs w:val="20"/>
                <w:lang w:val="en-US"/>
              </w:rPr>
            </w:pPr>
            <w:r w:rsidRPr="00A341D9">
              <w:rPr>
                <w:sz w:val="20"/>
                <w:szCs w:val="20"/>
                <w:lang w:val="en-US"/>
              </w:rPr>
              <w:t>N/A</w:t>
            </w:r>
          </w:p>
        </w:tc>
        <w:tc>
          <w:tcPr>
            <w:tcW w:w="1757" w:type="dxa"/>
            <w:tcBorders>
              <w:bottom w:val="single" w:sz="8" w:space="0" w:color="012749"/>
            </w:tcBorders>
            <w:shd w:val="clear" w:color="auto" w:fill="EEF1F6"/>
            <w:vAlign w:val="center"/>
          </w:tcPr>
          <w:p w14:paraId="51301FB6" w14:textId="77777777" w:rsidR="00E17A15" w:rsidRPr="00A341D9" w:rsidRDefault="00E17A15" w:rsidP="002E375A">
            <w:pPr>
              <w:jc w:val="center"/>
              <w:rPr>
                <w:sz w:val="20"/>
                <w:szCs w:val="20"/>
                <w:lang w:val="en-US"/>
              </w:rPr>
            </w:pPr>
            <w:r w:rsidRPr="00A341D9">
              <w:rPr>
                <w:sz w:val="20"/>
                <w:szCs w:val="20"/>
                <w:lang w:val="en-US"/>
              </w:rPr>
              <w:t>46.5%</w:t>
            </w:r>
          </w:p>
          <w:p w14:paraId="3E3D7AA2" w14:textId="77777777" w:rsidR="00E17A15" w:rsidRPr="00A341D9" w:rsidRDefault="00E17A15" w:rsidP="002E375A">
            <w:pPr>
              <w:jc w:val="center"/>
              <w:rPr>
                <w:sz w:val="20"/>
                <w:szCs w:val="20"/>
                <w:lang w:val="en-US"/>
              </w:rPr>
            </w:pPr>
            <w:r w:rsidRPr="00A341D9">
              <w:rPr>
                <w:sz w:val="20"/>
                <w:szCs w:val="20"/>
                <w:lang w:val="en-US"/>
              </w:rPr>
              <w:t>(30.1% Australian Workforce)</w:t>
            </w:r>
          </w:p>
        </w:tc>
      </w:tr>
    </w:tbl>
    <w:p w14:paraId="42CBD5B0" w14:textId="77777777" w:rsidR="00E17A15" w:rsidRPr="00E17A15" w:rsidRDefault="00E17A15" w:rsidP="00E17A15">
      <w:pPr>
        <w:spacing w:before="120" w:after="120" w:line="264" w:lineRule="auto"/>
        <w:rPr>
          <w:rFonts w:asciiTheme="minorHAnsi" w:hAnsiTheme="minorHAnsi" w:cstheme="minorHAnsi"/>
          <w:color w:val="auto"/>
          <w:sz w:val="18"/>
          <w:szCs w:val="18"/>
        </w:rPr>
      </w:pPr>
      <w:r w:rsidRPr="00E17A15">
        <w:rPr>
          <w:rFonts w:asciiTheme="minorHAnsi" w:hAnsiTheme="minorHAnsi" w:cstheme="minorHAnsi"/>
          <w:color w:val="auto"/>
          <w:sz w:val="18"/>
          <w:szCs w:val="18"/>
        </w:rPr>
        <w:t>Source/Notes: Supplied</w:t>
      </w:r>
    </w:p>
    <w:p w14:paraId="20D19276" w14:textId="77777777" w:rsidR="00E17A15" w:rsidRPr="00E17A15" w:rsidRDefault="00E17A15" w:rsidP="00407E7B">
      <w:pPr>
        <w:spacing w:before="80" w:after="80" w:line="264" w:lineRule="auto"/>
        <w:rPr>
          <w:rFonts w:asciiTheme="minorHAnsi" w:hAnsiTheme="minorHAnsi" w:cstheme="minorHAnsi"/>
          <w:color w:val="auto"/>
          <w:sz w:val="18"/>
          <w:szCs w:val="18"/>
        </w:rPr>
      </w:pPr>
      <w:r w:rsidRPr="00E17A15">
        <w:rPr>
          <w:rFonts w:asciiTheme="minorHAnsi" w:hAnsiTheme="minorHAnsi" w:cstheme="minorHAnsi"/>
          <w:color w:val="auto"/>
          <w:sz w:val="18"/>
          <w:szCs w:val="18"/>
        </w:rPr>
        <w:t xml:space="preserve">^ VPSC 2023 data </w:t>
      </w:r>
    </w:p>
    <w:p w14:paraId="22EC8452" w14:textId="77777777" w:rsidR="00E17A15" w:rsidRPr="00E17A15" w:rsidRDefault="00E17A15" w:rsidP="00407E7B">
      <w:pPr>
        <w:spacing w:before="80" w:after="80" w:line="264" w:lineRule="auto"/>
        <w:rPr>
          <w:rFonts w:asciiTheme="minorHAnsi" w:eastAsiaTheme="minorEastAsia" w:hAnsiTheme="minorHAnsi" w:cstheme="minorHAnsi"/>
          <w:color w:val="auto"/>
          <w:sz w:val="18"/>
          <w:szCs w:val="18"/>
        </w:rPr>
      </w:pPr>
      <w:r w:rsidRPr="00E17A15">
        <w:rPr>
          <w:rFonts w:asciiTheme="minorHAnsi" w:eastAsiaTheme="minorEastAsia" w:hAnsiTheme="minorHAnsi" w:cstheme="minorHAnsi"/>
          <w:color w:val="auto"/>
          <w:sz w:val="18"/>
          <w:szCs w:val="18"/>
          <w:vertAlign w:val="superscript"/>
        </w:rPr>
        <w:t>†</w:t>
      </w:r>
      <w:r w:rsidRPr="00E17A15">
        <w:rPr>
          <w:rFonts w:asciiTheme="minorHAnsi" w:eastAsiaTheme="minorEastAsia" w:hAnsiTheme="minorHAnsi" w:cstheme="minorHAnsi"/>
          <w:color w:val="auto"/>
          <w:sz w:val="18"/>
          <w:szCs w:val="18"/>
        </w:rPr>
        <w:t xml:space="preserve"> Where data is unavailable averages represent averages of available data. D</w:t>
      </w:r>
      <w:r w:rsidRPr="00E17A15">
        <w:rPr>
          <w:rFonts w:asciiTheme="minorHAnsi" w:hAnsiTheme="minorHAnsi" w:cstheme="minorHAnsi"/>
          <w:color w:val="auto"/>
          <w:sz w:val="18"/>
          <w:szCs w:val="18"/>
        </w:rPr>
        <w:t>emographic data from WA TAFEs from the selected sample of five TAFE institutions in that state</w:t>
      </w:r>
    </w:p>
    <w:p w14:paraId="669D1441" w14:textId="77777777" w:rsidR="00E17A15" w:rsidRPr="00E17A15" w:rsidRDefault="00E17A15" w:rsidP="00407E7B">
      <w:pPr>
        <w:spacing w:before="80" w:after="80" w:line="264" w:lineRule="auto"/>
        <w:rPr>
          <w:rFonts w:asciiTheme="minorHAnsi" w:hAnsiTheme="minorHAnsi" w:cstheme="minorHAnsi"/>
          <w:color w:val="auto"/>
          <w:sz w:val="18"/>
          <w:szCs w:val="18"/>
        </w:rPr>
      </w:pPr>
      <w:r w:rsidRPr="00E17A15">
        <w:rPr>
          <w:rFonts w:asciiTheme="minorHAnsi" w:hAnsiTheme="minorHAnsi" w:cstheme="minorHAnsi"/>
          <w:color w:val="auto"/>
          <w:sz w:val="18"/>
          <w:szCs w:val="18"/>
          <w:vertAlign w:val="superscript"/>
        </w:rPr>
        <w:t xml:space="preserve">+ </w:t>
      </w:r>
      <w:r w:rsidRPr="00E17A15">
        <w:rPr>
          <w:rFonts w:asciiTheme="minorHAnsi" w:hAnsiTheme="minorHAnsi" w:cstheme="minorHAnsi"/>
          <w:color w:val="auto"/>
          <w:sz w:val="18"/>
          <w:szCs w:val="18"/>
        </w:rPr>
        <w:t>2021 Census/Labour Force Survey data as throughout the report</w:t>
      </w:r>
    </w:p>
    <w:p w14:paraId="331EF2FB" w14:textId="77777777" w:rsidR="00E17A15" w:rsidRPr="00E17A15" w:rsidRDefault="00E17A15" w:rsidP="00407E7B">
      <w:pPr>
        <w:spacing w:before="80" w:after="80" w:line="264" w:lineRule="auto"/>
        <w:rPr>
          <w:rFonts w:asciiTheme="minorHAnsi" w:hAnsiTheme="minorHAnsi" w:cstheme="minorHAnsi"/>
          <w:color w:val="auto"/>
          <w:sz w:val="18"/>
          <w:szCs w:val="18"/>
        </w:rPr>
      </w:pPr>
      <w:r w:rsidRPr="00E17A15">
        <w:rPr>
          <w:rFonts w:asciiTheme="minorHAnsi" w:hAnsiTheme="minorHAnsi" w:cstheme="minorHAnsi"/>
          <w:color w:val="auto"/>
          <w:sz w:val="18"/>
          <w:szCs w:val="18"/>
        </w:rPr>
        <w:t>*WA TAFE headcount sourced from June 2023 WA Public Sector Quarterly Workforce Report</w:t>
      </w:r>
    </w:p>
    <w:p w14:paraId="7851C1EA" w14:textId="77777777" w:rsidR="003A3575" w:rsidRDefault="003A3575">
      <w:pPr>
        <w:rPr>
          <w:rFonts w:eastAsiaTheme="majorEastAsia" w:cstheme="majorBidi"/>
          <w:b/>
          <w:color w:val="441170" w:themeColor="text2"/>
          <w:sz w:val="26"/>
          <w:szCs w:val="24"/>
        </w:rPr>
      </w:pPr>
      <w:r>
        <w:rPr>
          <w:rFonts w:eastAsiaTheme="majorEastAsia" w:cstheme="majorBidi"/>
          <w:b/>
          <w:color w:val="441170" w:themeColor="text2"/>
          <w:sz w:val="26"/>
          <w:szCs w:val="24"/>
        </w:rPr>
        <w:br w:type="page"/>
      </w:r>
    </w:p>
    <w:p w14:paraId="455C5A34" w14:textId="0D5E5E3B" w:rsidR="00E17A15" w:rsidRPr="00E17A15" w:rsidRDefault="00E17A15" w:rsidP="00113575">
      <w:pPr>
        <w:keepNext/>
        <w:keepLines/>
        <w:spacing w:after="240"/>
        <w:outlineLvl w:val="2"/>
        <w:rPr>
          <w:rFonts w:eastAsiaTheme="majorEastAsia" w:cstheme="majorBidi"/>
          <w:b/>
          <w:color w:val="441170" w:themeColor="text2"/>
          <w:sz w:val="26"/>
          <w:szCs w:val="24"/>
        </w:rPr>
      </w:pPr>
      <w:r w:rsidRPr="00E17A15">
        <w:rPr>
          <w:rFonts w:eastAsiaTheme="majorEastAsia" w:cstheme="majorBidi"/>
          <w:b/>
          <w:color w:val="441170" w:themeColor="text2"/>
          <w:sz w:val="26"/>
          <w:szCs w:val="24"/>
        </w:rPr>
        <w:lastRenderedPageBreak/>
        <w:t>Employment characteristics</w:t>
      </w:r>
    </w:p>
    <w:p w14:paraId="02FD60A0" w14:textId="77777777" w:rsidR="00E17A15" w:rsidRPr="00E17A15" w:rsidRDefault="00E17A15" w:rsidP="00E17A15">
      <w:pPr>
        <w:outlineLvl w:val="3"/>
        <w:rPr>
          <w:rFonts w:cs="Arial"/>
          <w:b/>
          <w:bCs/>
          <w:color w:val="005D5D" w:themeColor="accent2"/>
        </w:rPr>
      </w:pPr>
      <w:r w:rsidRPr="00E17A15">
        <w:rPr>
          <w:rFonts w:cs="Arial"/>
          <w:b/>
          <w:bCs/>
          <w:color w:val="005D5D" w:themeColor="accent2"/>
        </w:rPr>
        <w:t>Employment Status</w:t>
      </w:r>
    </w:p>
    <w:p w14:paraId="4D708489" w14:textId="4E659B4C" w:rsidR="00E17A15" w:rsidRPr="00E17A15" w:rsidRDefault="00E17A15" w:rsidP="00E17A15">
      <w:r w:rsidRPr="00E17A15">
        <w:t xml:space="preserve">Most TAFE employees are employed full time – generally over 60% except for NSW where there is higher casualisation and less than half of the workforce is employed full time. See </w:t>
      </w:r>
      <w:hyperlink w:anchor="Table_B_2" w:history="1">
        <w:r w:rsidRPr="00E20E5E">
          <w:rPr>
            <w:rStyle w:val="Hyperlink"/>
          </w:rPr>
          <w:t>Table B.2</w:t>
        </w:r>
      </w:hyperlink>
      <w:r w:rsidRPr="00E17A15">
        <w:t xml:space="preserve">.  </w:t>
      </w:r>
    </w:p>
    <w:p w14:paraId="70994E44" w14:textId="77777777" w:rsidR="00E17A15" w:rsidRPr="00E17A15" w:rsidRDefault="00E17A15" w:rsidP="00E17A15">
      <w:r w:rsidRPr="00E17A15">
        <w:t xml:space="preserve">The lowest rate of casualisation is in Tasmania, where TAFE has reported that only 3.2% of their workforce is casual. Other TAFE systems report casual rates between around 10-20% of all employees. </w:t>
      </w:r>
    </w:p>
    <w:p w14:paraId="445C7705" w14:textId="77777777" w:rsidR="00E17A15" w:rsidRPr="00E17A15" w:rsidRDefault="00E17A15" w:rsidP="00E17A15">
      <w:pPr>
        <w:rPr>
          <w:b/>
          <w:sz w:val="20"/>
          <w:lang w:val="en-US"/>
        </w:rPr>
      </w:pPr>
      <w:bookmarkStart w:id="229" w:name="Table_B_2"/>
      <w:r w:rsidRPr="00E17A15">
        <w:rPr>
          <w:b/>
          <w:sz w:val="20"/>
          <w:lang w:val="en-US"/>
        </w:rPr>
        <w:t xml:space="preserve">Table </w:t>
      </w:r>
      <w:r w:rsidRPr="00E17A15">
        <w:rPr>
          <w:b/>
          <w:sz w:val="20"/>
          <w:lang w:val="en-US"/>
        </w:rPr>
        <w:fldChar w:fldCharType="begin"/>
      </w:r>
      <w:r w:rsidRPr="00E17A15">
        <w:rPr>
          <w:b/>
          <w:sz w:val="20"/>
          <w:lang w:val="en-US"/>
        </w:rPr>
        <w:instrText xml:space="preserve"> STYLEREF 1 \s </w:instrText>
      </w:r>
      <w:r w:rsidRPr="00E17A15">
        <w:rPr>
          <w:b/>
          <w:sz w:val="20"/>
          <w:lang w:val="en-US"/>
        </w:rPr>
        <w:fldChar w:fldCharType="separate"/>
      </w:r>
      <w:r w:rsidRPr="00E17A15">
        <w:rPr>
          <w:b/>
          <w:noProof/>
          <w:sz w:val="20"/>
          <w:lang w:val="en-US"/>
        </w:rPr>
        <w:t>B</w:t>
      </w:r>
      <w:r w:rsidRPr="00E17A15">
        <w:rPr>
          <w:b/>
          <w:sz w:val="20"/>
          <w:lang w:val="en-US"/>
        </w:rPr>
        <w:fldChar w:fldCharType="end"/>
      </w:r>
      <w:r w:rsidRPr="00E17A15">
        <w:rPr>
          <w:b/>
          <w:sz w:val="20"/>
          <w:lang w:val="en-US"/>
        </w:rPr>
        <w:t>.</w:t>
      </w:r>
      <w:r w:rsidRPr="00E17A15">
        <w:rPr>
          <w:b/>
          <w:sz w:val="20"/>
          <w:lang w:val="en-US"/>
        </w:rPr>
        <w:fldChar w:fldCharType="begin"/>
      </w:r>
      <w:r w:rsidRPr="00E17A15">
        <w:rPr>
          <w:b/>
          <w:sz w:val="20"/>
          <w:lang w:val="en-US"/>
        </w:rPr>
        <w:instrText xml:space="preserve"> SEQ Table \* ARABIC \s 1 </w:instrText>
      </w:r>
      <w:r w:rsidRPr="00E17A15">
        <w:rPr>
          <w:b/>
          <w:sz w:val="20"/>
          <w:lang w:val="en-US"/>
        </w:rPr>
        <w:fldChar w:fldCharType="separate"/>
      </w:r>
      <w:r w:rsidRPr="00E17A15">
        <w:rPr>
          <w:b/>
          <w:noProof/>
          <w:sz w:val="20"/>
          <w:lang w:val="en-US"/>
        </w:rPr>
        <w:t>2</w:t>
      </w:r>
      <w:r w:rsidRPr="00E17A15">
        <w:rPr>
          <w:b/>
          <w:sz w:val="20"/>
          <w:lang w:val="en-US"/>
        </w:rPr>
        <w:fldChar w:fldCharType="end"/>
      </w:r>
      <w:r w:rsidRPr="00E17A15">
        <w:rPr>
          <w:b/>
          <w:sz w:val="20"/>
          <w:lang w:val="en-US"/>
        </w:rPr>
        <w:t xml:space="preserve"> Employment Status of VET Workforce across TAFE</w:t>
      </w:r>
    </w:p>
    <w:bookmarkEnd w:id="229"/>
    <w:tbl>
      <w:tblPr>
        <w:tblStyle w:val="JSATable11"/>
        <w:tblW w:w="9014" w:type="dxa"/>
        <w:tblLayout w:type="fixed"/>
        <w:tblCellMar>
          <w:top w:w="85" w:type="dxa"/>
          <w:bottom w:w="85" w:type="dxa"/>
        </w:tblCellMar>
        <w:tblLook w:val="04A0" w:firstRow="1" w:lastRow="0" w:firstColumn="1" w:lastColumn="0" w:noHBand="0" w:noVBand="1"/>
      </w:tblPr>
      <w:tblGrid>
        <w:gridCol w:w="2494"/>
        <w:gridCol w:w="1304"/>
        <w:gridCol w:w="1247"/>
        <w:gridCol w:w="1191"/>
        <w:gridCol w:w="1247"/>
        <w:gridCol w:w="1531"/>
      </w:tblGrid>
      <w:tr w:rsidR="00E17A15" w:rsidRPr="00E17A15" w14:paraId="1AD8BC1E" w14:textId="77777777" w:rsidTr="00113575">
        <w:trPr>
          <w:cnfStyle w:val="100000000000" w:firstRow="1" w:lastRow="0" w:firstColumn="0" w:lastColumn="0" w:oddVBand="0" w:evenVBand="0" w:oddHBand="0" w:evenHBand="0" w:firstRowFirstColumn="0" w:firstRowLastColumn="0" w:lastRowFirstColumn="0" w:lastRowLastColumn="0"/>
          <w:trHeight w:val="741"/>
        </w:trPr>
        <w:tc>
          <w:tcPr>
            <w:tcW w:w="2494" w:type="dxa"/>
            <w:shd w:val="clear" w:color="auto" w:fill="012749"/>
          </w:tcPr>
          <w:p w14:paraId="2A4EDF72" w14:textId="77777777" w:rsidR="00E17A15" w:rsidRPr="00A341D9" w:rsidRDefault="00E17A15" w:rsidP="009F7C27">
            <w:pPr>
              <w:jc w:val="center"/>
              <w:rPr>
                <w:rFonts w:asciiTheme="minorHAnsi" w:hAnsiTheme="minorHAnsi" w:cstheme="minorHAnsi"/>
                <w:sz w:val="20"/>
                <w:szCs w:val="20"/>
                <w:lang w:val="en-US"/>
              </w:rPr>
            </w:pPr>
          </w:p>
        </w:tc>
        <w:tc>
          <w:tcPr>
            <w:tcW w:w="1304" w:type="dxa"/>
            <w:shd w:val="clear" w:color="auto" w:fill="012749"/>
          </w:tcPr>
          <w:p w14:paraId="2EDEF015" w14:textId="39F088DE" w:rsidR="00E17A15" w:rsidRPr="007F0835" w:rsidRDefault="00E17A15" w:rsidP="009F7C27">
            <w:pPr>
              <w:jc w:val="center"/>
              <w:rPr>
                <w:bCs/>
                <w:color w:val="FFFFFF" w:themeColor="background1"/>
                <w:sz w:val="20"/>
                <w:szCs w:val="20"/>
                <w:lang w:val="en-US"/>
              </w:rPr>
            </w:pPr>
            <w:r w:rsidRPr="007F0835">
              <w:rPr>
                <w:bCs/>
                <w:color w:val="FFFFFF" w:themeColor="background1"/>
                <w:sz w:val="20"/>
                <w:szCs w:val="20"/>
                <w:lang w:val="en-US"/>
              </w:rPr>
              <w:t>Full-time</w:t>
            </w:r>
          </w:p>
        </w:tc>
        <w:tc>
          <w:tcPr>
            <w:tcW w:w="1247" w:type="dxa"/>
            <w:shd w:val="clear" w:color="auto" w:fill="012749"/>
          </w:tcPr>
          <w:p w14:paraId="39AD1D09" w14:textId="77777777" w:rsidR="00E17A15" w:rsidRPr="007F0835" w:rsidRDefault="00E17A15" w:rsidP="009F7C27">
            <w:pPr>
              <w:jc w:val="center"/>
              <w:rPr>
                <w:bCs/>
                <w:color w:val="FFFFFF" w:themeColor="background1"/>
                <w:sz w:val="20"/>
                <w:szCs w:val="20"/>
                <w:lang w:val="en-US"/>
              </w:rPr>
            </w:pPr>
            <w:r w:rsidRPr="007F0835">
              <w:rPr>
                <w:bCs/>
                <w:color w:val="FFFFFF" w:themeColor="background1"/>
                <w:sz w:val="20"/>
                <w:szCs w:val="20"/>
                <w:lang w:val="en-US"/>
              </w:rPr>
              <w:t>Part-time</w:t>
            </w:r>
          </w:p>
        </w:tc>
        <w:tc>
          <w:tcPr>
            <w:tcW w:w="1191" w:type="dxa"/>
            <w:shd w:val="clear" w:color="auto" w:fill="012749"/>
          </w:tcPr>
          <w:p w14:paraId="413FC014" w14:textId="77777777" w:rsidR="00E17A15" w:rsidRPr="007F0835" w:rsidRDefault="00E17A15" w:rsidP="009F7C27">
            <w:pPr>
              <w:jc w:val="center"/>
              <w:rPr>
                <w:bCs/>
                <w:color w:val="FFFFFF" w:themeColor="background1"/>
                <w:sz w:val="20"/>
                <w:szCs w:val="20"/>
                <w:lang w:val="en-US"/>
              </w:rPr>
            </w:pPr>
            <w:r w:rsidRPr="007F0835">
              <w:rPr>
                <w:bCs/>
                <w:color w:val="FFFFFF" w:themeColor="background1"/>
                <w:sz w:val="20"/>
                <w:szCs w:val="20"/>
                <w:lang w:val="en-US"/>
              </w:rPr>
              <w:t>Casual</w:t>
            </w:r>
          </w:p>
        </w:tc>
        <w:tc>
          <w:tcPr>
            <w:tcW w:w="1247" w:type="dxa"/>
            <w:shd w:val="clear" w:color="auto" w:fill="012749"/>
          </w:tcPr>
          <w:p w14:paraId="45B8A8FD" w14:textId="77777777" w:rsidR="00E17A15" w:rsidRPr="007F0835" w:rsidRDefault="00E17A15" w:rsidP="009F7C27">
            <w:pPr>
              <w:jc w:val="center"/>
              <w:rPr>
                <w:bCs/>
                <w:color w:val="FFFFFF" w:themeColor="background1"/>
                <w:sz w:val="20"/>
                <w:szCs w:val="20"/>
                <w:lang w:val="en-US"/>
              </w:rPr>
            </w:pPr>
            <w:r w:rsidRPr="007F0835">
              <w:rPr>
                <w:bCs/>
                <w:color w:val="FFFFFF" w:themeColor="background1"/>
                <w:sz w:val="20"/>
                <w:szCs w:val="20"/>
                <w:lang w:val="en-US"/>
              </w:rPr>
              <w:t>Fixed term</w:t>
            </w:r>
          </w:p>
        </w:tc>
        <w:tc>
          <w:tcPr>
            <w:tcW w:w="1531" w:type="dxa"/>
            <w:shd w:val="clear" w:color="auto" w:fill="012749"/>
          </w:tcPr>
          <w:p w14:paraId="5837D710" w14:textId="77777777" w:rsidR="00E17A15" w:rsidRPr="007F0835" w:rsidRDefault="00E17A15" w:rsidP="009F7C27">
            <w:pPr>
              <w:jc w:val="center"/>
              <w:rPr>
                <w:bCs/>
                <w:color w:val="FFFFFF" w:themeColor="background1"/>
                <w:sz w:val="20"/>
                <w:szCs w:val="20"/>
                <w:lang w:val="en-US"/>
              </w:rPr>
            </w:pPr>
            <w:r w:rsidRPr="007F0835">
              <w:rPr>
                <w:bCs/>
                <w:color w:val="FFFFFF" w:themeColor="background1"/>
                <w:sz w:val="20"/>
                <w:szCs w:val="20"/>
                <w:lang w:val="en-US"/>
              </w:rPr>
              <w:t>Permanent/</w:t>
            </w:r>
          </w:p>
          <w:p w14:paraId="714262E4" w14:textId="77777777" w:rsidR="00E17A15" w:rsidRPr="007F0835" w:rsidRDefault="00E17A15" w:rsidP="009F7C27">
            <w:pPr>
              <w:jc w:val="center"/>
              <w:rPr>
                <w:bCs/>
                <w:color w:val="FFFFFF" w:themeColor="background1"/>
                <w:sz w:val="20"/>
                <w:szCs w:val="20"/>
                <w:lang w:val="en-US"/>
              </w:rPr>
            </w:pPr>
            <w:r w:rsidRPr="007F0835">
              <w:rPr>
                <w:bCs/>
                <w:color w:val="FFFFFF" w:themeColor="background1"/>
                <w:sz w:val="20"/>
                <w:szCs w:val="20"/>
                <w:lang w:val="en-US"/>
              </w:rPr>
              <w:t>Ongoing</w:t>
            </w:r>
          </w:p>
        </w:tc>
      </w:tr>
      <w:tr w:rsidR="00E17A15" w:rsidRPr="00E17A15" w14:paraId="5A3C6D36" w14:textId="77777777" w:rsidTr="00113575">
        <w:trPr>
          <w:trHeight w:val="454"/>
        </w:trPr>
        <w:tc>
          <w:tcPr>
            <w:tcW w:w="2494" w:type="dxa"/>
            <w:tcBorders>
              <w:bottom w:val="nil"/>
            </w:tcBorders>
            <w:vAlign w:val="center"/>
          </w:tcPr>
          <w:p w14:paraId="07B584F9" w14:textId="77777777" w:rsidR="00E17A15" w:rsidRPr="00A341D9" w:rsidRDefault="00E17A15" w:rsidP="002E375A">
            <w:pPr>
              <w:rPr>
                <w:sz w:val="20"/>
                <w:szCs w:val="20"/>
                <w:lang w:val="en-US"/>
              </w:rPr>
            </w:pPr>
            <w:r w:rsidRPr="00A341D9">
              <w:rPr>
                <w:sz w:val="20"/>
                <w:szCs w:val="20"/>
                <w:lang w:val="en-US"/>
              </w:rPr>
              <w:t xml:space="preserve">TAFE NSW </w:t>
            </w:r>
          </w:p>
        </w:tc>
        <w:tc>
          <w:tcPr>
            <w:tcW w:w="1304" w:type="dxa"/>
            <w:tcBorders>
              <w:bottom w:val="nil"/>
            </w:tcBorders>
            <w:vAlign w:val="center"/>
          </w:tcPr>
          <w:p w14:paraId="59BAEF2A" w14:textId="77777777" w:rsidR="00E17A15" w:rsidRPr="00A341D9" w:rsidRDefault="00E17A15" w:rsidP="002E375A">
            <w:pPr>
              <w:jc w:val="center"/>
              <w:rPr>
                <w:sz w:val="20"/>
                <w:szCs w:val="20"/>
                <w:lang w:val="en-US"/>
              </w:rPr>
            </w:pPr>
            <w:r w:rsidRPr="00A341D9">
              <w:rPr>
                <w:sz w:val="20"/>
                <w:szCs w:val="20"/>
                <w:lang w:val="en-US"/>
              </w:rPr>
              <w:t>48.8%</w:t>
            </w:r>
          </w:p>
        </w:tc>
        <w:tc>
          <w:tcPr>
            <w:tcW w:w="1247" w:type="dxa"/>
            <w:tcBorders>
              <w:bottom w:val="nil"/>
            </w:tcBorders>
            <w:vAlign w:val="center"/>
          </w:tcPr>
          <w:p w14:paraId="73760CA0" w14:textId="77777777" w:rsidR="00E17A15" w:rsidRPr="00A341D9" w:rsidRDefault="00E17A15" w:rsidP="002E375A">
            <w:pPr>
              <w:jc w:val="center"/>
              <w:rPr>
                <w:sz w:val="20"/>
                <w:szCs w:val="20"/>
                <w:lang w:val="en-US"/>
              </w:rPr>
            </w:pPr>
            <w:r w:rsidRPr="00A341D9">
              <w:rPr>
                <w:sz w:val="20"/>
                <w:szCs w:val="20"/>
                <w:lang w:val="en-US"/>
              </w:rPr>
              <w:t>5.9%</w:t>
            </w:r>
          </w:p>
        </w:tc>
        <w:tc>
          <w:tcPr>
            <w:tcW w:w="1191" w:type="dxa"/>
            <w:tcBorders>
              <w:bottom w:val="nil"/>
            </w:tcBorders>
            <w:vAlign w:val="center"/>
          </w:tcPr>
          <w:p w14:paraId="12CF4552" w14:textId="77777777" w:rsidR="00E17A15" w:rsidRPr="00A341D9" w:rsidRDefault="00E17A15" w:rsidP="002E375A">
            <w:pPr>
              <w:jc w:val="center"/>
              <w:rPr>
                <w:sz w:val="20"/>
                <w:szCs w:val="20"/>
                <w:lang w:val="en-US"/>
              </w:rPr>
            </w:pPr>
            <w:r w:rsidRPr="00A341D9">
              <w:rPr>
                <w:sz w:val="20"/>
                <w:szCs w:val="20"/>
                <w:lang w:val="en-US"/>
              </w:rPr>
              <w:t>46.0%</w:t>
            </w:r>
          </w:p>
        </w:tc>
        <w:tc>
          <w:tcPr>
            <w:tcW w:w="1247" w:type="dxa"/>
            <w:tcBorders>
              <w:bottom w:val="nil"/>
            </w:tcBorders>
            <w:vAlign w:val="center"/>
          </w:tcPr>
          <w:p w14:paraId="34A3238C" w14:textId="77777777" w:rsidR="00E17A15" w:rsidRPr="00A341D9" w:rsidRDefault="00E17A15" w:rsidP="002E375A">
            <w:pPr>
              <w:jc w:val="center"/>
              <w:rPr>
                <w:sz w:val="20"/>
                <w:szCs w:val="20"/>
                <w:lang w:val="en-US"/>
              </w:rPr>
            </w:pPr>
            <w:r w:rsidRPr="00A341D9">
              <w:rPr>
                <w:sz w:val="20"/>
                <w:szCs w:val="20"/>
                <w:lang w:val="en-US"/>
              </w:rPr>
              <w:t>10.5%</w:t>
            </w:r>
          </w:p>
        </w:tc>
        <w:tc>
          <w:tcPr>
            <w:tcW w:w="1531" w:type="dxa"/>
            <w:tcBorders>
              <w:bottom w:val="nil"/>
            </w:tcBorders>
            <w:vAlign w:val="center"/>
          </w:tcPr>
          <w:p w14:paraId="719773A5" w14:textId="77777777" w:rsidR="00E17A15" w:rsidRPr="00A341D9" w:rsidRDefault="00E17A15" w:rsidP="002E375A">
            <w:pPr>
              <w:jc w:val="center"/>
              <w:rPr>
                <w:sz w:val="20"/>
                <w:szCs w:val="20"/>
                <w:lang w:val="en-US"/>
              </w:rPr>
            </w:pPr>
            <w:r w:rsidRPr="00A341D9">
              <w:rPr>
                <w:sz w:val="20"/>
                <w:szCs w:val="20"/>
                <w:lang w:val="en-US"/>
              </w:rPr>
              <w:t>47.1%</w:t>
            </w:r>
          </w:p>
        </w:tc>
      </w:tr>
      <w:tr w:rsidR="00E17A15" w:rsidRPr="00495F38" w14:paraId="690F22EB" w14:textId="77777777" w:rsidTr="00113575">
        <w:trPr>
          <w:cnfStyle w:val="000000010000" w:firstRow="0" w:lastRow="0" w:firstColumn="0" w:lastColumn="0" w:oddVBand="0" w:evenVBand="0" w:oddHBand="0" w:evenHBand="1" w:firstRowFirstColumn="0" w:firstRowLastColumn="0" w:lastRowFirstColumn="0" w:lastRowLastColumn="0"/>
          <w:trHeight w:val="454"/>
        </w:trPr>
        <w:tc>
          <w:tcPr>
            <w:tcW w:w="2494" w:type="dxa"/>
            <w:tcBorders>
              <w:bottom w:val="nil"/>
            </w:tcBorders>
            <w:shd w:val="clear" w:color="auto" w:fill="EEF1F6"/>
            <w:vAlign w:val="center"/>
          </w:tcPr>
          <w:p w14:paraId="5B369C96" w14:textId="77777777" w:rsidR="00E17A15" w:rsidRPr="00495F38" w:rsidRDefault="00E17A15" w:rsidP="002E375A">
            <w:pPr>
              <w:rPr>
                <w:sz w:val="20"/>
                <w:szCs w:val="20"/>
                <w:lang w:val="en-US"/>
              </w:rPr>
            </w:pPr>
            <w:r w:rsidRPr="00495F38">
              <w:rPr>
                <w:sz w:val="20"/>
                <w:szCs w:val="20"/>
                <w:lang w:val="en-US"/>
              </w:rPr>
              <w:t xml:space="preserve">TAFE QLD </w:t>
            </w:r>
          </w:p>
        </w:tc>
        <w:tc>
          <w:tcPr>
            <w:tcW w:w="1304" w:type="dxa"/>
            <w:tcBorders>
              <w:bottom w:val="nil"/>
            </w:tcBorders>
            <w:shd w:val="clear" w:color="auto" w:fill="EEF1F6"/>
            <w:vAlign w:val="center"/>
          </w:tcPr>
          <w:p w14:paraId="59221CE1" w14:textId="77777777" w:rsidR="00E17A15" w:rsidRPr="00495F38" w:rsidRDefault="00E17A15" w:rsidP="002E375A">
            <w:pPr>
              <w:jc w:val="center"/>
              <w:rPr>
                <w:sz w:val="20"/>
                <w:szCs w:val="20"/>
                <w:lang w:val="en-US"/>
              </w:rPr>
            </w:pPr>
            <w:r w:rsidRPr="00495F38">
              <w:rPr>
                <w:sz w:val="20"/>
                <w:szCs w:val="20"/>
                <w:lang w:val="en-US"/>
              </w:rPr>
              <w:t>71.0%</w:t>
            </w:r>
          </w:p>
        </w:tc>
        <w:tc>
          <w:tcPr>
            <w:tcW w:w="1247" w:type="dxa"/>
            <w:tcBorders>
              <w:bottom w:val="nil"/>
            </w:tcBorders>
            <w:shd w:val="clear" w:color="auto" w:fill="EEF1F6"/>
            <w:vAlign w:val="center"/>
          </w:tcPr>
          <w:p w14:paraId="0CBABD48" w14:textId="77777777" w:rsidR="00E17A15" w:rsidRPr="00495F38" w:rsidRDefault="00E17A15" w:rsidP="002E375A">
            <w:pPr>
              <w:jc w:val="center"/>
              <w:rPr>
                <w:sz w:val="20"/>
                <w:szCs w:val="20"/>
                <w:lang w:val="en-US"/>
              </w:rPr>
            </w:pPr>
            <w:r w:rsidRPr="00495F38">
              <w:rPr>
                <w:sz w:val="20"/>
                <w:szCs w:val="20"/>
                <w:lang w:val="en-US"/>
              </w:rPr>
              <w:t>19.1%</w:t>
            </w:r>
          </w:p>
        </w:tc>
        <w:tc>
          <w:tcPr>
            <w:tcW w:w="1191" w:type="dxa"/>
            <w:tcBorders>
              <w:bottom w:val="nil"/>
            </w:tcBorders>
            <w:shd w:val="clear" w:color="auto" w:fill="EEF1F6"/>
            <w:vAlign w:val="center"/>
          </w:tcPr>
          <w:p w14:paraId="72FC28F4" w14:textId="77777777" w:rsidR="00E17A15" w:rsidRPr="00495F38" w:rsidRDefault="00E17A15" w:rsidP="002E375A">
            <w:pPr>
              <w:jc w:val="center"/>
              <w:rPr>
                <w:sz w:val="20"/>
                <w:szCs w:val="20"/>
                <w:lang w:val="en-US"/>
              </w:rPr>
            </w:pPr>
            <w:r w:rsidRPr="00495F38">
              <w:rPr>
                <w:sz w:val="20"/>
                <w:szCs w:val="20"/>
                <w:lang w:val="en-US"/>
              </w:rPr>
              <w:t>9.9%</w:t>
            </w:r>
          </w:p>
        </w:tc>
        <w:tc>
          <w:tcPr>
            <w:tcW w:w="1247" w:type="dxa"/>
            <w:tcBorders>
              <w:bottom w:val="nil"/>
            </w:tcBorders>
            <w:shd w:val="clear" w:color="auto" w:fill="EEF1F6"/>
            <w:vAlign w:val="center"/>
          </w:tcPr>
          <w:p w14:paraId="4EBC0284" w14:textId="77777777" w:rsidR="00E17A15" w:rsidRPr="00495F38" w:rsidRDefault="00E17A15" w:rsidP="002E375A">
            <w:pPr>
              <w:jc w:val="center"/>
              <w:rPr>
                <w:sz w:val="20"/>
                <w:szCs w:val="20"/>
                <w:lang w:val="en-US"/>
              </w:rPr>
            </w:pPr>
            <w:r w:rsidRPr="00495F38">
              <w:rPr>
                <w:sz w:val="20"/>
                <w:szCs w:val="20"/>
                <w:lang w:val="en-US"/>
              </w:rPr>
              <w:t>18.3%</w:t>
            </w:r>
          </w:p>
        </w:tc>
        <w:tc>
          <w:tcPr>
            <w:tcW w:w="1531" w:type="dxa"/>
            <w:tcBorders>
              <w:bottom w:val="nil"/>
            </w:tcBorders>
            <w:shd w:val="clear" w:color="auto" w:fill="EEF1F6"/>
            <w:vAlign w:val="center"/>
          </w:tcPr>
          <w:p w14:paraId="1DB94EC2" w14:textId="77777777" w:rsidR="00E17A15" w:rsidRPr="00495F38" w:rsidRDefault="00E17A15" w:rsidP="002E375A">
            <w:pPr>
              <w:jc w:val="center"/>
              <w:rPr>
                <w:sz w:val="20"/>
                <w:szCs w:val="20"/>
                <w:lang w:val="en-US"/>
              </w:rPr>
            </w:pPr>
            <w:r w:rsidRPr="00495F38">
              <w:rPr>
                <w:sz w:val="20"/>
                <w:szCs w:val="20"/>
                <w:lang w:val="en-US"/>
              </w:rPr>
              <w:t>70.0%</w:t>
            </w:r>
          </w:p>
        </w:tc>
      </w:tr>
      <w:tr w:rsidR="00E17A15" w:rsidRPr="00E17A15" w14:paraId="747F966B" w14:textId="77777777" w:rsidTr="00113575">
        <w:trPr>
          <w:trHeight w:val="454"/>
        </w:trPr>
        <w:tc>
          <w:tcPr>
            <w:tcW w:w="2494" w:type="dxa"/>
            <w:tcBorders>
              <w:top w:val="nil"/>
            </w:tcBorders>
            <w:vAlign w:val="center"/>
          </w:tcPr>
          <w:p w14:paraId="04BB854A" w14:textId="77777777" w:rsidR="00E17A15" w:rsidRPr="00A341D9" w:rsidRDefault="00E17A15" w:rsidP="002E375A">
            <w:pPr>
              <w:rPr>
                <w:sz w:val="20"/>
                <w:szCs w:val="20"/>
                <w:lang w:val="en-US"/>
              </w:rPr>
            </w:pPr>
            <w:r w:rsidRPr="00A341D9">
              <w:rPr>
                <w:sz w:val="20"/>
                <w:szCs w:val="20"/>
                <w:lang w:val="en-US"/>
              </w:rPr>
              <w:t xml:space="preserve">TAFE SA </w:t>
            </w:r>
          </w:p>
        </w:tc>
        <w:tc>
          <w:tcPr>
            <w:tcW w:w="1304" w:type="dxa"/>
            <w:tcBorders>
              <w:top w:val="nil"/>
            </w:tcBorders>
            <w:vAlign w:val="center"/>
          </w:tcPr>
          <w:p w14:paraId="28F51B49" w14:textId="77777777" w:rsidR="00E17A15" w:rsidRPr="00A341D9" w:rsidRDefault="00E17A15" w:rsidP="002E375A">
            <w:pPr>
              <w:jc w:val="center"/>
              <w:rPr>
                <w:sz w:val="20"/>
                <w:szCs w:val="20"/>
                <w:lang w:val="en-US"/>
              </w:rPr>
            </w:pPr>
            <w:r w:rsidRPr="00A341D9">
              <w:rPr>
                <w:sz w:val="20"/>
                <w:szCs w:val="20"/>
                <w:lang w:val="en-US"/>
              </w:rPr>
              <w:t>61.4%</w:t>
            </w:r>
          </w:p>
        </w:tc>
        <w:tc>
          <w:tcPr>
            <w:tcW w:w="1247" w:type="dxa"/>
            <w:tcBorders>
              <w:top w:val="nil"/>
            </w:tcBorders>
            <w:vAlign w:val="center"/>
          </w:tcPr>
          <w:p w14:paraId="5E248A39" w14:textId="77777777" w:rsidR="00E17A15" w:rsidRPr="00A341D9" w:rsidRDefault="00E17A15" w:rsidP="002E375A">
            <w:pPr>
              <w:jc w:val="center"/>
              <w:rPr>
                <w:sz w:val="20"/>
                <w:szCs w:val="20"/>
                <w:lang w:val="en-US"/>
              </w:rPr>
            </w:pPr>
            <w:r w:rsidRPr="00A341D9">
              <w:rPr>
                <w:sz w:val="20"/>
                <w:szCs w:val="20"/>
                <w:lang w:val="en-US"/>
              </w:rPr>
              <w:t>25.7%</w:t>
            </w:r>
          </w:p>
        </w:tc>
        <w:tc>
          <w:tcPr>
            <w:tcW w:w="1191" w:type="dxa"/>
            <w:tcBorders>
              <w:top w:val="nil"/>
            </w:tcBorders>
            <w:vAlign w:val="center"/>
          </w:tcPr>
          <w:p w14:paraId="3AD78A38" w14:textId="77777777" w:rsidR="00E17A15" w:rsidRPr="00A341D9" w:rsidRDefault="00E17A15" w:rsidP="002E375A">
            <w:pPr>
              <w:jc w:val="center"/>
              <w:rPr>
                <w:sz w:val="20"/>
                <w:szCs w:val="20"/>
                <w:lang w:val="en-US"/>
              </w:rPr>
            </w:pPr>
            <w:r w:rsidRPr="00A341D9">
              <w:rPr>
                <w:sz w:val="20"/>
                <w:szCs w:val="20"/>
                <w:lang w:val="en-US"/>
              </w:rPr>
              <w:t>13.0%</w:t>
            </w:r>
          </w:p>
        </w:tc>
        <w:tc>
          <w:tcPr>
            <w:tcW w:w="1247" w:type="dxa"/>
            <w:tcBorders>
              <w:top w:val="nil"/>
            </w:tcBorders>
            <w:vAlign w:val="center"/>
          </w:tcPr>
          <w:p w14:paraId="79DE5431" w14:textId="77777777" w:rsidR="00E17A15" w:rsidRPr="00A341D9" w:rsidRDefault="00E17A15" w:rsidP="002E375A">
            <w:pPr>
              <w:jc w:val="center"/>
              <w:rPr>
                <w:sz w:val="20"/>
                <w:szCs w:val="20"/>
                <w:lang w:val="en-US"/>
              </w:rPr>
            </w:pPr>
            <w:r w:rsidRPr="00A341D9">
              <w:rPr>
                <w:sz w:val="20"/>
                <w:szCs w:val="20"/>
                <w:lang w:val="en-US"/>
              </w:rPr>
              <w:t>14.5%</w:t>
            </w:r>
          </w:p>
        </w:tc>
        <w:tc>
          <w:tcPr>
            <w:tcW w:w="1531" w:type="dxa"/>
            <w:tcBorders>
              <w:top w:val="nil"/>
            </w:tcBorders>
            <w:vAlign w:val="center"/>
          </w:tcPr>
          <w:p w14:paraId="6150D170" w14:textId="77777777" w:rsidR="00E17A15" w:rsidRPr="00A341D9" w:rsidRDefault="00E17A15" w:rsidP="002E375A">
            <w:pPr>
              <w:jc w:val="center"/>
              <w:rPr>
                <w:sz w:val="20"/>
                <w:szCs w:val="20"/>
                <w:lang w:val="en-US"/>
              </w:rPr>
            </w:pPr>
            <w:r w:rsidRPr="00A341D9">
              <w:rPr>
                <w:sz w:val="20"/>
                <w:szCs w:val="20"/>
                <w:lang w:val="en-US"/>
              </w:rPr>
              <w:t>72.5%</w:t>
            </w:r>
          </w:p>
        </w:tc>
      </w:tr>
      <w:tr w:rsidR="00E17A15" w:rsidRPr="00E17A15" w14:paraId="32A04738" w14:textId="77777777" w:rsidTr="00113575">
        <w:trPr>
          <w:cnfStyle w:val="000000010000" w:firstRow="0" w:lastRow="0" w:firstColumn="0" w:lastColumn="0" w:oddVBand="0" w:evenVBand="0" w:oddHBand="0" w:evenHBand="1" w:firstRowFirstColumn="0" w:firstRowLastColumn="0" w:lastRowFirstColumn="0" w:lastRowLastColumn="0"/>
          <w:trHeight w:val="454"/>
        </w:trPr>
        <w:tc>
          <w:tcPr>
            <w:tcW w:w="2494" w:type="dxa"/>
            <w:shd w:val="clear" w:color="auto" w:fill="EEF1F6"/>
            <w:vAlign w:val="center"/>
          </w:tcPr>
          <w:p w14:paraId="5DBA73D1" w14:textId="77777777" w:rsidR="00E17A15" w:rsidRPr="00A341D9" w:rsidRDefault="00E17A15" w:rsidP="002E375A">
            <w:pPr>
              <w:rPr>
                <w:sz w:val="20"/>
                <w:szCs w:val="20"/>
                <w:lang w:val="en-US"/>
              </w:rPr>
            </w:pPr>
            <w:r w:rsidRPr="00A341D9">
              <w:rPr>
                <w:sz w:val="20"/>
                <w:szCs w:val="20"/>
                <w:lang w:val="en-US"/>
              </w:rPr>
              <w:t xml:space="preserve">TAS TAFE </w:t>
            </w:r>
          </w:p>
        </w:tc>
        <w:tc>
          <w:tcPr>
            <w:tcW w:w="1304" w:type="dxa"/>
            <w:shd w:val="clear" w:color="auto" w:fill="EEF1F6"/>
            <w:vAlign w:val="center"/>
          </w:tcPr>
          <w:p w14:paraId="54F9F6F6" w14:textId="77777777" w:rsidR="00E17A15" w:rsidRPr="00A341D9" w:rsidRDefault="00E17A15" w:rsidP="002E375A">
            <w:pPr>
              <w:jc w:val="center"/>
              <w:rPr>
                <w:sz w:val="20"/>
                <w:szCs w:val="20"/>
                <w:lang w:val="en-US"/>
              </w:rPr>
            </w:pPr>
            <w:r w:rsidRPr="00A341D9">
              <w:rPr>
                <w:sz w:val="20"/>
                <w:szCs w:val="20"/>
                <w:lang w:val="en-US"/>
              </w:rPr>
              <w:t>62.4%</w:t>
            </w:r>
          </w:p>
        </w:tc>
        <w:tc>
          <w:tcPr>
            <w:tcW w:w="1247" w:type="dxa"/>
            <w:shd w:val="clear" w:color="auto" w:fill="EEF1F6"/>
            <w:vAlign w:val="center"/>
          </w:tcPr>
          <w:p w14:paraId="148413A3" w14:textId="77777777" w:rsidR="00E17A15" w:rsidRPr="00A341D9" w:rsidRDefault="00E17A15" w:rsidP="002E375A">
            <w:pPr>
              <w:jc w:val="center"/>
              <w:rPr>
                <w:sz w:val="20"/>
                <w:szCs w:val="20"/>
                <w:lang w:val="en-US"/>
              </w:rPr>
            </w:pPr>
            <w:r w:rsidRPr="00A341D9">
              <w:rPr>
                <w:sz w:val="20"/>
                <w:szCs w:val="20"/>
                <w:lang w:val="en-US"/>
              </w:rPr>
              <w:t>34.3%</w:t>
            </w:r>
          </w:p>
        </w:tc>
        <w:tc>
          <w:tcPr>
            <w:tcW w:w="1191" w:type="dxa"/>
            <w:shd w:val="clear" w:color="auto" w:fill="EEF1F6"/>
            <w:vAlign w:val="center"/>
          </w:tcPr>
          <w:p w14:paraId="29F206A5" w14:textId="77777777" w:rsidR="00E17A15" w:rsidRPr="00A341D9" w:rsidRDefault="00E17A15" w:rsidP="002E375A">
            <w:pPr>
              <w:jc w:val="center"/>
              <w:rPr>
                <w:sz w:val="20"/>
                <w:szCs w:val="20"/>
                <w:lang w:val="en-US"/>
              </w:rPr>
            </w:pPr>
            <w:r w:rsidRPr="00A341D9">
              <w:rPr>
                <w:sz w:val="20"/>
                <w:szCs w:val="20"/>
                <w:lang w:val="en-US"/>
              </w:rPr>
              <w:t>3.2%</w:t>
            </w:r>
          </w:p>
        </w:tc>
        <w:tc>
          <w:tcPr>
            <w:tcW w:w="1247" w:type="dxa"/>
            <w:shd w:val="clear" w:color="auto" w:fill="EEF1F6"/>
            <w:vAlign w:val="center"/>
          </w:tcPr>
          <w:p w14:paraId="44F5A4C9" w14:textId="77777777" w:rsidR="00E17A15" w:rsidRPr="00A341D9" w:rsidRDefault="00E17A15" w:rsidP="002E375A">
            <w:pPr>
              <w:jc w:val="center"/>
              <w:rPr>
                <w:sz w:val="20"/>
                <w:szCs w:val="20"/>
                <w:lang w:val="en-US"/>
              </w:rPr>
            </w:pPr>
            <w:r w:rsidRPr="00A341D9">
              <w:rPr>
                <w:sz w:val="20"/>
                <w:szCs w:val="20"/>
                <w:lang w:val="en-US"/>
              </w:rPr>
              <w:t>11.4%</w:t>
            </w:r>
          </w:p>
        </w:tc>
        <w:tc>
          <w:tcPr>
            <w:tcW w:w="1531" w:type="dxa"/>
            <w:shd w:val="clear" w:color="auto" w:fill="EEF1F6"/>
            <w:vAlign w:val="center"/>
          </w:tcPr>
          <w:p w14:paraId="1EBF7961" w14:textId="77777777" w:rsidR="00E17A15" w:rsidRPr="00A341D9" w:rsidRDefault="00E17A15" w:rsidP="002E375A">
            <w:pPr>
              <w:jc w:val="center"/>
              <w:rPr>
                <w:sz w:val="20"/>
                <w:szCs w:val="20"/>
                <w:lang w:val="en-US"/>
              </w:rPr>
            </w:pPr>
            <w:r w:rsidRPr="00A341D9">
              <w:rPr>
                <w:sz w:val="20"/>
                <w:szCs w:val="20"/>
                <w:lang w:val="en-US"/>
              </w:rPr>
              <w:t>85.4%</w:t>
            </w:r>
          </w:p>
        </w:tc>
      </w:tr>
      <w:tr w:rsidR="00E17A15" w:rsidRPr="00E17A15" w14:paraId="417E9759" w14:textId="77777777" w:rsidTr="00113575">
        <w:trPr>
          <w:trHeight w:val="454"/>
        </w:trPr>
        <w:tc>
          <w:tcPr>
            <w:tcW w:w="2494" w:type="dxa"/>
            <w:vAlign w:val="center"/>
          </w:tcPr>
          <w:p w14:paraId="49D90609" w14:textId="77777777" w:rsidR="00E17A15" w:rsidRPr="00A341D9" w:rsidRDefault="00E17A15" w:rsidP="002E375A">
            <w:pPr>
              <w:rPr>
                <w:sz w:val="20"/>
                <w:szCs w:val="20"/>
                <w:lang w:val="en-US"/>
              </w:rPr>
            </w:pPr>
            <w:r w:rsidRPr="00A341D9">
              <w:rPr>
                <w:sz w:val="20"/>
                <w:szCs w:val="20"/>
                <w:lang w:val="en-US"/>
              </w:rPr>
              <w:t xml:space="preserve">Victorian TAFEs ^ </w:t>
            </w:r>
          </w:p>
        </w:tc>
        <w:tc>
          <w:tcPr>
            <w:tcW w:w="1304" w:type="dxa"/>
            <w:vAlign w:val="center"/>
          </w:tcPr>
          <w:p w14:paraId="25C9672E" w14:textId="77777777" w:rsidR="00E17A15" w:rsidRPr="00A341D9" w:rsidRDefault="00E17A15" w:rsidP="002E375A">
            <w:pPr>
              <w:jc w:val="center"/>
              <w:rPr>
                <w:sz w:val="20"/>
                <w:szCs w:val="20"/>
                <w:lang w:val="en-US"/>
              </w:rPr>
            </w:pPr>
            <w:r w:rsidRPr="00A341D9">
              <w:rPr>
                <w:sz w:val="20"/>
                <w:szCs w:val="20"/>
                <w:lang w:val="en-US"/>
              </w:rPr>
              <w:t>57.7%</w:t>
            </w:r>
          </w:p>
        </w:tc>
        <w:tc>
          <w:tcPr>
            <w:tcW w:w="1247" w:type="dxa"/>
            <w:vAlign w:val="center"/>
          </w:tcPr>
          <w:p w14:paraId="3A88165E" w14:textId="77777777" w:rsidR="00E17A15" w:rsidRPr="00A341D9" w:rsidRDefault="00E17A15" w:rsidP="002E375A">
            <w:pPr>
              <w:jc w:val="center"/>
              <w:rPr>
                <w:sz w:val="20"/>
                <w:szCs w:val="20"/>
                <w:lang w:val="en-US"/>
              </w:rPr>
            </w:pPr>
            <w:r w:rsidRPr="00A341D9">
              <w:rPr>
                <w:sz w:val="20"/>
                <w:szCs w:val="20"/>
                <w:lang w:val="en-US"/>
              </w:rPr>
              <w:t>42.3%</w:t>
            </w:r>
          </w:p>
        </w:tc>
        <w:tc>
          <w:tcPr>
            <w:tcW w:w="1191" w:type="dxa"/>
            <w:vAlign w:val="center"/>
          </w:tcPr>
          <w:p w14:paraId="11CEF901" w14:textId="77777777" w:rsidR="00E17A15" w:rsidRPr="00A341D9" w:rsidRDefault="00E17A15" w:rsidP="002E375A">
            <w:pPr>
              <w:jc w:val="center"/>
              <w:rPr>
                <w:sz w:val="20"/>
                <w:szCs w:val="20"/>
                <w:lang w:val="en-US"/>
              </w:rPr>
            </w:pPr>
            <w:r w:rsidRPr="00A341D9">
              <w:rPr>
                <w:sz w:val="20"/>
                <w:szCs w:val="20"/>
                <w:lang w:val="en-US"/>
              </w:rPr>
              <w:t>12.6%</w:t>
            </w:r>
          </w:p>
        </w:tc>
        <w:tc>
          <w:tcPr>
            <w:tcW w:w="1247" w:type="dxa"/>
            <w:vAlign w:val="center"/>
          </w:tcPr>
          <w:p w14:paraId="4C336192" w14:textId="77777777" w:rsidR="00E17A15" w:rsidRPr="00A341D9" w:rsidRDefault="00E17A15" w:rsidP="002E375A">
            <w:pPr>
              <w:jc w:val="center"/>
              <w:rPr>
                <w:sz w:val="20"/>
                <w:szCs w:val="20"/>
                <w:lang w:val="en-US"/>
              </w:rPr>
            </w:pPr>
            <w:r w:rsidRPr="00A341D9">
              <w:rPr>
                <w:sz w:val="20"/>
                <w:szCs w:val="20"/>
                <w:lang w:val="en-US"/>
              </w:rPr>
              <w:t>25.6%</w:t>
            </w:r>
          </w:p>
        </w:tc>
        <w:tc>
          <w:tcPr>
            <w:tcW w:w="1531" w:type="dxa"/>
            <w:vAlign w:val="center"/>
          </w:tcPr>
          <w:p w14:paraId="6A32FF72" w14:textId="77777777" w:rsidR="00E17A15" w:rsidRPr="00A341D9" w:rsidRDefault="00E17A15" w:rsidP="002E375A">
            <w:pPr>
              <w:jc w:val="center"/>
              <w:rPr>
                <w:sz w:val="20"/>
                <w:szCs w:val="20"/>
                <w:lang w:val="en-US"/>
              </w:rPr>
            </w:pPr>
            <w:r w:rsidRPr="00A341D9">
              <w:rPr>
                <w:sz w:val="20"/>
                <w:szCs w:val="20"/>
                <w:lang w:val="en-US"/>
              </w:rPr>
              <w:t>61.8%</w:t>
            </w:r>
          </w:p>
        </w:tc>
      </w:tr>
      <w:tr w:rsidR="00E17A15" w:rsidRPr="00E17A15" w14:paraId="30649467" w14:textId="77777777" w:rsidTr="00113575">
        <w:trPr>
          <w:cnfStyle w:val="000000010000" w:firstRow="0" w:lastRow="0" w:firstColumn="0" w:lastColumn="0" w:oddVBand="0" w:evenVBand="0" w:oddHBand="0" w:evenHBand="1" w:firstRowFirstColumn="0" w:firstRowLastColumn="0" w:lastRowFirstColumn="0" w:lastRowLastColumn="0"/>
          <w:trHeight w:val="454"/>
        </w:trPr>
        <w:tc>
          <w:tcPr>
            <w:tcW w:w="2494" w:type="dxa"/>
            <w:shd w:val="clear" w:color="auto" w:fill="EEF1F6"/>
            <w:vAlign w:val="center"/>
          </w:tcPr>
          <w:p w14:paraId="3081107E" w14:textId="77777777" w:rsidR="00E17A15" w:rsidRPr="00A341D9" w:rsidRDefault="00E17A15" w:rsidP="002E375A">
            <w:pPr>
              <w:rPr>
                <w:sz w:val="20"/>
                <w:szCs w:val="20"/>
                <w:lang w:val="en-US"/>
              </w:rPr>
            </w:pPr>
            <w:r w:rsidRPr="00A341D9">
              <w:rPr>
                <w:sz w:val="20"/>
                <w:szCs w:val="20"/>
                <w:lang w:val="en-US"/>
              </w:rPr>
              <w:t xml:space="preserve">WA TAFEs†  </w:t>
            </w:r>
          </w:p>
        </w:tc>
        <w:tc>
          <w:tcPr>
            <w:tcW w:w="1304" w:type="dxa"/>
            <w:shd w:val="clear" w:color="auto" w:fill="EEF1F6"/>
            <w:vAlign w:val="center"/>
          </w:tcPr>
          <w:p w14:paraId="62627F79" w14:textId="77777777" w:rsidR="00E17A15" w:rsidRPr="00A341D9" w:rsidRDefault="00E17A15" w:rsidP="002E375A">
            <w:pPr>
              <w:jc w:val="center"/>
              <w:rPr>
                <w:sz w:val="20"/>
                <w:szCs w:val="20"/>
                <w:lang w:val="en-US"/>
              </w:rPr>
            </w:pPr>
            <w:r w:rsidRPr="00A341D9">
              <w:rPr>
                <w:sz w:val="20"/>
                <w:szCs w:val="20"/>
                <w:lang w:val="en-US"/>
              </w:rPr>
              <w:t>53.9%</w:t>
            </w:r>
          </w:p>
        </w:tc>
        <w:tc>
          <w:tcPr>
            <w:tcW w:w="1247" w:type="dxa"/>
            <w:shd w:val="clear" w:color="auto" w:fill="EEF1F6"/>
            <w:vAlign w:val="center"/>
          </w:tcPr>
          <w:p w14:paraId="77C12CA8" w14:textId="77777777" w:rsidR="00E17A15" w:rsidRPr="00A341D9" w:rsidRDefault="00E17A15" w:rsidP="002E375A">
            <w:pPr>
              <w:jc w:val="center"/>
              <w:rPr>
                <w:sz w:val="20"/>
                <w:szCs w:val="20"/>
                <w:lang w:val="en-US"/>
              </w:rPr>
            </w:pPr>
            <w:r w:rsidRPr="00A341D9">
              <w:rPr>
                <w:sz w:val="20"/>
                <w:szCs w:val="20"/>
                <w:lang w:val="en-US"/>
              </w:rPr>
              <w:t>30.3%</w:t>
            </w:r>
          </w:p>
        </w:tc>
        <w:tc>
          <w:tcPr>
            <w:tcW w:w="1191" w:type="dxa"/>
            <w:shd w:val="clear" w:color="auto" w:fill="EEF1F6"/>
            <w:vAlign w:val="center"/>
          </w:tcPr>
          <w:p w14:paraId="48DB11DB" w14:textId="77777777" w:rsidR="00E17A15" w:rsidRPr="00A341D9" w:rsidRDefault="00E17A15" w:rsidP="002E375A">
            <w:pPr>
              <w:jc w:val="center"/>
              <w:rPr>
                <w:sz w:val="20"/>
                <w:szCs w:val="20"/>
                <w:lang w:val="en-US"/>
              </w:rPr>
            </w:pPr>
            <w:r w:rsidRPr="00A341D9">
              <w:rPr>
                <w:sz w:val="20"/>
                <w:szCs w:val="20"/>
                <w:lang w:val="en-US"/>
              </w:rPr>
              <w:t>19.8%</w:t>
            </w:r>
          </w:p>
        </w:tc>
        <w:tc>
          <w:tcPr>
            <w:tcW w:w="1247" w:type="dxa"/>
            <w:shd w:val="clear" w:color="auto" w:fill="EEF1F6"/>
            <w:vAlign w:val="center"/>
          </w:tcPr>
          <w:p w14:paraId="1748DCE5" w14:textId="77777777" w:rsidR="00E17A15" w:rsidRPr="00A341D9" w:rsidRDefault="00E17A15" w:rsidP="002E375A">
            <w:pPr>
              <w:jc w:val="center"/>
              <w:rPr>
                <w:sz w:val="20"/>
                <w:szCs w:val="20"/>
                <w:lang w:val="en-US"/>
              </w:rPr>
            </w:pPr>
            <w:r w:rsidRPr="00A341D9">
              <w:rPr>
                <w:sz w:val="20"/>
                <w:szCs w:val="20"/>
                <w:lang w:val="en-US"/>
              </w:rPr>
              <w:t>14.7%</w:t>
            </w:r>
          </w:p>
        </w:tc>
        <w:tc>
          <w:tcPr>
            <w:tcW w:w="1531" w:type="dxa"/>
            <w:shd w:val="clear" w:color="auto" w:fill="EEF1F6"/>
            <w:vAlign w:val="center"/>
          </w:tcPr>
          <w:p w14:paraId="614F0AF7" w14:textId="77777777" w:rsidR="00E17A15" w:rsidRPr="00A341D9" w:rsidRDefault="00E17A15" w:rsidP="002E375A">
            <w:pPr>
              <w:jc w:val="center"/>
              <w:rPr>
                <w:sz w:val="20"/>
                <w:szCs w:val="20"/>
                <w:lang w:val="en-US"/>
              </w:rPr>
            </w:pPr>
            <w:r w:rsidRPr="00A341D9">
              <w:rPr>
                <w:sz w:val="20"/>
                <w:szCs w:val="20"/>
                <w:lang w:val="en-US"/>
              </w:rPr>
              <w:t>65.0%</w:t>
            </w:r>
          </w:p>
        </w:tc>
      </w:tr>
      <w:tr w:rsidR="00E17A15" w:rsidRPr="00E17A15" w14:paraId="03927B02" w14:textId="77777777" w:rsidTr="00E30778">
        <w:trPr>
          <w:trHeight w:val="454"/>
        </w:trPr>
        <w:tc>
          <w:tcPr>
            <w:tcW w:w="2494" w:type="dxa"/>
            <w:tcBorders>
              <w:bottom w:val="nil"/>
            </w:tcBorders>
            <w:vAlign w:val="center"/>
          </w:tcPr>
          <w:p w14:paraId="1D9DF1C3" w14:textId="77777777" w:rsidR="00E17A15" w:rsidRPr="00A341D9" w:rsidRDefault="00E17A15" w:rsidP="002E375A">
            <w:pPr>
              <w:rPr>
                <w:sz w:val="20"/>
                <w:szCs w:val="20"/>
                <w:lang w:val="en-US"/>
              </w:rPr>
            </w:pPr>
            <w:r w:rsidRPr="00A341D9">
              <w:rPr>
                <w:sz w:val="20"/>
                <w:szCs w:val="20"/>
                <w:lang w:val="en-US"/>
              </w:rPr>
              <w:t>Canberra Institute of Technology (CIT) - ACT</w:t>
            </w:r>
          </w:p>
        </w:tc>
        <w:tc>
          <w:tcPr>
            <w:tcW w:w="1304" w:type="dxa"/>
            <w:tcBorders>
              <w:bottom w:val="nil"/>
            </w:tcBorders>
            <w:vAlign w:val="center"/>
          </w:tcPr>
          <w:p w14:paraId="4F507E1C" w14:textId="77777777" w:rsidR="00E17A15" w:rsidRPr="00A341D9" w:rsidRDefault="00E17A15" w:rsidP="002E375A">
            <w:pPr>
              <w:jc w:val="center"/>
              <w:rPr>
                <w:sz w:val="20"/>
                <w:szCs w:val="20"/>
                <w:lang w:val="en-US"/>
              </w:rPr>
            </w:pPr>
            <w:r w:rsidRPr="00A341D9">
              <w:rPr>
                <w:sz w:val="20"/>
                <w:szCs w:val="20"/>
                <w:lang w:val="en-US"/>
              </w:rPr>
              <w:t>64.6%</w:t>
            </w:r>
          </w:p>
        </w:tc>
        <w:tc>
          <w:tcPr>
            <w:tcW w:w="1247" w:type="dxa"/>
            <w:tcBorders>
              <w:bottom w:val="nil"/>
            </w:tcBorders>
            <w:vAlign w:val="center"/>
          </w:tcPr>
          <w:p w14:paraId="5E02E1D2" w14:textId="77777777" w:rsidR="00E17A15" w:rsidRPr="00A341D9" w:rsidRDefault="00E17A15" w:rsidP="002E375A">
            <w:pPr>
              <w:jc w:val="center"/>
              <w:rPr>
                <w:sz w:val="20"/>
                <w:szCs w:val="20"/>
                <w:lang w:val="en-US"/>
              </w:rPr>
            </w:pPr>
            <w:r w:rsidRPr="00A341D9">
              <w:rPr>
                <w:sz w:val="20"/>
                <w:szCs w:val="20"/>
                <w:lang w:val="en-US"/>
              </w:rPr>
              <w:t>35.4%</w:t>
            </w:r>
          </w:p>
        </w:tc>
        <w:tc>
          <w:tcPr>
            <w:tcW w:w="1191" w:type="dxa"/>
            <w:tcBorders>
              <w:bottom w:val="nil"/>
            </w:tcBorders>
            <w:vAlign w:val="center"/>
          </w:tcPr>
          <w:p w14:paraId="2F9E137A" w14:textId="77777777" w:rsidR="00E17A15" w:rsidRPr="00A341D9" w:rsidRDefault="00E17A15" w:rsidP="002E375A">
            <w:pPr>
              <w:jc w:val="center"/>
              <w:rPr>
                <w:sz w:val="20"/>
                <w:szCs w:val="20"/>
                <w:lang w:val="en-US"/>
              </w:rPr>
            </w:pPr>
            <w:r w:rsidRPr="00A341D9">
              <w:rPr>
                <w:sz w:val="20"/>
                <w:szCs w:val="20"/>
                <w:lang w:val="en-US"/>
              </w:rPr>
              <w:t>16.7%</w:t>
            </w:r>
          </w:p>
        </w:tc>
        <w:tc>
          <w:tcPr>
            <w:tcW w:w="1247" w:type="dxa"/>
            <w:tcBorders>
              <w:bottom w:val="nil"/>
            </w:tcBorders>
            <w:vAlign w:val="center"/>
          </w:tcPr>
          <w:p w14:paraId="5E5DEF28" w14:textId="77777777" w:rsidR="00E17A15" w:rsidRPr="00A341D9" w:rsidRDefault="00E17A15" w:rsidP="002E375A">
            <w:pPr>
              <w:jc w:val="center"/>
              <w:rPr>
                <w:sz w:val="20"/>
                <w:szCs w:val="20"/>
                <w:lang w:val="en-US"/>
              </w:rPr>
            </w:pPr>
            <w:r w:rsidRPr="00A341D9">
              <w:rPr>
                <w:sz w:val="20"/>
                <w:szCs w:val="20"/>
                <w:lang w:val="en-US"/>
              </w:rPr>
              <w:t>14.6%</w:t>
            </w:r>
          </w:p>
        </w:tc>
        <w:tc>
          <w:tcPr>
            <w:tcW w:w="1531" w:type="dxa"/>
            <w:tcBorders>
              <w:bottom w:val="nil"/>
            </w:tcBorders>
            <w:vAlign w:val="center"/>
          </w:tcPr>
          <w:p w14:paraId="54ACC871" w14:textId="77777777" w:rsidR="00E17A15" w:rsidRPr="00A341D9" w:rsidRDefault="00E17A15" w:rsidP="002E375A">
            <w:pPr>
              <w:jc w:val="center"/>
              <w:rPr>
                <w:sz w:val="20"/>
                <w:szCs w:val="20"/>
                <w:lang w:val="en-US"/>
              </w:rPr>
            </w:pPr>
            <w:r w:rsidRPr="00A341D9">
              <w:rPr>
                <w:sz w:val="20"/>
                <w:szCs w:val="20"/>
                <w:lang w:val="en-US"/>
              </w:rPr>
              <w:t>68.6%</w:t>
            </w:r>
          </w:p>
        </w:tc>
      </w:tr>
      <w:tr w:rsidR="00E17A15" w:rsidRPr="00E17A15" w14:paraId="610DFCBA" w14:textId="77777777" w:rsidTr="00E30778">
        <w:trPr>
          <w:cnfStyle w:val="000000010000" w:firstRow="0" w:lastRow="0" w:firstColumn="0" w:lastColumn="0" w:oddVBand="0" w:evenVBand="0" w:oddHBand="0" w:evenHBand="1" w:firstRowFirstColumn="0" w:firstRowLastColumn="0" w:lastRowFirstColumn="0" w:lastRowLastColumn="0"/>
          <w:trHeight w:val="454"/>
        </w:trPr>
        <w:tc>
          <w:tcPr>
            <w:tcW w:w="2494" w:type="dxa"/>
            <w:tcBorders>
              <w:bottom w:val="single" w:sz="8" w:space="0" w:color="012749"/>
            </w:tcBorders>
            <w:shd w:val="clear" w:color="auto" w:fill="EEF1F6"/>
            <w:vAlign w:val="center"/>
          </w:tcPr>
          <w:p w14:paraId="2585BB0B" w14:textId="77777777" w:rsidR="00E17A15" w:rsidRPr="00A341D9" w:rsidRDefault="00E17A15" w:rsidP="002E375A">
            <w:pPr>
              <w:rPr>
                <w:sz w:val="20"/>
                <w:szCs w:val="20"/>
                <w:lang w:val="en-US"/>
              </w:rPr>
            </w:pPr>
            <w:r w:rsidRPr="00A341D9">
              <w:rPr>
                <w:sz w:val="20"/>
                <w:szCs w:val="20"/>
                <w:lang w:val="en-US"/>
              </w:rPr>
              <w:t>Charles Darwin University (CDU) - NT</w:t>
            </w:r>
          </w:p>
        </w:tc>
        <w:tc>
          <w:tcPr>
            <w:tcW w:w="1304" w:type="dxa"/>
            <w:tcBorders>
              <w:bottom w:val="single" w:sz="8" w:space="0" w:color="012749"/>
            </w:tcBorders>
            <w:shd w:val="clear" w:color="auto" w:fill="EEF1F6"/>
            <w:vAlign w:val="center"/>
          </w:tcPr>
          <w:p w14:paraId="16655B22" w14:textId="77777777" w:rsidR="00E17A15" w:rsidRPr="00A341D9" w:rsidRDefault="00E17A15" w:rsidP="002E375A">
            <w:pPr>
              <w:jc w:val="center"/>
              <w:rPr>
                <w:sz w:val="20"/>
                <w:szCs w:val="20"/>
                <w:lang w:val="en-US"/>
              </w:rPr>
            </w:pPr>
            <w:r w:rsidRPr="00A341D9">
              <w:rPr>
                <w:sz w:val="20"/>
                <w:szCs w:val="20"/>
                <w:lang w:val="en-US"/>
              </w:rPr>
              <w:t>79.8%</w:t>
            </w:r>
          </w:p>
        </w:tc>
        <w:tc>
          <w:tcPr>
            <w:tcW w:w="1247" w:type="dxa"/>
            <w:tcBorders>
              <w:bottom w:val="single" w:sz="8" w:space="0" w:color="012749"/>
            </w:tcBorders>
            <w:shd w:val="clear" w:color="auto" w:fill="EEF1F6"/>
            <w:vAlign w:val="center"/>
          </w:tcPr>
          <w:p w14:paraId="4965DB6D" w14:textId="77777777" w:rsidR="00E17A15" w:rsidRPr="00A341D9" w:rsidRDefault="00E17A15" w:rsidP="002E375A">
            <w:pPr>
              <w:jc w:val="center"/>
              <w:rPr>
                <w:sz w:val="20"/>
                <w:szCs w:val="20"/>
                <w:lang w:val="en-US"/>
              </w:rPr>
            </w:pPr>
            <w:r w:rsidRPr="00A341D9">
              <w:rPr>
                <w:sz w:val="20"/>
                <w:szCs w:val="20"/>
                <w:lang w:val="en-US"/>
              </w:rPr>
              <w:t>4.5%</w:t>
            </w:r>
          </w:p>
        </w:tc>
        <w:tc>
          <w:tcPr>
            <w:tcW w:w="1191" w:type="dxa"/>
            <w:tcBorders>
              <w:bottom w:val="single" w:sz="8" w:space="0" w:color="012749"/>
            </w:tcBorders>
            <w:shd w:val="clear" w:color="auto" w:fill="EEF1F6"/>
            <w:vAlign w:val="center"/>
          </w:tcPr>
          <w:p w14:paraId="639FC7A7" w14:textId="77777777" w:rsidR="00E17A15" w:rsidRPr="00A341D9" w:rsidRDefault="00E17A15" w:rsidP="002E375A">
            <w:pPr>
              <w:jc w:val="center"/>
              <w:rPr>
                <w:sz w:val="20"/>
                <w:szCs w:val="20"/>
                <w:lang w:val="en-US"/>
              </w:rPr>
            </w:pPr>
            <w:r w:rsidRPr="00A341D9">
              <w:rPr>
                <w:sz w:val="20"/>
                <w:szCs w:val="20"/>
                <w:lang w:val="en-US"/>
              </w:rPr>
              <w:t>15.4%</w:t>
            </w:r>
          </w:p>
        </w:tc>
        <w:tc>
          <w:tcPr>
            <w:tcW w:w="1247" w:type="dxa"/>
            <w:tcBorders>
              <w:bottom w:val="single" w:sz="8" w:space="0" w:color="012749"/>
            </w:tcBorders>
            <w:shd w:val="clear" w:color="auto" w:fill="EEF1F6"/>
            <w:vAlign w:val="center"/>
          </w:tcPr>
          <w:p w14:paraId="03BB3075" w14:textId="77777777" w:rsidR="00E17A15" w:rsidRPr="00A341D9" w:rsidRDefault="00E17A15" w:rsidP="002E375A">
            <w:pPr>
              <w:jc w:val="center"/>
              <w:rPr>
                <w:sz w:val="20"/>
                <w:szCs w:val="20"/>
                <w:lang w:val="en-US"/>
              </w:rPr>
            </w:pPr>
            <w:r w:rsidRPr="00A341D9">
              <w:rPr>
                <w:sz w:val="20"/>
                <w:szCs w:val="20"/>
                <w:lang w:val="en-US"/>
              </w:rPr>
              <w:t>6.8%</w:t>
            </w:r>
          </w:p>
        </w:tc>
        <w:tc>
          <w:tcPr>
            <w:tcW w:w="1531" w:type="dxa"/>
            <w:tcBorders>
              <w:bottom w:val="single" w:sz="8" w:space="0" w:color="012749"/>
            </w:tcBorders>
            <w:shd w:val="clear" w:color="auto" w:fill="EEF1F6"/>
            <w:vAlign w:val="center"/>
          </w:tcPr>
          <w:p w14:paraId="3F3EA35D" w14:textId="77777777" w:rsidR="00E17A15" w:rsidRPr="00A341D9" w:rsidRDefault="00E17A15" w:rsidP="002E375A">
            <w:pPr>
              <w:jc w:val="center"/>
              <w:rPr>
                <w:sz w:val="20"/>
                <w:szCs w:val="20"/>
                <w:lang w:val="en-US"/>
              </w:rPr>
            </w:pPr>
            <w:r w:rsidRPr="00A341D9">
              <w:rPr>
                <w:sz w:val="20"/>
                <w:szCs w:val="20"/>
                <w:lang w:val="en-US"/>
              </w:rPr>
              <w:t>77.7%</w:t>
            </w:r>
          </w:p>
        </w:tc>
      </w:tr>
    </w:tbl>
    <w:p w14:paraId="70A55285" w14:textId="77777777" w:rsidR="00E17A15" w:rsidRPr="00E17A15" w:rsidRDefault="00E17A15" w:rsidP="00E17A15">
      <w:pPr>
        <w:spacing w:before="120" w:after="120" w:line="264" w:lineRule="auto"/>
        <w:rPr>
          <w:rFonts w:asciiTheme="minorHAnsi" w:hAnsiTheme="minorHAnsi" w:cstheme="minorHAnsi"/>
          <w:color w:val="auto"/>
          <w:sz w:val="18"/>
          <w:szCs w:val="18"/>
        </w:rPr>
      </w:pPr>
      <w:r w:rsidRPr="00E17A15">
        <w:rPr>
          <w:rFonts w:asciiTheme="minorHAnsi" w:hAnsiTheme="minorHAnsi" w:cstheme="minorHAnsi"/>
          <w:color w:val="auto"/>
          <w:sz w:val="18"/>
          <w:szCs w:val="18"/>
        </w:rPr>
        <w:t xml:space="preserve">Source: Supplied </w:t>
      </w:r>
    </w:p>
    <w:p w14:paraId="115BA830" w14:textId="77777777" w:rsidR="00E17A15" w:rsidRPr="00E17A15" w:rsidRDefault="00E17A15" w:rsidP="00E17A15">
      <w:pPr>
        <w:spacing w:before="120" w:after="120" w:line="264" w:lineRule="auto"/>
        <w:rPr>
          <w:rFonts w:asciiTheme="minorHAnsi" w:hAnsiTheme="minorHAnsi" w:cstheme="minorHAnsi"/>
          <w:color w:val="auto"/>
          <w:sz w:val="18"/>
          <w:szCs w:val="18"/>
        </w:rPr>
      </w:pPr>
      <w:r w:rsidRPr="00E17A15">
        <w:rPr>
          <w:rFonts w:asciiTheme="minorHAnsi" w:hAnsiTheme="minorHAnsi" w:cstheme="minorHAnsi"/>
          <w:color w:val="auto"/>
          <w:sz w:val="18"/>
          <w:szCs w:val="18"/>
        </w:rPr>
        <w:t xml:space="preserve">Notes: ^ VPSC 2023 data; </w:t>
      </w:r>
      <w:r w:rsidRPr="00E17A15">
        <w:rPr>
          <w:rFonts w:asciiTheme="minorHAnsi" w:eastAsiaTheme="minorEastAsia" w:hAnsiTheme="minorHAnsi" w:cstheme="minorHAnsi"/>
          <w:color w:val="auto"/>
          <w:sz w:val="18"/>
          <w:szCs w:val="18"/>
          <w:vertAlign w:val="superscript"/>
        </w:rPr>
        <w:t>†</w:t>
      </w:r>
      <w:r w:rsidRPr="00E17A15">
        <w:rPr>
          <w:rFonts w:asciiTheme="minorHAnsi" w:hAnsiTheme="minorHAnsi" w:cstheme="minorHAnsi"/>
          <w:color w:val="auto"/>
          <w:sz w:val="18"/>
          <w:szCs w:val="18"/>
        </w:rPr>
        <w:t xml:space="preserve"> Where complete data is unavailable, we have represented averages of the provided representative sample. All five WA TAFEs did provide data but not across all demographics and in some cases in different formats. </w:t>
      </w:r>
    </w:p>
    <w:p w14:paraId="044FF443" w14:textId="5BBF903A" w:rsidR="00E17A15" w:rsidRPr="00E17A15" w:rsidRDefault="00E17A15" w:rsidP="00E17A15">
      <w:pPr>
        <w:spacing w:before="120" w:after="120" w:line="264" w:lineRule="auto"/>
        <w:rPr>
          <w:rFonts w:asciiTheme="minorHAnsi" w:hAnsiTheme="minorHAnsi" w:cstheme="minorHAnsi"/>
          <w:color w:val="auto"/>
          <w:sz w:val="18"/>
          <w:szCs w:val="18"/>
        </w:rPr>
      </w:pPr>
      <w:r w:rsidRPr="00E17A15">
        <w:rPr>
          <w:rFonts w:asciiTheme="minorHAnsi" w:hAnsiTheme="minorHAnsi" w:cstheme="minorHAnsi"/>
          <w:color w:val="auto"/>
          <w:sz w:val="18"/>
          <w:szCs w:val="18"/>
        </w:rPr>
        <w:t>Full-time, part-time and casual rates are based on data supplied by TAFEs, and depending on reporting categories of casual employees will not always sum to 100%.</w:t>
      </w:r>
      <w:r w:rsidR="002E375A">
        <w:rPr>
          <w:rFonts w:asciiTheme="minorHAnsi" w:hAnsiTheme="minorHAnsi" w:cstheme="minorHAnsi"/>
          <w:color w:val="auto"/>
          <w:sz w:val="18"/>
          <w:szCs w:val="18"/>
        </w:rPr>
        <w:br/>
      </w:r>
    </w:p>
    <w:p w14:paraId="0A5A5202" w14:textId="77777777" w:rsidR="00E17A15" w:rsidRPr="00E17A15" w:rsidRDefault="00E17A15" w:rsidP="00E17A15">
      <w:pPr>
        <w:outlineLvl w:val="3"/>
        <w:rPr>
          <w:rFonts w:cs="Arial"/>
          <w:b/>
          <w:bCs/>
          <w:color w:val="005D5D" w:themeColor="accent2"/>
        </w:rPr>
      </w:pPr>
      <w:r w:rsidRPr="00E17A15">
        <w:rPr>
          <w:rFonts w:cs="Arial"/>
          <w:b/>
          <w:bCs/>
          <w:color w:val="005D5D" w:themeColor="accent2"/>
        </w:rPr>
        <w:t>Teaching Qualifications</w:t>
      </w:r>
    </w:p>
    <w:p w14:paraId="779C8AC2" w14:textId="77777777" w:rsidR="00113575" w:rsidRDefault="00E17A15" w:rsidP="00E17A15">
      <w:r w:rsidRPr="00E17A15">
        <w:t xml:space="preserve">The qualification data provided by TAFEs varied by institution and was sometimes specific to the teaching workforce only, so a national profile is not possible, However, we have complete teaching qualification data for one regional TAFE and three jurisdictions – SA, ACT and Victoria. Victoria teaching qualifications are also by industry. This indicates that there is a higher level of </w:t>
      </w:r>
      <w:r w:rsidRPr="00E17A15">
        <w:rPr>
          <w:i/>
          <w:iCs/>
        </w:rPr>
        <w:t>teaching</w:t>
      </w:r>
      <w:r w:rsidRPr="00E17A15">
        <w:t xml:space="preserve"> </w:t>
      </w:r>
      <w:r w:rsidRPr="00E17A15" w:rsidDel="00DB44E8">
        <w:t>qualification than</w:t>
      </w:r>
      <w:r w:rsidRPr="00E17A15">
        <w:t xml:space="preserve"> previously reported in the 2019 NCVER analysis on two counts: more workers hold at least one teaching qualification and more hold qualifications at a higher AQF level.  </w:t>
      </w:r>
    </w:p>
    <w:p w14:paraId="4608DBE3" w14:textId="3153D198" w:rsidR="00E17A15" w:rsidRPr="00E17A15" w:rsidRDefault="00E17A15" w:rsidP="00E17A15">
      <w:r w:rsidRPr="00E17A15">
        <w:lastRenderedPageBreak/>
        <w:t xml:space="preserve">For example, all of CIT’s teaching workforce held a teaching qualification – 9.4% held a Skill Set, 46.5% held a Certificate IV TAE and 44.1% held a Diploma. </w:t>
      </w:r>
    </w:p>
    <w:p w14:paraId="5CE8600A" w14:textId="077CCAB1" w:rsidR="00E17A15" w:rsidRPr="00E17A15" w:rsidRDefault="00E17A15" w:rsidP="00E17A15">
      <w:r w:rsidRPr="00E17A15">
        <w:t xml:space="preserve">In Victoria close to or above 70% of teachers, trainers and assessors in electrotechnology, community services and heath, general manufacturing, public administration and safety and wholesale, retail and personal services hold a Certificate IV TAE. Some industry and operational areas also have above 40% of their teaching workforce with a diploma level teaching qualification. See </w:t>
      </w:r>
      <w:hyperlink w:anchor="Figure_B_1" w:history="1">
        <w:r w:rsidRPr="00AF13DC">
          <w:rPr>
            <w:rStyle w:val="Hyperlink"/>
          </w:rPr>
          <w:t>Figure B.1</w:t>
        </w:r>
      </w:hyperlink>
      <w:r w:rsidRPr="00E17A15">
        <w:t xml:space="preserve">. These figures are far higher than NCVER figures which put 16.2% of VET teachers and trainers with a diploma and above qualification (19.3% in the public sector).  </w:t>
      </w:r>
    </w:p>
    <w:p w14:paraId="59B951E6" w14:textId="77777777" w:rsidR="00E17A15" w:rsidRPr="00E17A15" w:rsidRDefault="00E17A15" w:rsidP="00E17A15">
      <w:r w:rsidRPr="00E17A15">
        <w:t xml:space="preserve">The data provided by one regional TAFE has even higher teaching qualifications at the Certificate IV TAE level with 82.3% of teaching staff holding this qualification, as do 12% of non-teaching staff. A smaller percentage (12.1%) of teachers at this regional TAFE hold a Diploma of VET, while 3.2% hold a Diploma of Training Design and Development but more than one quarter (28.6%) hold a bachelor level qualification or above, as do 12% of non-teaching staff. </w:t>
      </w:r>
    </w:p>
    <w:p w14:paraId="3587BE78" w14:textId="77777777" w:rsidR="00E17A15" w:rsidRPr="00E17A15" w:rsidRDefault="00E17A15" w:rsidP="00E17A15">
      <w:r w:rsidRPr="00E17A15">
        <w:br w:type="page"/>
      </w:r>
    </w:p>
    <w:p w14:paraId="33A2DA3C" w14:textId="52226090" w:rsidR="00E17A15" w:rsidRPr="00E17A15" w:rsidRDefault="009F7C27" w:rsidP="00113575">
      <w:pPr>
        <w:spacing w:after="240"/>
        <w:rPr>
          <w:b/>
          <w:sz w:val="20"/>
          <w:lang w:val="en-US"/>
        </w:rPr>
      </w:pPr>
      <w:bookmarkStart w:id="230" w:name="Figure_B_1"/>
      <w:r w:rsidRPr="00E17A15">
        <w:rPr>
          <w:rFonts w:asciiTheme="minorHAnsi" w:hAnsiTheme="minorHAnsi" w:cstheme="minorHAnsi"/>
          <w:noProof/>
          <w:sz w:val="18"/>
          <w:szCs w:val="18"/>
        </w:rPr>
        <w:lastRenderedPageBreak/>
        <w:drawing>
          <wp:anchor distT="0" distB="0" distL="114300" distR="114300" simplePos="0" relativeHeight="251662363" behindDoc="0" locked="0" layoutInCell="1" allowOverlap="1" wp14:anchorId="222BE351" wp14:editId="04AB3919">
            <wp:simplePos x="0" y="0"/>
            <wp:positionH relativeFrom="column">
              <wp:posOffset>-6829</wp:posOffset>
            </wp:positionH>
            <wp:positionV relativeFrom="paragraph">
              <wp:posOffset>251963</wp:posOffset>
            </wp:positionV>
            <wp:extent cx="5728909" cy="6588000"/>
            <wp:effectExtent l="19050" t="19050" r="24765" b="22860"/>
            <wp:wrapNone/>
            <wp:docPr id="193501121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011215"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72">
                      <a:extLst>
                        <a:ext uri="{28A0092B-C50C-407E-A947-70E740481C1C}">
                          <a14:useLocalDpi xmlns:a14="http://schemas.microsoft.com/office/drawing/2010/main" val="0"/>
                        </a:ext>
                      </a:extLst>
                    </a:blip>
                    <a:srcRect t="-2204"/>
                    <a:stretch/>
                  </pic:blipFill>
                  <pic:spPr bwMode="auto">
                    <a:xfrm>
                      <a:off x="0" y="0"/>
                      <a:ext cx="5730875" cy="6590261"/>
                    </a:xfrm>
                    <a:prstGeom prst="rect">
                      <a:avLst/>
                    </a:prstGeom>
                    <a:solidFill>
                      <a:schemeClr val="bg1"/>
                    </a:solidFill>
                    <a:ln w="9525" cap="flat" cmpd="sng" algn="ctr">
                      <a:solidFill>
                        <a:srgbClr val="FFFFFF">
                          <a:lumMod val="8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7A15" w:rsidRPr="00E17A15">
        <w:rPr>
          <w:b/>
          <w:sz w:val="20"/>
          <w:lang w:val="en-US"/>
        </w:rPr>
        <w:t xml:space="preserve">Figure </w:t>
      </w:r>
      <w:r w:rsidR="00E17A15" w:rsidRPr="00E17A15">
        <w:rPr>
          <w:b/>
          <w:sz w:val="20"/>
          <w:lang w:val="en-US"/>
        </w:rPr>
        <w:fldChar w:fldCharType="begin"/>
      </w:r>
      <w:r w:rsidR="00E17A15" w:rsidRPr="00E17A15">
        <w:rPr>
          <w:b/>
          <w:sz w:val="20"/>
          <w:lang w:val="en-US"/>
        </w:rPr>
        <w:instrText xml:space="preserve"> STYLEREF 1 \s </w:instrText>
      </w:r>
      <w:r w:rsidR="00E17A15" w:rsidRPr="00E17A15">
        <w:rPr>
          <w:b/>
          <w:sz w:val="20"/>
          <w:lang w:val="en-US"/>
        </w:rPr>
        <w:fldChar w:fldCharType="separate"/>
      </w:r>
      <w:r w:rsidR="00E17A15" w:rsidRPr="00E17A15">
        <w:rPr>
          <w:b/>
          <w:noProof/>
          <w:sz w:val="20"/>
          <w:lang w:val="en-US"/>
        </w:rPr>
        <w:t>B</w:t>
      </w:r>
      <w:r w:rsidR="00E17A15" w:rsidRPr="00E17A15">
        <w:rPr>
          <w:b/>
          <w:sz w:val="20"/>
          <w:lang w:val="en-US"/>
        </w:rPr>
        <w:fldChar w:fldCharType="end"/>
      </w:r>
      <w:r w:rsidR="00E17A15" w:rsidRPr="00E17A15">
        <w:rPr>
          <w:b/>
          <w:sz w:val="20"/>
          <w:lang w:val="en-US"/>
        </w:rPr>
        <w:t>.</w:t>
      </w:r>
      <w:r w:rsidR="00E17A15" w:rsidRPr="00E17A15">
        <w:rPr>
          <w:b/>
          <w:sz w:val="20"/>
          <w:lang w:val="en-US"/>
        </w:rPr>
        <w:fldChar w:fldCharType="begin"/>
      </w:r>
      <w:r w:rsidR="00E17A15" w:rsidRPr="00E17A15">
        <w:rPr>
          <w:b/>
          <w:sz w:val="20"/>
          <w:lang w:val="en-US"/>
        </w:rPr>
        <w:instrText xml:space="preserve"> SEQ Figure \* ARABIC \s 1 </w:instrText>
      </w:r>
      <w:r w:rsidR="00E17A15" w:rsidRPr="00E17A15">
        <w:rPr>
          <w:b/>
          <w:sz w:val="20"/>
          <w:lang w:val="en-US"/>
        </w:rPr>
        <w:fldChar w:fldCharType="separate"/>
      </w:r>
      <w:r w:rsidR="00E17A15" w:rsidRPr="00E17A15">
        <w:rPr>
          <w:b/>
          <w:noProof/>
          <w:sz w:val="20"/>
          <w:lang w:val="en-US"/>
        </w:rPr>
        <w:t>1</w:t>
      </w:r>
      <w:r w:rsidR="00E17A15" w:rsidRPr="00E17A15">
        <w:rPr>
          <w:b/>
          <w:sz w:val="20"/>
          <w:lang w:val="en-US"/>
        </w:rPr>
        <w:fldChar w:fldCharType="end"/>
      </w:r>
      <w:r w:rsidR="00E17A15" w:rsidRPr="00E17A15">
        <w:rPr>
          <w:b/>
          <w:sz w:val="20"/>
          <w:lang w:val="en-US"/>
        </w:rPr>
        <w:t xml:space="preserve"> Level of highest teaching qualification across Victorian TAFEs by industry </w:t>
      </w:r>
    </w:p>
    <w:tbl>
      <w:tblPr>
        <w:tblW w:w="8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0"/>
        <w:gridCol w:w="1327"/>
        <w:gridCol w:w="1326"/>
        <w:gridCol w:w="1900"/>
      </w:tblGrid>
      <w:tr w:rsidR="00E17A15" w:rsidRPr="00E17A15" w14:paraId="12547057" w14:textId="77777777" w:rsidTr="004126C2">
        <w:trPr>
          <w:trHeight w:val="290"/>
        </w:trPr>
        <w:tc>
          <w:tcPr>
            <w:tcW w:w="3820" w:type="dxa"/>
            <w:shd w:val="clear" w:color="auto" w:fill="auto"/>
            <w:noWrap/>
            <w:vAlign w:val="bottom"/>
            <w:hideMark/>
          </w:tcPr>
          <w:bookmarkEnd w:id="230"/>
          <w:p w14:paraId="099B0512" w14:textId="2959247D"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Industry</w:t>
            </w:r>
          </w:p>
        </w:tc>
        <w:tc>
          <w:tcPr>
            <w:tcW w:w="1327" w:type="dxa"/>
            <w:shd w:val="clear" w:color="auto" w:fill="auto"/>
            <w:noWrap/>
            <w:vAlign w:val="bottom"/>
            <w:hideMark/>
          </w:tcPr>
          <w:p w14:paraId="1B1E2BC7" w14:textId="6E6C771C"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Cert IV in Training and Assessment</w:t>
            </w:r>
          </w:p>
        </w:tc>
        <w:tc>
          <w:tcPr>
            <w:tcW w:w="1326" w:type="dxa"/>
            <w:shd w:val="clear" w:color="auto" w:fill="auto"/>
            <w:noWrap/>
            <w:vAlign w:val="bottom"/>
            <w:hideMark/>
          </w:tcPr>
          <w:p w14:paraId="6F823985"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Diploma and above approved teaching qualification</w:t>
            </w:r>
          </w:p>
        </w:tc>
        <w:tc>
          <w:tcPr>
            <w:tcW w:w="1900" w:type="dxa"/>
            <w:shd w:val="clear" w:color="auto" w:fill="auto"/>
            <w:noWrap/>
            <w:vAlign w:val="bottom"/>
            <w:hideMark/>
          </w:tcPr>
          <w:p w14:paraId="71E5A76A"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Unknown/Missing</w:t>
            </w:r>
          </w:p>
        </w:tc>
      </w:tr>
      <w:tr w:rsidR="00E17A15" w:rsidRPr="00E17A15" w14:paraId="1F73328B" w14:textId="77777777" w:rsidTr="004126C2">
        <w:trPr>
          <w:trHeight w:val="280"/>
        </w:trPr>
        <w:tc>
          <w:tcPr>
            <w:tcW w:w="3820" w:type="dxa"/>
            <w:shd w:val="clear" w:color="auto" w:fill="auto"/>
            <w:noWrap/>
            <w:vAlign w:val="bottom"/>
            <w:hideMark/>
          </w:tcPr>
          <w:p w14:paraId="4C66838F"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Grand Total</w:t>
            </w:r>
          </w:p>
        </w:tc>
        <w:tc>
          <w:tcPr>
            <w:tcW w:w="1327" w:type="dxa"/>
            <w:shd w:val="clear" w:color="auto" w:fill="auto"/>
            <w:noWrap/>
            <w:vAlign w:val="bottom"/>
            <w:hideMark/>
          </w:tcPr>
          <w:p w14:paraId="13D1E982" w14:textId="6B608C13"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60.4%</w:t>
            </w:r>
          </w:p>
        </w:tc>
        <w:tc>
          <w:tcPr>
            <w:tcW w:w="1326" w:type="dxa"/>
            <w:shd w:val="clear" w:color="auto" w:fill="auto"/>
            <w:noWrap/>
            <w:vAlign w:val="bottom"/>
            <w:hideMark/>
          </w:tcPr>
          <w:p w14:paraId="76F7CA8F" w14:textId="5C7A0A28"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33.1%</w:t>
            </w:r>
          </w:p>
        </w:tc>
        <w:tc>
          <w:tcPr>
            <w:tcW w:w="1900" w:type="dxa"/>
            <w:shd w:val="clear" w:color="auto" w:fill="auto"/>
            <w:noWrap/>
            <w:vAlign w:val="bottom"/>
            <w:hideMark/>
          </w:tcPr>
          <w:p w14:paraId="1B22C1D8"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6.5%</w:t>
            </w:r>
          </w:p>
        </w:tc>
      </w:tr>
      <w:tr w:rsidR="00E17A15" w:rsidRPr="00E17A15" w14:paraId="7F20AE8D" w14:textId="77777777" w:rsidTr="004126C2">
        <w:trPr>
          <w:trHeight w:val="280"/>
        </w:trPr>
        <w:tc>
          <w:tcPr>
            <w:tcW w:w="3820" w:type="dxa"/>
            <w:shd w:val="clear" w:color="auto" w:fill="auto"/>
            <w:noWrap/>
            <w:vAlign w:val="bottom"/>
            <w:hideMark/>
          </w:tcPr>
          <w:p w14:paraId="2166C561"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Adult Community Education</w:t>
            </w:r>
          </w:p>
        </w:tc>
        <w:tc>
          <w:tcPr>
            <w:tcW w:w="1327" w:type="dxa"/>
            <w:shd w:val="clear" w:color="auto" w:fill="auto"/>
            <w:noWrap/>
            <w:vAlign w:val="bottom"/>
            <w:hideMark/>
          </w:tcPr>
          <w:p w14:paraId="7EAEEDA1" w14:textId="2E325371"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59.7%</w:t>
            </w:r>
          </w:p>
        </w:tc>
        <w:tc>
          <w:tcPr>
            <w:tcW w:w="1326" w:type="dxa"/>
            <w:shd w:val="clear" w:color="auto" w:fill="auto"/>
            <w:noWrap/>
            <w:vAlign w:val="bottom"/>
            <w:hideMark/>
          </w:tcPr>
          <w:p w14:paraId="17DF4010"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31.3%</w:t>
            </w:r>
          </w:p>
        </w:tc>
        <w:tc>
          <w:tcPr>
            <w:tcW w:w="1900" w:type="dxa"/>
            <w:shd w:val="clear" w:color="auto" w:fill="auto"/>
            <w:noWrap/>
            <w:vAlign w:val="bottom"/>
            <w:hideMark/>
          </w:tcPr>
          <w:p w14:paraId="6AA961FA"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8.9%</w:t>
            </w:r>
          </w:p>
        </w:tc>
      </w:tr>
      <w:tr w:rsidR="00E17A15" w:rsidRPr="00E17A15" w14:paraId="530E4297" w14:textId="77777777" w:rsidTr="004126C2">
        <w:trPr>
          <w:trHeight w:val="280"/>
        </w:trPr>
        <w:tc>
          <w:tcPr>
            <w:tcW w:w="3820" w:type="dxa"/>
            <w:shd w:val="clear" w:color="auto" w:fill="auto"/>
            <w:noWrap/>
            <w:vAlign w:val="bottom"/>
            <w:hideMark/>
          </w:tcPr>
          <w:p w14:paraId="23D5454B"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Automotive</w:t>
            </w:r>
          </w:p>
        </w:tc>
        <w:tc>
          <w:tcPr>
            <w:tcW w:w="1327" w:type="dxa"/>
            <w:shd w:val="clear" w:color="auto" w:fill="auto"/>
            <w:noWrap/>
            <w:vAlign w:val="bottom"/>
            <w:hideMark/>
          </w:tcPr>
          <w:p w14:paraId="47D021A4" w14:textId="787E563C"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41.1%</w:t>
            </w:r>
          </w:p>
        </w:tc>
        <w:tc>
          <w:tcPr>
            <w:tcW w:w="1326" w:type="dxa"/>
            <w:shd w:val="clear" w:color="auto" w:fill="auto"/>
            <w:noWrap/>
            <w:vAlign w:val="bottom"/>
            <w:hideMark/>
          </w:tcPr>
          <w:p w14:paraId="16A770CA"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50.7%</w:t>
            </w:r>
          </w:p>
        </w:tc>
        <w:tc>
          <w:tcPr>
            <w:tcW w:w="1900" w:type="dxa"/>
            <w:shd w:val="clear" w:color="auto" w:fill="auto"/>
            <w:noWrap/>
            <w:vAlign w:val="bottom"/>
            <w:hideMark/>
          </w:tcPr>
          <w:p w14:paraId="309EB18D"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8.1%</w:t>
            </w:r>
          </w:p>
        </w:tc>
      </w:tr>
      <w:tr w:rsidR="00E17A15" w:rsidRPr="00E17A15" w14:paraId="243757A6" w14:textId="77777777" w:rsidTr="004126C2">
        <w:trPr>
          <w:trHeight w:val="280"/>
        </w:trPr>
        <w:tc>
          <w:tcPr>
            <w:tcW w:w="3820" w:type="dxa"/>
            <w:shd w:val="clear" w:color="auto" w:fill="auto"/>
            <w:noWrap/>
            <w:vAlign w:val="bottom"/>
            <w:hideMark/>
          </w:tcPr>
          <w:p w14:paraId="651D88EC"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Building &amp; Construction</w:t>
            </w:r>
          </w:p>
        </w:tc>
        <w:tc>
          <w:tcPr>
            <w:tcW w:w="1327" w:type="dxa"/>
            <w:shd w:val="clear" w:color="auto" w:fill="auto"/>
            <w:noWrap/>
            <w:vAlign w:val="bottom"/>
            <w:hideMark/>
          </w:tcPr>
          <w:p w14:paraId="391ABF6B"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59.7%</w:t>
            </w:r>
          </w:p>
        </w:tc>
        <w:tc>
          <w:tcPr>
            <w:tcW w:w="1326" w:type="dxa"/>
            <w:shd w:val="clear" w:color="auto" w:fill="auto"/>
            <w:noWrap/>
            <w:vAlign w:val="bottom"/>
            <w:hideMark/>
          </w:tcPr>
          <w:p w14:paraId="522E451C"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35.1%</w:t>
            </w:r>
          </w:p>
        </w:tc>
        <w:tc>
          <w:tcPr>
            <w:tcW w:w="1900" w:type="dxa"/>
            <w:shd w:val="clear" w:color="auto" w:fill="auto"/>
            <w:noWrap/>
            <w:vAlign w:val="bottom"/>
            <w:hideMark/>
          </w:tcPr>
          <w:p w14:paraId="541E29D3"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5.2%</w:t>
            </w:r>
          </w:p>
        </w:tc>
      </w:tr>
      <w:tr w:rsidR="00E17A15" w:rsidRPr="00E17A15" w14:paraId="760811D7" w14:textId="77777777" w:rsidTr="004126C2">
        <w:trPr>
          <w:trHeight w:val="280"/>
        </w:trPr>
        <w:tc>
          <w:tcPr>
            <w:tcW w:w="3820" w:type="dxa"/>
            <w:shd w:val="clear" w:color="auto" w:fill="auto"/>
            <w:noWrap/>
            <w:vAlign w:val="bottom"/>
            <w:hideMark/>
          </w:tcPr>
          <w:p w14:paraId="7A2A4688"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Business Services</w:t>
            </w:r>
          </w:p>
        </w:tc>
        <w:tc>
          <w:tcPr>
            <w:tcW w:w="1327" w:type="dxa"/>
            <w:shd w:val="clear" w:color="auto" w:fill="auto"/>
            <w:noWrap/>
            <w:vAlign w:val="bottom"/>
            <w:hideMark/>
          </w:tcPr>
          <w:p w14:paraId="42E0B755"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52.3%</w:t>
            </w:r>
          </w:p>
        </w:tc>
        <w:tc>
          <w:tcPr>
            <w:tcW w:w="1326" w:type="dxa"/>
            <w:shd w:val="clear" w:color="auto" w:fill="auto"/>
            <w:noWrap/>
            <w:vAlign w:val="bottom"/>
            <w:hideMark/>
          </w:tcPr>
          <w:p w14:paraId="41E60F52"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43.1%</w:t>
            </w:r>
          </w:p>
        </w:tc>
        <w:tc>
          <w:tcPr>
            <w:tcW w:w="1900" w:type="dxa"/>
            <w:shd w:val="clear" w:color="auto" w:fill="auto"/>
            <w:noWrap/>
            <w:vAlign w:val="bottom"/>
            <w:hideMark/>
          </w:tcPr>
          <w:p w14:paraId="31E695A8" w14:textId="1FBBB7FD"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4.6%</w:t>
            </w:r>
          </w:p>
        </w:tc>
      </w:tr>
      <w:tr w:rsidR="00E17A15" w:rsidRPr="00E17A15" w14:paraId="33578BB4" w14:textId="77777777" w:rsidTr="004126C2">
        <w:trPr>
          <w:trHeight w:val="280"/>
        </w:trPr>
        <w:tc>
          <w:tcPr>
            <w:tcW w:w="3820" w:type="dxa"/>
            <w:shd w:val="clear" w:color="auto" w:fill="auto"/>
            <w:noWrap/>
            <w:vAlign w:val="bottom"/>
            <w:hideMark/>
          </w:tcPr>
          <w:p w14:paraId="2EA14DB5"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Community Services &amp; Health</w:t>
            </w:r>
          </w:p>
        </w:tc>
        <w:tc>
          <w:tcPr>
            <w:tcW w:w="1327" w:type="dxa"/>
            <w:shd w:val="clear" w:color="auto" w:fill="auto"/>
            <w:noWrap/>
            <w:vAlign w:val="bottom"/>
            <w:hideMark/>
          </w:tcPr>
          <w:p w14:paraId="7D2EE21B" w14:textId="2C4670E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69.2%</w:t>
            </w:r>
          </w:p>
        </w:tc>
        <w:tc>
          <w:tcPr>
            <w:tcW w:w="1326" w:type="dxa"/>
            <w:shd w:val="clear" w:color="auto" w:fill="auto"/>
            <w:noWrap/>
            <w:vAlign w:val="bottom"/>
            <w:hideMark/>
          </w:tcPr>
          <w:p w14:paraId="0AA51F59" w14:textId="14812CD9"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25.5%</w:t>
            </w:r>
          </w:p>
        </w:tc>
        <w:tc>
          <w:tcPr>
            <w:tcW w:w="1900" w:type="dxa"/>
            <w:shd w:val="clear" w:color="auto" w:fill="auto"/>
            <w:noWrap/>
            <w:vAlign w:val="bottom"/>
            <w:hideMark/>
          </w:tcPr>
          <w:p w14:paraId="7BB03E6B"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5.3%</w:t>
            </w:r>
          </w:p>
        </w:tc>
      </w:tr>
      <w:tr w:rsidR="00E17A15" w:rsidRPr="00E17A15" w14:paraId="17AF498C" w14:textId="77777777" w:rsidTr="004126C2">
        <w:trPr>
          <w:trHeight w:val="280"/>
        </w:trPr>
        <w:tc>
          <w:tcPr>
            <w:tcW w:w="3820" w:type="dxa"/>
            <w:shd w:val="clear" w:color="auto" w:fill="auto"/>
            <w:noWrap/>
            <w:vAlign w:val="bottom"/>
            <w:hideMark/>
          </w:tcPr>
          <w:p w14:paraId="4097438B"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Cultural &amp; Recreation</w:t>
            </w:r>
          </w:p>
        </w:tc>
        <w:tc>
          <w:tcPr>
            <w:tcW w:w="1327" w:type="dxa"/>
            <w:shd w:val="clear" w:color="auto" w:fill="auto"/>
            <w:noWrap/>
            <w:vAlign w:val="bottom"/>
            <w:hideMark/>
          </w:tcPr>
          <w:p w14:paraId="06070C75"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50.5%</w:t>
            </w:r>
          </w:p>
        </w:tc>
        <w:tc>
          <w:tcPr>
            <w:tcW w:w="1326" w:type="dxa"/>
            <w:shd w:val="clear" w:color="auto" w:fill="auto"/>
            <w:noWrap/>
            <w:vAlign w:val="bottom"/>
            <w:hideMark/>
          </w:tcPr>
          <w:p w14:paraId="577599A1"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42.1%</w:t>
            </w:r>
          </w:p>
        </w:tc>
        <w:tc>
          <w:tcPr>
            <w:tcW w:w="1900" w:type="dxa"/>
            <w:shd w:val="clear" w:color="auto" w:fill="auto"/>
            <w:noWrap/>
            <w:vAlign w:val="bottom"/>
            <w:hideMark/>
          </w:tcPr>
          <w:p w14:paraId="55938702"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7.5%</w:t>
            </w:r>
          </w:p>
        </w:tc>
      </w:tr>
      <w:tr w:rsidR="00E17A15" w:rsidRPr="00E17A15" w14:paraId="7454F660" w14:textId="77777777" w:rsidTr="004126C2">
        <w:trPr>
          <w:trHeight w:val="280"/>
        </w:trPr>
        <w:tc>
          <w:tcPr>
            <w:tcW w:w="3820" w:type="dxa"/>
            <w:shd w:val="clear" w:color="auto" w:fill="auto"/>
            <w:noWrap/>
            <w:vAlign w:val="bottom"/>
            <w:hideMark/>
          </w:tcPr>
          <w:p w14:paraId="3AA52FF7"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Curriculum Development/Design</w:t>
            </w:r>
          </w:p>
        </w:tc>
        <w:tc>
          <w:tcPr>
            <w:tcW w:w="1327" w:type="dxa"/>
            <w:shd w:val="clear" w:color="auto" w:fill="auto"/>
            <w:noWrap/>
            <w:vAlign w:val="bottom"/>
            <w:hideMark/>
          </w:tcPr>
          <w:p w14:paraId="6E2DE1BB"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45.8%</w:t>
            </w:r>
          </w:p>
        </w:tc>
        <w:tc>
          <w:tcPr>
            <w:tcW w:w="1326" w:type="dxa"/>
            <w:shd w:val="clear" w:color="auto" w:fill="auto"/>
            <w:noWrap/>
            <w:vAlign w:val="bottom"/>
            <w:hideMark/>
          </w:tcPr>
          <w:p w14:paraId="7139BC51"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40.6%</w:t>
            </w:r>
          </w:p>
        </w:tc>
        <w:tc>
          <w:tcPr>
            <w:tcW w:w="1900" w:type="dxa"/>
            <w:shd w:val="clear" w:color="auto" w:fill="auto"/>
            <w:noWrap/>
            <w:vAlign w:val="bottom"/>
            <w:hideMark/>
          </w:tcPr>
          <w:p w14:paraId="4EFA5328"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13.5%</w:t>
            </w:r>
          </w:p>
        </w:tc>
      </w:tr>
      <w:tr w:rsidR="00E17A15" w:rsidRPr="00E17A15" w14:paraId="3217D17A" w14:textId="77777777" w:rsidTr="004126C2">
        <w:trPr>
          <w:trHeight w:val="280"/>
        </w:trPr>
        <w:tc>
          <w:tcPr>
            <w:tcW w:w="3820" w:type="dxa"/>
            <w:shd w:val="clear" w:color="auto" w:fill="auto"/>
            <w:noWrap/>
            <w:vAlign w:val="bottom"/>
            <w:hideMark/>
          </w:tcPr>
          <w:p w14:paraId="7A7CC0B3"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Electrotechnology &amp; Communications</w:t>
            </w:r>
          </w:p>
        </w:tc>
        <w:tc>
          <w:tcPr>
            <w:tcW w:w="1327" w:type="dxa"/>
            <w:shd w:val="clear" w:color="auto" w:fill="auto"/>
            <w:noWrap/>
            <w:vAlign w:val="bottom"/>
            <w:hideMark/>
          </w:tcPr>
          <w:p w14:paraId="1EF98EBC"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69.4%</w:t>
            </w:r>
          </w:p>
        </w:tc>
        <w:tc>
          <w:tcPr>
            <w:tcW w:w="1326" w:type="dxa"/>
            <w:shd w:val="clear" w:color="auto" w:fill="auto"/>
            <w:noWrap/>
            <w:vAlign w:val="bottom"/>
            <w:hideMark/>
          </w:tcPr>
          <w:p w14:paraId="66E597F0"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26.0%</w:t>
            </w:r>
          </w:p>
        </w:tc>
        <w:tc>
          <w:tcPr>
            <w:tcW w:w="1900" w:type="dxa"/>
            <w:shd w:val="clear" w:color="auto" w:fill="auto"/>
            <w:noWrap/>
            <w:vAlign w:val="bottom"/>
            <w:hideMark/>
          </w:tcPr>
          <w:p w14:paraId="1102C3A2"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4.7%</w:t>
            </w:r>
          </w:p>
        </w:tc>
      </w:tr>
      <w:tr w:rsidR="00E17A15" w:rsidRPr="00E17A15" w14:paraId="670CB566" w14:textId="77777777" w:rsidTr="004126C2">
        <w:trPr>
          <w:trHeight w:val="280"/>
        </w:trPr>
        <w:tc>
          <w:tcPr>
            <w:tcW w:w="3820" w:type="dxa"/>
            <w:shd w:val="clear" w:color="auto" w:fill="auto"/>
            <w:noWrap/>
            <w:vAlign w:val="bottom"/>
            <w:hideMark/>
          </w:tcPr>
          <w:p w14:paraId="56CC14EE" w14:textId="4C1BBDA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General Manufacturing</w:t>
            </w:r>
          </w:p>
        </w:tc>
        <w:tc>
          <w:tcPr>
            <w:tcW w:w="1327" w:type="dxa"/>
            <w:shd w:val="clear" w:color="auto" w:fill="auto"/>
            <w:noWrap/>
            <w:vAlign w:val="bottom"/>
            <w:hideMark/>
          </w:tcPr>
          <w:p w14:paraId="6E4BBF9B"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76.3%</w:t>
            </w:r>
          </w:p>
        </w:tc>
        <w:tc>
          <w:tcPr>
            <w:tcW w:w="1326" w:type="dxa"/>
            <w:shd w:val="clear" w:color="auto" w:fill="auto"/>
            <w:noWrap/>
            <w:vAlign w:val="bottom"/>
            <w:hideMark/>
          </w:tcPr>
          <w:p w14:paraId="6B0292A5"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18.4%</w:t>
            </w:r>
          </w:p>
        </w:tc>
        <w:tc>
          <w:tcPr>
            <w:tcW w:w="1900" w:type="dxa"/>
            <w:shd w:val="clear" w:color="auto" w:fill="auto"/>
            <w:noWrap/>
            <w:vAlign w:val="bottom"/>
            <w:hideMark/>
          </w:tcPr>
          <w:p w14:paraId="5CC0AF2A"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5.3%</w:t>
            </w:r>
          </w:p>
        </w:tc>
      </w:tr>
      <w:tr w:rsidR="00E17A15" w:rsidRPr="00E17A15" w14:paraId="553AA147" w14:textId="77777777" w:rsidTr="004126C2">
        <w:trPr>
          <w:trHeight w:val="280"/>
        </w:trPr>
        <w:tc>
          <w:tcPr>
            <w:tcW w:w="3820" w:type="dxa"/>
            <w:shd w:val="clear" w:color="auto" w:fill="auto"/>
            <w:noWrap/>
            <w:vAlign w:val="bottom"/>
            <w:hideMark/>
          </w:tcPr>
          <w:p w14:paraId="6D97ED68"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Metals &amp; Engineering</w:t>
            </w:r>
          </w:p>
        </w:tc>
        <w:tc>
          <w:tcPr>
            <w:tcW w:w="1327" w:type="dxa"/>
            <w:shd w:val="clear" w:color="auto" w:fill="auto"/>
            <w:noWrap/>
            <w:vAlign w:val="bottom"/>
            <w:hideMark/>
          </w:tcPr>
          <w:p w14:paraId="787BA970"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61.8%</w:t>
            </w:r>
          </w:p>
        </w:tc>
        <w:tc>
          <w:tcPr>
            <w:tcW w:w="1326" w:type="dxa"/>
            <w:shd w:val="clear" w:color="auto" w:fill="auto"/>
            <w:noWrap/>
            <w:vAlign w:val="bottom"/>
            <w:hideMark/>
          </w:tcPr>
          <w:p w14:paraId="3B2014DD"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35.5%</w:t>
            </w:r>
          </w:p>
        </w:tc>
        <w:tc>
          <w:tcPr>
            <w:tcW w:w="1900" w:type="dxa"/>
            <w:shd w:val="clear" w:color="auto" w:fill="auto"/>
            <w:noWrap/>
            <w:vAlign w:val="bottom"/>
            <w:hideMark/>
          </w:tcPr>
          <w:p w14:paraId="58CD40C5"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2.7%</w:t>
            </w:r>
          </w:p>
        </w:tc>
      </w:tr>
      <w:tr w:rsidR="00E17A15" w:rsidRPr="00E17A15" w14:paraId="245E70F3" w14:textId="77777777" w:rsidTr="004126C2">
        <w:trPr>
          <w:trHeight w:val="280"/>
        </w:trPr>
        <w:tc>
          <w:tcPr>
            <w:tcW w:w="3820" w:type="dxa"/>
            <w:shd w:val="clear" w:color="auto" w:fill="auto"/>
            <w:noWrap/>
            <w:vAlign w:val="bottom"/>
            <w:hideMark/>
          </w:tcPr>
          <w:p w14:paraId="454A0738"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Missing</w:t>
            </w:r>
          </w:p>
        </w:tc>
        <w:tc>
          <w:tcPr>
            <w:tcW w:w="1327" w:type="dxa"/>
            <w:shd w:val="clear" w:color="auto" w:fill="auto"/>
            <w:noWrap/>
            <w:vAlign w:val="bottom"/>
            <w:hideMark/>
          </w:tcPr>
          <w:p w14:paraId="4403D4CC"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50.0%</w:t>
            </w:r>
          </w:p>
        </w:tc>
        <w:tc>
          <w:tcPr>
            <w:tcW w:w="1326" w:type="dxa"/>
            <w:shd w:val="clear" w:color="auto" w:fill="auto"/>
            <w:noWrap/>
            <w:vAlign w:val="bottom"/>
            <w:hideMark/>
          </w:tcPr>
          <w:p w14:paraId="62076DB3"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0.0%</w:t>
            </w:r>
          </w:p>
        </w:tc>
        <w:tc>
          <w:tcPr>
            <w:tcW w:w="1900" w:type="dxa"/>
            <w:shd w:val="clear" w:color="auto" w:fill="auto"/>
            <w:noWrap/>
            <w:vAlign w:val="bottom"/>
            <w:hideMark/>
          </w:tcPr>
          <w:p w14:paraId="520852D4"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50.0%</w:t>
            </w:r>
          </w:p>
        </w:tc>
      </w:tr>
      <w:tr w:rsidR="00E17A15" w:rsidRPr="00E17A15" w14:paraId="48C215A5" w14:textId="77777777" w:rsidTr="004126C2">
        <w:trPr>
          <w:trHeight w:val="280"/>
        </w:trPr>
        <w:tc>
          <w:tcPr>
            <w:tcW w:w="3820" w:type="dxa"/>
            <w:shd w:val="clear" w:color="auto" w:fill="auto"/>
            <w:noWrap/>
            <w:vAlign w:val="bottom"/>
            <w:hideMark/>
          </w:tcPr>
          <w:p w14:paraId="561FDD43"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Not Defined</w:t>
            </w:r>
          </w:p>
        </w:tc>
        <w:tc>
          <w:tcPr>
            <w:tcW w:w="1327" w:type="dxa"/>
            <w:shd w:val="clear" w:color="auto" w:fill="auto"/>
            <w:noWrap/>
            <w:vAlign w:val="bottom"/>
            <w:hideMark/>
          </w:tcPr>
          <w:p w14:paraId="1F783C04"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57.1%</w:t>
            </w:r>
          </w:p>
        </w:tc>
        <w:tc>
          <w:tcPr>
            <w:tcW w:w="1326" w:type="dxa"/>
            <w:shd w:val="clear" w:color="auto" w:fill="auto"/>
            <w:noWrap/>
            <w:vAlign w:val="bottom"/>
            <w:hideMark/>
          </w:tcPr>
          <w:p w14:paraId="62A335C6"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25.6%</w:t>
            </w:r>
          </w:p>
        </w:tc>
        <w:tc>
          <w:tcPr>
            <w:tcW w:w="1900" w:type="dxa"/>
            <w:shd w:val="clear" w:color="auto" w:fill="auto"/>
            <w:noWrap/>
            <w:vAlign w:val="bottom"/>
            <w:hideMark/>
          </w:tcPr>
          <w:p w14:paraId="2A52E258"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17.3%</w:t>
            </w:r>
          </w:p>
        </w:tc>
      </w:tr>
      <w:tr w:rsidR="00E17A15" w:rsidRPr="00E17A15" w14:paraId="3D95BA53" w14:textId="77777777" w:rsidTr="004126C2">
        <w:trPr>
          <w:trHeight w:val="280"/>
        </w:trPr>
        <w:tc>
          <w:tcPr>
            <w:tcW w:w="3820" w:type="dxa"/>
            <w:shd w:val="clear" w:color="auto" w:fill="auto"/>
            <w:noWrap/>
            <w:vAlign w:val="bottom"/>
            <w:hideMark/>
          </w:tcPr>
          <w:p w14:paraId="58C54650"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Primary &amp; Forest</w:t>
            </w:r>
          </w:p>
        </w:tc>
        <w:tc>
          <w:tcPr>
            <w:tcW w:w="1327" w:type="dxa"/>
            <w:shd w:val="clear" w:color="auto" w:fill="auto"/>
            <w:noWrap/>
            <w:vAlign w:val="bottom"/>
            <w:hideMark/>
          </w:tcPr>
          <w:p w14:paraId="23275011"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67.3%</w:t>
            </w:r>
          </w:p>
        </w:tc>
        <w:tc>
          <w:tcPr>
            <w:tcW w:w="1326" w:type="dxa"/>
            <w:shd w:val="clear" w:color="auto" w:fill="auto"/>
            <w:noWrap/>
            <w:vAlign w:val="bottom"/>
            <w:hideMark/>
          </w:tcPr>
          <w:p w14:paraId="36377052"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28.9%</w:t>
            </w:r>
          </w:p>
        </w:tc>
        <w:tc>
          <w:tcPr>
            <w:tcW w:w="1900" w:type="dxa"/>
            <w:shd w:val="clear" w:color="auto" w:fill="auto"/>
            <w:noWrap/>
            <w:vAlign w:val="bottom"/>
            <w:hideMark/>
          </w:tcPr>
          <w:p w14:paraId="07DCD2F5"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3.8%</w:t>
            </w:r>
          </w:p>
        </w:tc>
      </w:tr>
      <w:tr w:rsidR="00E17A15" w:rsidRPr="00E17A15" w14:paraId="4740C194" w14:textId="77777777" w:rsidTr="004126C2">
        <w:trPr>
          <w:trHeight w:val="280"/>
        </w:trPr>
        <w:tc>
          <w:tcPr>
            <w:tcW w:w="3820" w:type="dxa"/>
            <w:shd w:val="clear" w:color="auto" w:fill="auto"/>
            <w:noWrap/>
            <w:vAlign w:val="bottom"/>
            <w:hideMark/>
          </w:tcPr>
          <w:p w14:paraId="3419DA45" w14:textId="4E5780B3"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Public Administration &amp; Safety</w:t>
            </w:r>
          </w:p>
        </w:tc>
        <w:tc>
          <w:tcPr>
            <w:tcW w:w="1327" w:type="dxa"/>
            <w:shd w:val="clear" w:color="auto" w:fill="auto"/>
            <w:noWrap/>
            <w:vAlign w:val="bottom"/>
            <w:hideMark/>
          </w:tcPr>
          <w:p w14:paraId="5ED753EB"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73.3%</w:t>
            </w:r>
          </w:p>
        </w:tc>
        <w:tc>
          <w:tcPr>
            <w:tcW w:w="1326" w:type="dxa"/>
            <w:shd w:val="clear" w:color="auto" w:fill="auto"/>
            <w:noWrap/>
            <w:vAlign w:val="bottom"/>
            <w:hideMark/>
          </w:tcPr>
          <w:p w14:paraId="05BB49D2"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26.7%</w:t>
            </w:r>
          </w:p>
        </w:tc>
        <w:tc>
          <w:tcPr>
            <w:tcW w:w="1900" w:type="dxa"/>
            <w:shd w:val="clear" w:color="auto" w:fill="auto"/>
            <w:noWrap/>
            <w:vAlign w:val="bottom"/>
            <w:hideMark/>
          </w:tcPr>
          <w:p w14:paraId="7D0BC2E5"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0.0%</w:t>
            </w:r>
          </w:p>
        </w:tc>
      </w:tr>
      <w:tr w:rsidR="00E17A15" w:rsidRPr="00E17A15" w14:paraId="410830C4" w14:textId="77777777" w:rsidTr="004126C2">
        <w:trPr>
          <w:trHeight w:val="280"/>
        </w:trPr>
        <w:tc>
          <w:tcPr>
            <w:tcW w:w="3820" w:type="dxa"/>
            <w:shd w:val="clear" w:color="auto" w:fill="auto"/>
            <w:noWrap/>
            <w:vAlign w:val="bottom"/>
            <w:hideMark/>
          </w:tcPr>
          <w:p w14:paraId="1A4F244F" w14:textId="36DF2845"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Tourism &amp; Hospitality</w:t>
            </w:r>
          </w:p>
        </w:tc>
        <w:tc>
          <w:tcPr>
            <w:tcW w:w="1327" w:type="dxa"/>
            <w:shd w:val="clear" w:color="auto" w:fill="auto"/>
            <w:noWrap/>
            <w:vAlign w:val="bottom"/>
            <w:hideMark/>
          </w:tcPr>
          <w:p w14:paraId="6930A07F" w14:textId="4EBF52C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52.6%</w:t>
            </w:r>
          </w:p>
        </w:tc>
        <w:tc>
          <w:tcPr>
            <w:tcW w:w="1326" w:type="dxa"/>
            <w:shd w:val="clear" w:color="auto" w:fill="auto"/>
            <w:noWrap/>
            <w:vAlign w:val="bottom"/>
            <w:hideMark/>
          </w:tcPr>
          <w:p w14:paraId="098A1204" w14:textId="56FC0591"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45.8%</w:t>
            </w:r>
          </w:p>
        </w:tc>
        <w:tc>
          <w:tcPr>
            <w:tcW w:w="1900" w:type="dxa"/>
            <w:shd w:val="clear" w:color="auto" w:fill="auto"/>
            <w:noWrap/>
            <w:vAlign w:val="bottom"/>
            <w:hideMark/>
          </w:tcPr>
          <w:p w14:paraId="10E1C9D2"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1.5%</w:t>
            </w:r>
          </w:p>
        </w:tc>
      </w:tr>
      <w:tr w:rsidR="00E17A15" w:rsidRPr="00E17A15" w14:paraId="6D3F7459" w14:textId="77777777" w:rsidTr="004126C2">
        <w:trPr>
          <w:trHeight w:val="280"/>
        </w:trPr>
        <w:tc>
          <w:tcPr>
            <w:tcW w:w="3820" w:type="dxa"/>
            <w:shd w:val="clear" w:color="auto" w:fill="auto"/>
            <w:noWrap/>
            <w:vAlign w:val="bottom"/>
            <w:hideMark/>
          </w:tcPr>
          <w:p w14:paraId="7243A0DF"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Transport &amp; Storage</w:t>
            </w:r>
          </w:p>
        </w:tc>
        <w:tc>
          <w:tcPr>
            <w:tcW w:w="1327" w:type="dxa"/>
            <w:shd w:val="clear" w:color="auto" w:fill="auto"/>
            <w:noWrap/>
            <w:vAlign w:val="bottom"/>
            <w:hideMark/>
          </w:tcPr>
          <w:p w14:paraId="277F8AC4"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40.0%</w:t>
            </w:r>
          </w:p>
        </w:tc>
        <w:tc>
          <w:tcPr>
            <w:tcW w:w="1326" w:type="dxa"/>
            <w:shd w:val="clear" w:color="auto" w:fill="auto"/>
            <w:noWrap/>
            <w:vAlign w:val="bottom"/>
            <w:hideMark/>
          </w:tcPr>
          <w:p w14:paraId="62FB4F80" w14:textId="422A0D66"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53.3%</w:t>
            </w:r>
          </w:p>
        </w:tc>
        <w:tc>
          <w:tcPr>
            <w:tcW w:w="1900" w:type="dxa"/>
            <w:shd w:val="clear" w:color="auto" w:fill="auto"/>
            <w:noWrap/>
            <w:vAlign w:val="bottom"/>
            <w:hideMark/>
          </w:tcPr>
          <w:p w14:paraId="5E25DA95"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6.7%</w:t>
            </w:r>
          </w:p>
        </w:tc>
      </w:tr>
      <w:tr w:rsidR="00E17A15" w:rsidRPr="00E17A15" w14:paraId="3151BB8F" w14:textId="77777777" w:rsidTr="004126C2">
        <w:trPr>
          <w:trHeight w:val="290"/>
        </w:trPr>
        <w:tc>
          <w:tcPr>
            <w:tcW w:w="3820" w:type="dxa"/>
            <w:shd w:val="clear" w:color="auto" w:fill="auto"/>
            <w:noWrap/>
            <w:vAlign w:val="bottom"/>
            <w:hideMark/>
          </w:tcPr>
          <w:p w14:paraId="365F5B97"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Wholesale, Retail &amp; Personal Services</w:t>
            </w:r>
          </w:p>
        </w:tc>
        <w:tc>
          <w:tcPr>
            <w:tcW w:w="1327" w:type="dxa"/>
            <w:shd w:val="clear" w:color="auto" w:fill="auto"/>
            <w:noWrap/>
            <w:vAlign w:val="bottom"/>
            <w:hideMark/>
          </w:tcPr>
          <w:p w14:paraId="03498102" w14:textId="35E91383"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70.1%</w:t>
            </w:r>
          </w:p>
        </w:tc>
        <w:tc>
          <w:tcPr>
            <w:tcW w:w="1326" w:type="dxa"/>
            <w:shd w:val="clear" w:color="auto" w:fill="auto"/>
            <w:noWrap/>
            <w:vAlign w:val="bottom"/>
            <w:hideMark/>
          </w:tcPr>
          <w:p w14:paraId="35E6D257" w14:textId="30C1A1CF"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24.7%</w:t>
            </w:r>
          </w:p>
        </w:tc>
        <w:tc>
          <w:tcPr>
            <w:tcW w:w="1900" w:type="dxa"/>
            <w:shd w:val="clear" w:color="auto" w:fill="auto"/>
            <w:noWrap/>
            <w:vAlign w:val="bottom"/>
            <w:hideMark/>
          </w:tcPr>
          <w:p w14:paraId="73201850" w14:textId="77777777" w:rsidR="00E17A15" w:rsidRPr="00E17A15" w:rsidRDefault="00E17A15" w:rsidP="00E17A15">
            <w:pPr>
              <w:rPr>
                <w:rFonts w:asciiTheme="minorHAnsi" w:hAnsiTheme="minorHAnsi" w:cstheme="minorHAnsi"/>
                <w:sz w:val="18"/>
                <w:szCs w:val="18"/>
                <w:lang w:eastAsia="en-AU"/>
              </w:rPr>
            </w:pPr>
            <w:r w:rsidRPr="00E17A15">
              <w:rPr>
                <w:rFonts w:asciiTheme="minorHAnsi" w:hAnsiTheme="minorHAnsi" w:cstheme="minorHAnsi"/>
                <w:sz w:val="18"/>
                <w:szCs w:val="18"/>
                <w:lang w:eastAsia="en-AU"/>
              </w:rPr>
              <w:t>5.2%</w:t>
            </w:r>
          </w:p>
        </w:tc>
      </w:tr>
    </w:tbl>
    <w:p w14:paraId="27953897" w14:textId="77777777" w:rsidR="00E17A15" w:rsidRPr="00E17A15" w:rsidRDefault="00E17A15" w:rsidP="00E17A15">
      <w:pPr>
        <w:rPr>
          <w:rFonts w:asciiTheme="minorHAnsi" w:hAnsiTheme="minorHAnsi" w:cstheme="minorHAnsi"/>
          <w:sz w:val="18"/>
          <w:szCs w:val="18"/>
          <w:lang w:val="en-US"/>
        </w:rPr>
      </w:pPr>
    </w:p>
    <w:p w14:paraId="22A8B1F4" w14:textId="77777777" w:rsidR="00E17A15" w:rsidRDefault="00E17A15" w:rsidP="00E17A15">
      <w:pPr>
        <w:rPr>
          <w:rFonts w:asciiTheme="minorHAnsi" w:hAnsiTheme="minorHAnsi" w:cstheme="minorHAnsi"/>
          <w:sz w:val="18"/>
          <w:szCs w:val="18"/>
          <w:lang w:val="en-US"/>
        </w:rPr>
      </w:pPr>
    </w:p>
    <w:p w14:paraId="316B287C" w14:textId="77777777" w:rsidR="009F7C27" w:rsidRDefault="009F7C27" w:rsidP="00E17A15">
      <w:pPr>
        <w:rPr>
          <w:rFonts w:asciiTheme="minorHAnsi" w:hAnsiTheme="minorHAnsi" w:cstheme="minorHAnsi"/>
          <w:sz w:val="18"/>
          <w:szCs w:val="18"/>
          <w:lang w:val="en-US"/>
        </w:rPr>
      </w:pPr>
    </w:p>
    <w:p w14:paraId="05DECF35" w14:textId="77777777" w:rsidR="009F7C27" w:rsidRDefault="009F7C27" w:rsidP="00E17A15">
      <w:pPr>
        <w:rPr>
          <w:rFonts w:asciiTheme="minorHAnsi" w:hAnsiTheme="minorHAnsi" w:cstheme="minorHAnsi"/>
          <w:sz w:val="18"/>
          <w:szCs w:val="18"/>
          <w:lang w:val="en-US"/>
        </w:rPr>
      </w:pPr>
    </w:p>
    <w:p w14:paraId="0623B530" w14:textId="77777777" w:rsidR="009F7C27" w:rsidRPr="00E17A15" w:rsidRDefault="009F7C27" w:rsidP="00E17A15">
      <w:pPr>
        <w:rPr>
          <w:rFonts w:asciiTheme="minorHAnsi" w:hAnsiTheme="minorHAnsi" w:cstheme="minorHAnsi"/>
          <w:sz w:val="18"/>
          <w:szCs w:val="18"/>
          <w:lang w:val="en-US"/>
        </w:rPr>
      </w:pPr>
    </w:p>
    <w:p w14:paraId="3CBFA0DA" w14:textId="77777777" w:rsidR="00E17A15" w:rsidRPr="00E17A15" w:rsidRDefault="00E17A15" w:rsidP="00E17A15">
      <w:pPr>
        <w:spacing w:before="120" w:after="120" w:line="264" w:lineRule="auto"/>
        <w:rPr>
          <w:rFonts w:asciiTheme="minorHAnsi" w:hAnsiTheme="minorHAnsi" w:cstheme="minorHAnsi"/>
          <w:color w:val="auto"/>
          <w:sz w:val="18"/>
          <w:szCs w:val="18"/>
        </w:rPr>
      </w:pPr>
      <w:r w:rsidRPr="00E17A15">
        <w:rPr>
          <w:rFonts w:asciiTheme="minorHAnsi" w:hAnsiTheme="minorHAnsi" w:cstheme="minorHAnsi"/>
          <w:color w:val="auto"/>
          <w:sz w:val="18"/>
          <w:szCs w:val="18"/>
        </w:rPr>
        <w:br/>
        <w:t xml:space="preserve">Source: Supplied (Victorian Public Sector Commission). </w:t>
      </w:r>
    </w:p>
    <w:p w14:paraId="1E8AA26A" w14:textId="77777777" w:rsidR="00E17A15" w:rsidRPr="00E17A15" w:rsidRDefault="00E17A15" w:rsidP="00E17A15">
      <w:pPr>
        <w:rPr>
          <w:rFonts w:asciiTheme="minorHAnsi" w:hAnsiTheme="minorHAnsi" w:cstheme="minorHAnsi"/>
          <w:b/>
          <w:color w:val="005D5D" w:themeColor="accent2"/>
          <w:sz w:val="18"/>
          <w:szCs w:val="18"/>
        </w:rPr>
      </w:pPr>
      <w:r w:rsidRPr="00E17A15">
        <w:rPr>
          <w:rFonts w:asciiTheme="minorHAnsi" w:hAnsiTheme="minorHAnsi" w:cstheme="minorHAnsi"/>
          <w:sz w:val="18"/>
          <w:szCs w:val="18"/>
        </w:rPr>
        <w:br w:type="page"/>
      </w:r>
    </w:p>
    <w:p w14:paraId="47858078" w14:textId="77777777" w:rsidR="00E17A15" w:rsidRPr="00E17A15" w:rsidRDefault="00E17A15" w:rsidP="00E17A15">
      <w:pPr>
        <w:outlineLvl w:val="3"/>
        <w:rPr>
          <w:rFonts w:cs="Arial"/>
          <w:b/>
          <w:bCs/>
          <w:color w:val="005D5D" w:themeColor="accent2"/>
        </w:rPr>
      </w:pPr>
      <w:r w:rsidRPr="00E17A15">
        <w:rPr>
          <w:rFonts w:cs="Arial"/>
          <w:b/>
          <w:bCs/>
          <w:color w:val="005D5D" w:themeColor="accent2"/>
        </w:rPr>
        <w:lastRenderedPageBreak/>
        <w:t>Pay</w:t>
      </w:r>
    </w:p>
    <w:p w14:paraId="679E4BC4" w14:textId="784C46B9" w:rsidR="00E17A15" w:rsidRPr="00E17A15" w:rsidRDefault="00E17A15" w:rsidP="00E17A15">
      <w:pPr>
        <w:rPr>
          <w:rFonts w:eastAsia="Arial"/>
        </w:rPr>
      </w:pPr>
      <w:r w:rsidRPr="00E17A15">
        <w:t xml:space="preserve">As discussed in the Awards, employment agreements and union membership section in Chapter 2, workers in the Public Sector have a higher rate of collective agreement coverage. </w:t>
      </w:r>
      <w:r w:rsidRPr="00E17A15">
        <w:rPr>
          <w:rFonts w:eastAsia="Arial"/>
        </w:rPr>
        <w:t xml:space="preserve">These are mainly teacher specific agreements but do cover managers and learning support roles in some cases. In nearly all states and territories, there are single agreements for across the TAFE workforce even when there are separate institutes in the jurisdiction. For </w:t>
      </w:r>
      <w:r w:rsidRPr="00E17A15" w:rsidDel="00DB44E8">
        <w:rPr>
          <w:rFonts w:eastAsia="Arial"/>
        </w:rPr>
        <w:t>example</w:t>
      </w:r>
      <w:r w:rsidRPr="00E17A15">
        <w:rPr>
          <w:rFonts w:eastAsia="Arial"/>
        </w:rPr>
        <w:t xml:space="preserve">, in Victoria and WA. </w:t>
      </w:r>
      <w:r w:rsidRPr="00E17A15">
        <w:t xml:space="preserve">As noted above, TAFE teachers are paid higher than their counterparts in private RTOs. Most entry-level TAFE teachers commence at around $85K increasing to above $100K for more senior roles.  Teaching management roles are also included in these agreements and at the lower salary levels of around $110K likely align with extended scope teaching roles that we profile in Chapter 3. The $119 to $194K salaries at the upper levels likely align with roles in the leadership segment, See </w:t>
      </w:r>
      <w:hyperlink w:anchor="Table_B_3" w:history="1">
        <w:r w:rsidRPr="00E20E5E">
          <w:rPr>
            <w:rStyle w:val="Hyperlink"/>
          </w:rPr>
          <w:t>Table B.3</w:t>
        </w:r>
      </w:hyperlink>
      <w:r w:rsidRPr="00E17A15">
        <w:t xml:space="preserve"> for an overview.</w:t>
      </w:r>
    </w:p>
    <w:p w14:paraId="3ECD85AE" w14:textId="77777777" w:rsidR="00E17A15" w:rsidRPr="00E17A15" w:rsidRDefault="00E17A15" w:rsidP="00E17A15">
      <w:pPr>
        <w:rPr>
          <w:b/>
          <w:sz w:val="20"/>
          <w:lang w:val="en-US"/>
        </w:rPr>
      </w:pPr>
      <w:bookmarkStart w:id="231" w:name="Table_B_3"/>
      <w:r w:rsidRPr="00A7475C">
        <w:rPr>
          <w:b/>
          <w:sz w:val="20"/>
          <w:lang w:val="en-US"/>
        </w:rPr>
        <w:t xml:space="preserve">Table </w:t>
      </w:r>
      <w:r w:rsidRPr="00A7475C">
        <w:rPr>
          <w:b/>
          <w:sz w:val="20"/>
          <w:lang w:val="en-US"/>
        </w:rPr>
        <w:fldChar w:fldCharType="begin"/>
      </w:r>
      <w:r w:rsidRPr="00A7475C">
        <w:rPr>
          <w:b/>
          <w:sz w:val="20"/>
          <w:lang w:val="en-US"/>
        </w:rPr>
        <w:instrText xml:space="preserve"> STYLEREF 1 \s </w:instrText>
      </w:r>
      <w:r w:rsidRPr="00A7475C">
        <w:rPr>
          <w:b/>
          <w:sz w:val="20"/>
          <w:lang w:val="en-US"/>
        </w:rPr>
        <w:fldChar w:fldCharType="separate"/>
      </w:r>
      <w:r w:rsidRPr="00A7475C">
        <w:rPr>
          <w:b/>
          <w:noProof/>
          <w:sz w:val="20"/>
          <w:lang w:val="en-US"/>
        </w:rPr>
        <w:t>B</w:t>
      </w:r>
      <w:r w:rsidRPr="00A7475C">
        <w:rPr>
          <w:b/>
          <w:sz w:val="20"/>
          <w:lang w:val="en-US"/>
        </w:rPr>
        <w:fldChar w:fldCharType="end"/>
      </w:r>
      <w:r w:rsidRPr="00A7475C">
        <w:rPr>
          <w:b/>
          <w:sz w:val="20"/>
          <w:lang w:val="en-US"/>
        </w:rPr>
        <w:t>.</w:t>
      </w:r>
      <w:r w:rsidRPr="00A7475C">
        <w:rPr>
          <w:b/>
          <w:sz w:val="20"/>
          <w:lang w:val="en-US"/>
        </w:rPr>
        <w:fldChar w:fldCharType="begin"/>
      </w:r>
      <w:r w:rsidRPr="00A7475C">
        <w:rPr>
          <w:b/>
          <w:sz w:val="20"/>
          <w:lang w:val="en-US"/>
        </w:rPr>
        <w:instrText xml:space="preserve"> SEQ Table \* ARABIC \s 1 </w:instrText>
      </w:r>
      <w:r w:rsidRPr="00A7475C">
        <w:rPr>
          <w:b/>
          <w:sz w:val="20"/>
          <w:lang w:val="en-US"/>
        </w:rPr>
        <w:fldChar w:fldCharType="separate"/>
      </w:r>
      <w:r w:rsidRPr="00A7475C">
        <w:rPr>
          <w:b/>
          <w:noProof/>
          <w:sz w:val="20"/>
          <w:lang w:val="en-US"/>
        </w:rPr>
        <w:t>3</w:t>
      </w:r>
      <w:r w:rsidRPr="00A7475C">
        <w:rPr>
          <w:b/>
          <w:sz w:val="20"/>
          <w:lang w:val="en-US"/>
        </w:rPr>
        <w:fldChar w:fldCharType="end"/>
      </w:r>
      <w:r w:rsidRPr="00A7475C">
        <w:rPr>
          <w:b/>
          <w:sz w:val="20"/>
          <w:lang w:val="en-US"/>
        </w:rPr>
        <w:t xml:space="preserve"> Starting and upper-level salaries for teachers and teaching management TAFEs, and the Post-Secondary Education Award</w:t>
      </w:r>
    </w:p>
    <w:bookmarkEnd w:id="231"/>
    <w:tbl>
      <w:tblPr>
        <w:tblStyle w:val="JSATable11"/>
        <w:tblW w:w="9026" w:type="dxa"/>
        <w:tblLayout w:type="fixed"/>
        <w:tblCellMar>
          <w:top w:w="85" w:type="dxa"/>
          <w:bottom w:w="85" w:type="dxa"/>
        </w:tblCellMar>
        <w:tblLook w:val="04A0" w:firstRow="1" w:lastRow="0" w:firstColumn="1" w:lastColumn="0" w:noHBand="0" w:noVBand="1"/>
      </w:tblPr>
      <w:tblGrid>
        <w:gridCol w:w="2835"/>
        <w:gridCol w:w="1547"/>
        <w:gridCol w:w="1548"/>
        <w:gridCol w:w="24"/>
        <w:gridCol w:w="1524"/>
        <w:gridCol w:w="1548"/>
      </w:tblGrid>
      <w:tr w:rsidR="00E17A15" w:rsidRPr="00E17A15" w14:paraId="569BB9B5" w14:textId="77777777" w:rsidTr="00AA0EA2">
        <w:trPr>
          <w:cnfStyle w:val="100000000000" w:firstRow="1" w:lastRow="0" w:firstColumn="0" w:lastColumn="0" w:oddVBand="0" w:evenVBand="0" w:oddHBand="0" w:evenHBand="0" w:firstRowFirstColumn="0" w:firstRowLastColumn="0" w:lastRowFirstColumn="0" w:lastRowLastColumn="0"/>
          <w:trHeight w:val="285"/>
        </w:trPr>
        <w:tc>
          <w:tcPr>
            <w:tcW w:w="2835" w:type="dxa"/>
            <w:tcBorders>
              <w:top w:val="nil"/>
              <w:left w:val="nil"/>
              <w:bottom w:val="nil"/>
              <w:right w:val="nil"/>
            </w:tcBorders>
            <w:shd w:val="clear" w:color="auto" w:fill="012749"/>
          </w:tcPr>
          <w:p w14:paraId="6D8E3821" w14:textId="77777777" w:rsidR="00E17A15" w:rsidRPr="007F0835" w:rsidRDefault="00E17A15" w:rsidP="00E17A15">
            <w:pPr>
              <w:rPr>
                <w:rFonts w:asciiTheme="minorHAnsi" w:hAnsiTheme="minorHAnsi" w:cstheme="minorHAnsi"/>
                <w:bCs/>
                <w:color w:val="auto"/>
                <w:sz w:val="20"/>
                <w:szCs w:val="20"/>
                <w:lang w:val="en-US"/>
              </w:rPr>
            </w:pPr>
          </w:p>
        </w:tc>
        <w:tc>
          <w:tcPr>
            <w:tcW w:w="3119" w:type="dxa"/>
            <w:gridSpan w:val="3"/>
            <w:tcBorders>
              <w:top w:val="nil"/>
              <w:left w:val="nil"/>
              <w:bottom w:val="nil"/>
              <w:right w:val="nil"/>
            </w:tcBorders>
            <w:shd w:val="clear" w:color="auto" w:fill="012749"/>
            <w:vAlign w:val="center"/>
          </w:tcPr>
          <w:p w14:paraId="040C349D" w14:textId="77777777" w:rsidR="00E17A15" w:rsidRPr="007F0835" w:rsidRDefault="00E17A15" w:rsidP="002E375A">
            <w:pPr>
              <w:jc w:val="center"/>
              <w:rPr>
                <w:bCs/>
                <w:color w:val="FFFFFF" w:themeColor="background1"/>
                <w:sz w:val="20"/>
                <w:szCs w:val="20"/>
                <w:lang w:val="en-US"/>
              </w:rPr>
            </w:pPr>
            <w:r w:rsidRPr="007F0835">
              <w:rPr>
                <w:bCs/>
                <w:color w:val="FFFFFF" w:themeColor="background1"/>
                <w:sz w:val="20"/>
                <w:szCs w:val="20"/>
                <w:lang w:val="en-US"/>
              </w:rPr>
              <w:t xml:space="preserve">Teaching </w:t>
            </w:r>
            <w:r w:rsidRPr="007F0835">
              <w:rPr>
                <w:bCs/>
                <w:color w:val="FFFFFF" w:themeColor="background1"/>
                <w:sz w:val="20"/>
                <w:szCs w:val="20"/>
                <w:vertAlign w:val="superscript"/>
                <w:lang w:val="en-US"/>
              </w:rPr>
              <w:t>a</w:t>
            </w:r>
          </w:p>
        </w:tc>
        <w:tc>
          <w:tcPr>
            <w:tcW w:w="3072" w:type="dxa"/>
            <w:gridSpan w:val="2"/>
            <w:tcBorders>
              <w:top w:val="nil"/>
              <w:left w:val="nil"/>
              <w:bottom w:val="nil"/>
              <w:right w:val="nil"/>
            </w:tcBorders>
            <w:shd w:val="clear" w:color="auto" w:fill="012749"/>
            <w:vAlign w:val="center"/>
          </w:tcPr>
          <w:p w14:paraId="634B30CB" w14:textId="77777777" w:rsidR="00E17A15" w:rsidRPr="007F0835" w:rsidRDefault="00E17A15" w:rsidP="002E375A">
            <w:pPr>
              <w:jc w:val="center"/>
              <w:rPr>
                <w:bCs/>
                <w:color w:val="FFFFFF" w:themeColor="background1"/>
                <w:sz w:val="20"/>
                <w:szCs w:val="20"/>
                <w:lang w:val="en-US"/>
              </w:rPr>
            </w:pPr>
            <w:r w:rsidRPr="007F0835">
              <w:rPr>
                <w:bCs/>
                <w:color w:val="FFFFFF" w:themeColor="background1"/>
                <w:sz w:val="20"/>
                <w:szCs w:val="20"/>
                <w:lang w:val="en-US"/>
              </w:rPr>
              <w:t>Teaching Management</w:t>
            </w:r>
          </w:p>
        </w:tc>
      </w:tr>
      <w:tr w:rsidR="00E17A15" w:rsidRPr="00E17A15" w14:paraId="74F4EC76" w14:textId="77777777" w:rsidTr="002E375A">
        <w:trPr>
          <w:trHeight w:val="285"/>
        </w:trPr>
        <w:tc>
          <w:tcPr>
            <w:tcW w:w="2835" w:type="dxa"/>
            <w:tcBorders>
              <w:top w:val="nil"/>
              <w:left w:val="nil"/>
              <w:bottom w:val="nil"/>
              <w:right w:val="nil"/>
            </w:tcBorders>
            <w:shd w:val="clear" w:color="auto" w:fill="012749"/>
          </w:tcPr>
          <w:p w14:paraId="2F30260D" w14:textId="77777777" w:rsidR="00E17A15" w:rsidRPr="007F0835" w:rsidRDefault="00E17A15" w:rsidP="00E17A15">
            <w:pPr>
              <w:rPr>
                <w:rFonts w:asciiTheme="minorHAnsi" w:hAnsiTheme="minorHAnsi" w:cstheme="minorHAnsi"/>
                <w:bCs/>
                <w:color w:val="auto"/>
                <w:sz w:val="20"/>
                <w:szCs w:val="20"/>
                <w:lang w:val="en-US"/>
              </w:rPr>
            </w:pPr>
          </w:p>
        </w:tc>
        <w:tc>
          <w:tcPr>
            <w:tcW w:w="1547" w:type="dxa"/>
            <w:tcBorders>
              <w:top w:val="nil"/>
              <w:left w:val="nil"/>
              <w:bottom w:val="nil"/>
              <w:right w:val="nil"/>
            </w:tcBorders>
            <w:shd w:val="clear" w:color="auto" w:fill="012749"/>
            <w:vAlign w:val="center"/>
          </w:tcPr>
          <w:p w14:paraId="65309DA2" w14:textId="77777777" w:rsidR="00E17A15" w:rsidRPr="007F0835" w:rsidRDefault="00E17A15" w:rsidP="002E375A">
            <w:pPr>
              <w:jc w:val="center"/>
              <w:rPr>
                <w:bCs/>
                <w:color w:val="FFFFFF" w:themeColor="background1"/>
                <w:sz w:val="20"/>
                <w:szCs w:val="20"/>
                <w:lang w:val="en-US"/>
              </w:rPr>
            </w:pPr>
            <w:r w:rsidRPr="007F0835">
              <w:rPr>
                <w:bCs/>
                <w:color w:val="FFFFFF" w:themeColor="background1"/>
                <w:sz w:val="20"/>
                <w:szCs w:val="20"/>
                <w:lang w:val="en-US"/>
              </w:rPr>
              <w:t>Starting</w:t>
            </w:r>
          </w:p>
        </w:tc>
        <w:tc>
          <w:tcPr>
            <w:tcW w:w="1548" w:type="dxa"/>
            <w:tcBorders>
              <w:top w:val="nil"/>
              <w:left w:val="nil"/>
              <w:bottom w:val="nil"/>
              <w:right w:val="nil"/>
            </w:tcBorders>
            <w:shd w:val="clear" w:color="auto" w:fill="012749"/>
            <w:vAlign w:val="center"/>
          </w:tcPr>
          <w:p w14:paraId="151C32AF" w14:textId="77777777" w:rsidR="00E17A15" w:rsidRPr="007F0835" w:rsidRDefault="00E17A15" w:rsidP="002E375A">
            <w:pPr>
              <w:jc w:val="center"/>
              <w:rPr>
                <w:bCs/>
                <w:color w:val="FFFFFF" w:themeColor="background1"/>
                <w:sz w:val="20"/>
                <w:szCs w:val="20"/>
                <w:lang w:val="en-US"/>
              </w:rPr>
            </w:pPr>
            <w:r w:rsidRPr="007F0835">
              <w:rPr>
                <w:bCs/>
                <w:color w:val="FFFFFF" w:themeColor="background1"/>
                <w:sz w:val="20"/>
                <w:szCs w:val="20"/>
                <w:lang w:val="en-US"/>
              </w:rPr>
              <w:t>Upper</w:t>
            </w:r>
          </w:p>
        </w:tc>
        <w:tc>
          <w:tcPr>
            <w:tcW w:w="1548" w:type="dxa"/>
            <w:gridSpan w:val="2"/>
            <w:tcBorders>
              <w:top w:val="nil"/>
              <w:left w:val="nil"/>
              <w:bottom w:val="nil"/>
              <w:right w:val="nil"/>
            </w:tcBorders>
            <w:shd w:val="clear" w:color="auto" w:fill="012749"/>
            <w:vAlign w:val="center"/>
          </w:tcPr>
          <w:p w14:paraId="75D12D73" w14:textId="77777777" w:rsidR="00E17A15" w:rsidRPr="007F0835" w:rsidRDefault="00E17A15" w:rsidP="002E375A">
            <w:pPr>
              <w:jc w:val="center"/>
              <w:rPr>
                <w:bCs/>
                <w:color w:val="FFFFFF" w:themeColor="background1"/>
                <w:sz w:val="20"/>
                <w:szCs w:val="20"/>
                <w:lang w:val="en-US"/>
              </w:rPr>
            </w:pPr>
            <w:r w:rsidRPr="007F0835">
              <w:rPr>
                <w:bCs/>
                <w:color w:val="FFFFFF" w:themeColor="background1"/>
                <w:sz w:val="20"/>
                <w:szCs w:val="20"/>
                <w:lang w:val="en-US"/>
              </w:rPr>
              <w:t>Lower</w:t>
            </w:r>
          </w:p>
        </w:tc>
        <w:tc>
          <w:tcPr>
            <w:tcW w:w="1548" w:type="dxa"/>
            <w:tcBorders>
              <w:top w:val="nil"/>
              <w:left w:val="nil"/>
              <w:bottom w:val="nil"/>
              <w:right w:val="nil"/>
            </w:tcBorders>
            <w:shd w:val="clear" w:color="auto" w:fill="012749"/>
            <w:vAlign w:val="center"/>
          </w:tcPr>
          <w:p w14:paraId="74C998B9" w14:textId="77777777" w:rsidR="00E17A15" w:rsidRPr="007F0835" w:rsidRDefault="00E17A15" w:rsidP="002E375A">
            <w:pPr>
              <w:jc w:val="center"/>
              <w:rPr>
                <w:bCs/>
                <w:color w:val="FFFFFF" w:themeColor="background1"/>
                <w:sz w:val="20"/>
                <w:szCs w:val="20"/>
                <w:lang w:val="en-US"/>
              </w:rPr>
            </w:pPr>
            <w:r w:rsidRPr="007F0835">
              <w:rPr>
                <w:bCs/>
                <w:color w:val="FFFFFF" w:themeColor="background1"/>
                <w:sz w:val="20"/>
                <w:szCs w:val="20"/>
                <w:lang w:val="en-US"/>
              </w:rPr>
              <w:t>Upper</w:t>
            </w:r>
          </w:p>
        </w:tc>
      </w:tr>
      <w:tr w:rsidR="00E17A15" w:rsidRPr="00E17A15" w14:paraId="4A6ACBC8" w14:textId="77777777" w:rsidTr="002E375A">
        <w:trPr>
          <w:cnfStyle w:val="000000010000" w:firstRow="0" w:lastRow="0" w:firstColumn="0" w:lastColumn="0" w:oddVBand="0" w:evenVBand="0" w:oddHBand="0" w:evenHBand="1" w:firstRowFirstColumn="0" w:firstRowLastColumn="0" w:lastRowFirstColumn="0" w:lastRowLastColumn="0"/>
          <w:trHeight w:val="285"/>
        </w:trPr>
        <w:tc>
          <w:tcPr>
            <w:tcW w:w="2835" w:type="dxa"/>
            <w:tcBorders>
              <w:bottom w:val="nil"/>
            </w:tcBorders>
            <w:shd w:val="clear" w:color="auto" w:fill="EEF1F6"/>
          </w:tcPr>
          <w:p w14:paraId="7320636D" w14:textId="77777777" w:rsidR="00E17A15" w:rsidRPr="00A341D9" w:rsidRDefault="00E17A15" w:rsidP="00E17A15">
            <w:pPr>
              <w:rPr>
                <w:sz w:val="20"/>
                <w:szCs w:val="20"/>
                <w:lang w:val="en-US"/>
              </w:rPr>
            </w:pPr>
            <w:r w:rsidRPr="00A341D9">
              <w:rPr>
                <w:sz w:val="20"/>
                <w:szCs w:val="20"/>
                <w:lang w:val="en-US"/>
              </w:rPr>
              <w:t>TAFE SA </w:t>
            </w:r>
          </w:p>
        </w:tc>
        <w:tc>
          <w:tcPr>
            <w:tcW w:w="1547" w:type="dxa"/>
            <w:tcBorders>
              <w:bottom w:val="nil"/>
            </w:tcBorders>
            <w:shd w:val="clear" w:color="auto" w:fill="EEF1F6"/>
            <w:vAlign w:val="center"/>
          </w:tcPr>
          <w:p w14:paraId="3C93307A" w14:textId="77777777" w:rsidR="00E17A15" w:rsidRPr="00A341D9" w:rsidRDefault="00E17A15" w:rsidP="002E375A">
            <w:pPr>
              <w:jc w:val="center"/>
              <w:rPr>
                <w:sz w:val="20"/>
                <w:szCs w:val="20"/>
                <w:lang w:val="en-US"/>
              </w:rPr>
            </w:pPr>
            <w:r w:rsidRPr="00A341D9">
              <w:rPr>
                <w:sz w:val="20"/>
                <w:szCs w:val="20"/>
                <w:lang w:val="en-US"/>
              </w:rPr>
              <w:t>$89,198.00</w:t>
            </w:r>
          </w:p>
        </w:tc>
        <w:tc>
          <w:tcPr>
            <w:tcW w:w="1548" w:type="dxa"/>
            <w:tcBorders>
              <w:bottom w:val="nil"/>
            </w:tcBorders>
            <w:shd w:val="clear" w:color="auto" w:fill="EEF1F6"/>
            <w:vAlign w:val="center"/>
          </w:tcPr>
          <w:p w14:paraId="75B7971A" w14:textId="77777777" w:rsidR="00E17A15" w:rsidRPr="00A341D9" w:rsidRDefault="00E17A15" w:rsidP="002E375A">
            <w:pPr>
              <w:jc w:val="center"/>
              <w:rPr>
                <w:sz w:val="20"/>
                <w:szCs w:val="20"/>
                <w:lang w:val="en-US"/>
              </w:rPr>
            </w:pPr>
            <w:r w:rsidRPr="00A341D9">
              <w:rPr>
                <w:sz w:val="20"/>
                <w:szCs w:val="20"/>
                <w:lang w:val="en-US"/>
              </w:rPr>
              <w:t>$101,647.00</w:t>
            </w:r>
          </w:p>
        </w:tc>
        <w:tc>
          <w:tcPr>
            <w:tcW w:w="1548" w:type="dxa"/>
            <w:gridSpan w:val="2"/>
            <w:tcBorders>
              <w:bottom w:val="nil"/>
            </w:tcBorders>
            <w:shd w:val="clear" w:color="auto" w:fill="EEF1F6"/>
            <w:vAlign w:val="center"/>
          </w:tcPr>
          <w:p w14:paraId="1F2CB808" w14:textId="5F0CEA45" w:rsidR="00E17A15" w:rsidRPr="00A341D9" w:rsidRDefault="00E17A15" w:rsidP="002E375A">
            <w:pPr>
              <w:jc w:val="center"/>
              <w:rPr>
                <w:sz w:val="20"/>
                <w:szCs w:val="20"/>
                <w:lang w:val="en-US"/>
              </w:rPr>
            </w:pPr>
            <w:r w:rsidRPr="00A341D9">
              <w:rPr>
                <w:sz w:val="20"/>
                <w:szCs w:val="20"/>
                <w:lang w:val="en-US"/>
              </w:rPr>
              <w:t>$107,377.00</w:t>
            </w:r>
          </w:p>
        </w:tc>
        <w:tc>
          <w:tcPr>
            <w:tcW w:w="1548" w:type="dxa"/>
            <w:tcBorders>
              <w:bottom w:val="nil"/>
            </w:tcBorders>
            <w:shd w:val="clear" w:color="auto" w:fill="EEF1F6"/>
            <w:vAlign w:val="center"/>
          </w:tcPr>
          <w:p w14:paraId="119CE0DA" w14:textId="77777777" w:rsidR="00E17A15" w:rsidRPr="00A341D9" w:rsidRDefault="00E17A15" w:rsidP="002E375A">
            <w:pPr>
              <w:jc w:val="center"/>
              <w:rPr>
                <w:sz w:val="20"/>
                <w:szCs w:val="20"/>
                <w:lang w:val="en-US"/>
              </w:rPr>
            </w:pPr>
            <w:r w:rsidRPr="00A341D9">
              <w:rPr>
                <w:sz w:val="20"/>
                <w:szCs w:val="20"/>
                <w:lang w:val="en-US"/>
              </w:rPr>
              <w:t>$151,747.00</w:t>
            </w:r>
          </w:p>
        </w:tc>
      </w:tr>
      <w:tr w:rsidR="00E17A15" w:rsidRPr="00E17A15" w14:paraId="6DB6C212" w14:textId="77777777" w:rsidTr="002E375A">
        <w:trPr>
          <w:trHeight w:val="285"/>
        </w:trPr>
        <w:tc>
          <w:tcPr>
            <w:tcW w:w="2835" w:type="dxa"/>
            <w:tcBorders>
              <w:bottom w:val="nil"/>
            </w:tcBorders>
          </w:tcPr>
          <w:p w14:paraId="7E18A785" w14:textId="77777777" w:rsidR="00E17A15" w:rsidRPr="00A341D9" w:rsidRDefault="00E17A15" w:rsidP="00E17A15">
            <w:pPr>
              <w:rPr>
                <w:sz w:val="20"/>
                <w:szCs w:val="20"/>
                <w:lang w:val="en-US"/>
              </w:rPr>
            </w:pPr>
            <w:r w:rsidRPr="00A341D9">
              <w:rPr>
                <w:sz w:val="20"/>
                <w:szCs w:val="20"/>
                <w:lang w:val="en-US"/>
              </w:rPr>
              <w:t>TAFE NSW </w:t>
            </w:r>
          </w:p>
        </w:tc>
        <w:tc>
          <w:tcPr>
            <w:tcW w:w="1547" w:type="dxa"/>
            <w:tcBorders>
              <w:bottom w:val="nil"/>
            </w:tcBorders>
            <w:vAlign w:val="center"/>
          </w:tcPr>
          <w:p w14:paraId="12DFA0CA" w14:textId="77777777" w:rsidR="00E17A15" w:rsidRPr="00A341D9" w:rsidRDefault="00E17A15" w:rsidP="002E375A">
            <w:pPr>
              <w:jc w:val="center"/>
              <w:rPr>
                <w:sz w:val="20"/>
                <w:szCs w:val="20"/>
                <w:lang w:val="en-US"/>
              </w:rPr>
            </w:pPr>
            <w:r w:rsidRPr="00A341D9">
              <w:rPr>
                <w:sz w:val="20"/>
                <w:szCs w:val="20"/>
                <w:lang w:val="en-US"/>
              </w:rPr>
              <w:t>$88,842.00</w:t>
            </w:r>
          </w:p>
        </w:tc>
        <w:tc>
          <w:tcPr>
            <w:tcW w:w="1548" w:type="dxa"/>
            <w:tcBorders>
              <w:bottom w:val="nil"/>
            </w:tcBorders>
            <w:vAlign w:val="center"/>
          </w:tcPr>
          <w:p w14:paraId="28282872" w14:textId="77777777" w:rsidR="00E17A15" w:rsidRPr="00A341D9" w:rsidRDefault="00E17A15" w:rsidP="002E375A">
            <w:pPr>
              <w:jc w:val="center"/>
              <w:rPr>
                <w:sz w:val="20"/>
                <w:szCs w:val="20"/>
                <w:lang w:val="en-US"/>
              </w:rPr>
            </w:pPr>
            <w:r w:rsidRPr="00A341D9">
              <w:rPr>
                <w:sz w:val="20"/>
                <w:szCs w:val="20"/>
                <w:lang w:val="en-US"/>
              </w:rPr>
              <w:t>$105,362.00</w:t>
            </w:r>
          </w:p>
        </w:tc>
        <w:tc>
          <w:tcPr>
            <w:tcW w:w="1548" w:type="dxa"/>
            <w:gridSpan w:val="2"/>
            <w:tcBorders>
              <w:bottom w:val="nil"/>
            </w:tcBorders>
            <w:vAlign w:val="center"/>
          </w:tcPr>
          <w:p w14:paraId="27A466B2" w14:textId="0D8433CF" w:rsidR="00E17A15" w:rsidRPr="00A341D9" w:rsidRDefault="00E17A15" w:rsidP="002E375A">
            <w:pPr>
              <w:jc w:val="center"/>
              <w:rPr>
                <w:sz w:val="20"/>
                <w:szCs w:val="20"/>
                <w:lang w:val="en-US"/>
              </w:rPr>
            </w:pPr>
            <w:r w:rsidRPr="00A341D9">
              <w:rPr>
                <w:sz w:val="20"/>
                <w:szCs w:val="20"/>
                <w:lang w:val="en-US"/>
              </w:rPr>
              <w:t>$137,934.00</w:t>
            </w:r>
          </w:p>
        </w:tc>
        <w:tc>
          <w:tcPr>
            <w:tcW w:w="1548" w:type="dxa"/>
            <w:tcBorders>
              <w:bottom w:val="nil"/>
            </w:tcBorders>
            <w:vAlign w:val="center"/>
          </w:tcPr>
          <w:p w14:paraId="690486DD" w14:textId="77777777" w:rsidR="00E17A15" w:rsidRPr="00A341D9" w:rsidRDefault="00E17A15" w:rsidP="002E375A">
            <w:pPr>
              <w:jc w:val="center"/>
              <w:rPr>
                <w:sz w:val="20"/>
                <w:szCs w:val="20"/>
                <w:lang w:val="en-US"/>
              </w:rPr>
            </w:pPr>
            <w:r w:rsidRPr="00A341D9">
              <w:rPr>
                <w:sz w:val="20"/>
                <w:szCs w:val="20"/>
                <w:lang w:val="en-US"/>
              </w:rPr>
              <w:t>$192,616.00</w:t>
            </w:r>
          </w:p>
        </w:tc>
      </w:tr>
      <w:tr w:rsidR="00E17A15" w:rsidRPr="00E17A15" w14:paraId="74201259" w14:textId="77777777" w:rsidTr="002E375A">
        <w:trPr>
          <w:cnfStyle w:val="000000010000" w:firstRow="0" w:lastRow="0" w:firstColumn="0" w:lastColumn="0" w:oddVBand="0" w:evenVBand="0" w:oddHBand="0" w:evenHBand="1" w:firstRowFirstColumn="0" w:firstRowLastColumn="0" w:lastRowFirstColumn="0" w:lastRowLastColumn="0"/>
          <w:trHeight w:val="285"/>
        </w:trPr>
        <w:tc>
          <w:tcPr>
            <w:tcW w:w="2835" w:type="dxa"/>
            <w:tcBorders>
              <w:bottom w:val="nil"/>
            </w:tcBorders>
            <w:shd w:val="clear" w:color="auto" w:fill="EEF1F6"/>
          </w:tcPr>
          <w:p w14:paraId="17401B10" w14:textId="77777777" w:rsidR="00E17A15" w:rsidRPr="00A341D9" w:rsidRDefault="00E17A15" w:rsidP="00E17A15">
            <w:pPr>
              <w:rPr>
                <w:sz w:val="20"/>
                <w:szCs w:val="20"/>
                <w:lang w:val="en-US"/>
              </w:rPr>
            </w:pPr>
            <w:r w:rsidRPr="00A341D9">
              <w:rPr>
                <w:sz w:val="20"/>
                <w:szCs w:val="20"/>
                <w:lang w:val="en-US"/>
              </w:rPr>
              <w:t>WA TAFEs </w:t>
            </w:r>
          </w:p>
        </w:tc>
        <w:tc>
          <w:tcPr>
            <w:tcW w:w="1547" w:type="dxa"/>
            <w:tcBorders>
              <w:bottom w:val="nil"/>
            </w:tcBorders>
            <w:shd w:val="clear" w:color="auto" w:fill="EEF1F6"/>
            <w:vAlign w:val="center"/>
          </w:tcPr>
          <w:p w14:paraId="115AE54B" w14:textId="77777777" w:rsidR="00E17A15" w:rsidRPr="00A341D9" w:rsidRDefault="00E17A15" w:rsidP="002E375A">
            <w:pPr>
              <w:jc w:val="center"/>
              <w:rPr>
                <w:sz w:val="20"/>
                <w:szCs w:val="20"/>
                <w:lang w:val="en-US"/>
              </w:rPr>
            </w:pPr>
            <w:r w:rsidRPr="00A341D9">
              <w:rPr>
                <w:sz w:val="20"/>
                <w:szCs w:val="20"/>
                <w:lang w:val="en-US"/>
              </w:rPr>
              <w:t>$85,555.00</w:t>
            </w:r>
          </w:p>
        </w:tc>
        <w:tc>
          <w:tcPr>
            <w:tcW w:w="1548" w:type="dxa"/>
            <w:tcBorders>
              <w:bottom w:val="nil"/>
            </w:tcBorders>
            <w:shd w:val="clear" w:color="auto" w:fill="EEF1F6"/>
            <w:vAlign w:val="center"/>
          </w:tcPr>
          <w:p w14:paraId="671B35BA" w14:textId="77777777" w:rsidR="00E17A15" w:rsidRPr="00A341D9" w:rsidRDefault="00E17A15" w:rsidP="002E375A">
            <w:pPr>
              <w:jc w:val="center"/>
              <w:rPr>
                <w:sz w:val="20"/>
                <w:szCs w:val="20"/>
                <w:lang w:val="en-US"/>
              </w:rPr>
            </w:pPr>
            <w:r w:rsidRPr="00A341D9">
              <w:rPr>
                <w:sz w:val="20"/>
                <w:szCs w:val="20"/>
                <w:lang w:val="en-US"/>
              </w:rPr>
              <w:t>$108,501.00</w:t>
            </w:r>
          </w:p>
        </w:tc>
        <w:tc>
          <w:tcPr>
            <w:tcW w:w="1548" w:type="dxa"/>
            <w:gridSpan w:val="2"/>
            <w:tcBorders>
              <w:bottom w:val="nil"/>
            </w:tcBorders>
            <w:shd w:val="clear" w:color="auto" w:fill="EEF1F6"/>
            <w:vAlign w:val="center"/>
          </w:tcPr>
          <w:p w14:paraId="19E9055A" w14:textId="23C43E67" w:rsidR="00E17A15" w:rsidRPr="00A341D9" w:rsidRDefault="00E17A15" w:rsidP="002E375A">
            <w:pPr>
              <w:jc w:val="center"/>
              <w:rPr>
                <w:sz w:val="20"/>
                <w:szCs w:val="20"/>
                <w:lang w:val="en-US"/>
              </w:rPr>
            </w:pPr>
            <w:r w:rsidRPr="00A341D9">
              <w:rPr>
                <w:sz w:val="20"/>
                <w:szCs w:val="20"/>
                <w:lang w:val="en-US"/>
              </w:rPr>
              <w:t>$115,307.00</w:t>
            </w:r>
          </w:p>
        </w:tc>
        <w:tc>
          <w:tcPr>
            <w:tcW w:w="1548" w:type="dxa"/>
            <w:tcBorders>
              <w:bottom w:val="nil"/>
            </w:tcBorders>
            <w:shd w:val="clear" w:color="auto" w:fill="EEF1F6"/>
            <w:vAlign w:val="center"/>
          </w:tcPr>
          <w:p w14:paraId="1B7F0CF0" w14:textId="77777777" w:rsidR="00E17A15" w:rsidRPr="00A341D9" w:rsidRDefault="00E17A15" w:rsidP="002E375A">
            <w:pPr>
              <w:jc w:val="center"/>
              <w:rPr>
                <w:sz w:val="20"/>
                <w:szCs w:val="20"/>
                <w:lang w:val="en-US"/>
              </w:rPr>
            </w:pPr>
            <w:r w:rsidRPr="00A341D9">
              <w:rPr>
                <w:sz w:val="20"/>
                <w:szCs w:val="20"/>
                <w:lang w:val="en-US"/>
              </w:rPr>
              <w:t>$126,810.00</w:t>
            </w:r>
          </w:p>
        </w:tc>
      </w:tr>
      <w:tr w:rsidR="00E17A15" w:rsidRPr="00E17A15" w14:paraId="049695AF" w14:textId="77777777" w:rsidTr="002E375A">
        <w:trPr>
          <w:trHeight w:val="285"/>
        </w:trPr>
        <w:tc>
          <w:tcPr>
            <w:tcW w:w="2835" w:type="dxa"/>
            <w:tcBorders>
              <w:bottom w:val="nil"/>
            </w:tcBorders>
          </w:tcPr>
          <w:p w14:paraId="0D6CE542" w14:textId="77777777" w:rsidR="00E17A15" w:rsidRPr="00A341D9" w:rsidRDefault="00E17A15" w:rsidP="00E17A15">
            <w:pPr>
              <w:rPr>
                <w:sz w:val="20"/>
                <w:szCs w:val="20"/>
                <w:lang w:val="en-US"/>
              </w:rPr>
            </w:pPr>
            <w:r w:rsidRPr="00A341D9">
              <w:rPr>
                <w:sz w:val="20"/>
                <w:szCs w:val="20"/>
                <w:lang w:val="en-US"/>
              </w:rPr>
              <w:t>Canberra Institute of Technology (CIT) – ACT</w:t>
            </w:r>
          </w:p>
        </w:tc>
        <w:tc>
          <w:tcPr>
            <w:tcW w:w="1547" w:type="dxa"/>
            <w:tcBorders>
              <w:bottom w:val="nil"/>
            </w:tcBorders>
            <w:vAlign w:val="center"/>
          </w:tcPr>
          <w:p w14:paraId="25A3D172" w14:textId="77777777" w:rsidR="00E17A15" w:rsidRPr="00A341D9" w:rsidRDefault="00E17A15" w:rsidP="002E375A">
            <w:pPr>
              <w:jc w:val="center"/>
              <w:rPr>
                <w:sz w:val="20"/>
                <w:szCs w:val="20"/>
                <w:lang w:val="en-US"/>
              </w:rPr>
            </w:pPr>
            <w:r w:rsidRPr="00A341D9">
              <w:rPr>
                <w:sz w:val="20"/>
                <w:szCs w:val="20"/>
                <w:lang w:val="en-US"/>
              </w:rPr>
              <w:t>$84,997.00</w:t>
            </w:r>
          </w:p>
        </w:tc>
        <w:tc>
          <w:tcPr>
            <w:tcW w:w="1548" w:type="dxa"/>
            <w:tcBorders>
              <w:bottom w:val="nil"/>
            </w:tcBorders>
            <w:vAlign w:val="center"/>
          </w:tcPr>
          <w:p w14:paraId="18A6CC4C" w14:textId="77777777" w:rsidR="00E17A15" w:rsidRPr="00A341D9" w:rsidRDefault="00E17A15" w:rsidP="002E375A">
            <w:pPr>
              <w:jc w:val="center"/>
              <w:rPr>
                <w:sz w:val="20"/>
                <w:szCs w:val="20"/>
                <w:lang w:val="en-US"/>
              </w:rPr>
            </w:pPr>
            <w:r w:rsidRPr="00A341D9">
              <w:rPr>
                <w:sz w:val="20"/>
                <w:szCs w:val="20"/>
                <w:lang w:val="en-US"/>
              </w:rPr>
              <w:t>$114,113.00</w:t>
            </w:r>
          </w:p>
        </w:tc>
        <w:tc>
          <w:tcPr>
            <w:tcW w:w="1548" w:type="dxa"/>
            <w:gridSpan w:val="2"/>
            <w:tcBorders>
              <w:bottom w:val="nil"/>
            </w:tcBorders>
            <w:vAlign w:val="center"/>
          </w:tcPr>
          <w:p w14:paraId="51F836D5" w14:textId="3A9AC3B8" w:rsidR="00E17A15" w:rsidRPr="00A341D9" w:rsidRDefault="00E17A15" w:rsidP="002E375A">
            <w:pPr>
              <w:jc w:val="center"/>
              <w:rPr>
                <w:sz w:val="20"/>
                <w:szCs w:val="20"/>
                <w:lang w:val="en-US"/>
              </w:rPr>
            </w:pPr>
            <w:r w:rsidRPr="00A341D9">
              <w:rPr>
                <w:sz w:val="20"/>
                <w:szCs w:val="20"/>
                <w:lang w:val="en-US"/>
              </w:rPr>
              <w:t>$133,267.00</w:t>
            </w:r>
          </w:p>
        </w:tc>
        <w:tc>
          <w:tcPr>
            <w:tcW w:w="1548" w:type="dxa"/>
            <w:tcBorders>
              <w:bottom w:val="nil"/>
            </w:tcBorders>
            <w:vAlign w:val="center"/>
          </w:tcPr>
          <w:p w14:paraId="3A5C5E33" w14:textId="77777777" w:rsidR="00E17A15" w:rsidRPr="00A341D9" w:rsidRDefault="00E17A15" w:rsidP="002E375A">
            <w:pPr>
              <w:jc w:val="center"/>
              <w:rPr>
                <w:sz w:val="20"/>
                <w:szCs w:val="20"/>
                <w:lang w:val="en-US"/>
              </w:rPr>
            </w:pPr>
            <w:r w:rsidRPr="00A341D9">
              <w:rPr>
                <w:sz w:val="20"/>
                <w:szCs w:val="20"/>
                <w:lang w:val="en-US"/>
              </w:rPr>
              <w:t>$194,774.00</w:t>
            </w:r>
          </w:p>
        </w:tc>
      </w:tr>
      <w:tr w:rsidR="00E17A15" w:rsidRPr="00E17A15" w14:paraId="150B371A" w14:textId="77777777" w:rsidTr="002E375A">
        <w:trPr>
          <w:cnfStyle w:val="000000010000" w:firstRow="0" w:lastRow="0" w:firstColumn="0" w:lastColumn="0" w:oddVBand="0" w:evenVBand="0" w:oddHBand="0" w:evenHBand="1" w:firstRowFirstColumn="0" w:firstRowLastColumn="0" w:lastRowFirstColumn="0" w:lastRowLastColumn="0"/>
          <w:trHeight w:val="285"/>
        </w:trPr>
        <w:tc>
          <w:tcPr>
            <w:tcW w:w="2835" w:type="dxa"/>
            <w:tcBorders>
              <w:bottom w:val="nil"/>
            </w:tcBorders>
            <w:shd w:val="clear" w:color="auto" w:fill="EEF1F6"/>
          </w:tcPr>
          <w:p w14:paraId="1FF9152C" w14:textId="77777777" w:rsidR="00E17A15" w:rsidRPr="00A341D9" w:rsidRDefault="00E17A15" w:rsidP="00E17A15">
            <w:pPr>
              <w:rPr>
                <w:sz w:val="20"/>
                <w:szCs w:val="20"/>
                <w:lang w:val="en-US"/>
              </w:rPr>
            </w:pPr>
            <w:r w:rsidRPr="00A341D9">
              <w:rPr>
                <w:sz w:val="20"/>
                <w:szCs w:val="20"/>
                <w:lang w:val="en-US"/>
              </w:rPr>
              <w:t>TAFE QLD </w:t>
            </w:r>
          </w:p>
        </w:tc>
        <w:tc>
          <w:tcPr>
            <w:tcW w:w="1547" w:type="dxa"/>
            <w:tcBorders>
              <w:bottom w:val="nil"/>
            </w:tcBorders>
            <w:shd w:val="clear" w:color="auto" w:fill="EEF1F6"/>
            <w:vAlign w:val="center"/>
          </w:tcPr>
          <w:p w14:paraId="31ADEE1C" w14:textId="77777777" w:rsidR="00E17A15" w:rsidRPr="00A341D9" w:rsidRDefault="00E17A15" w:rsidP="002E375A">
            <w:pPr>
              <w:jc w:val="center"/>
              <w:rPr>
                <w:sz w:val="20"/>
                <w:szCs w:val="20"/>
                <w:lang w:val="en-US"/>
              </w:rPr>
            </w:pPr>
            <w:r w:rsidRPr="00A341D9">
              <w:rPr>
                <w:sz w:val="20"/>
                <w:szCs w:val="20"/>
                <w:lang w:val="en-US"/>
              </w:rPr>
              <w:t>$85,084.00</w:t>
            </w:r>
          </w:p>
        </w:tc>
        <w:tc>
          <w:tcPr>
            <w:tcW w:w="1548" w:type="dxa"/>
            <w:tcBorders>
              <w:bottom w:val="nil"/>
            </w:tcBorders>
            <w:shd w:val="clear" w:color="auto" w:fill="EEF1F6"/>
            <w:vAlign w:val="center"/>
          </w:tcPr>
          <w:p w14:paraId="789479B1" w14:textId="77777777" w:rsidR="00E17A15" w:rsidRPr="00A341D9" w:rsidRDefault="00E17A15" w:rsidP="002E375A">
            <w:pPr>
              <w:jc w:val="center"/>
              <w:rPr>
                <w:sz w:val="20"/>
                <w:szCs w:val="20"/>
                <w:lang w:val="en-US"/>
              </w:rPr>
            </w:pPr>
            <w:r w:rsidRPr="00A341D9">
              <w:rPr>
                <w:sz w:val="20"/>
                <w:szCs w:val="20"/>
                <w:lang w:val="en-US"/>
              </w:rPr>
              <w:t>$106,158.00</w:t>
            </w:r>
          </w:p>
        </w:tc>
        <w:tc>
          <w:tcPr>
            <w:tcW w:w="1548" w:type="dxa"/>
            <w:gridSpan w:val="2"/>
            <w:tcBorders>
              <w:bottom w:val="nil"/>
            </w:tcBorders>
            <w:shd w:val="clear" w:color="auto" w:fill="EEF1F6"/>
            <w:vAlign w:val="center"/>
          </w:tcPr>
          <w:p w14:paraId="730D6D1D" w14:textId="5E533C90" w:rsidR="00E17A15" w:rsidRPr="00A341D9" w:rsidRDefault="00E17A15" w:rsidP="002E375A">
            <w:pPr>
              <w:jc w:val="center"/>
              <w:rPr>
                <w:sz w:val="20"/>
                <w:szCs w:val="20"/>
                <w:lang w:val="en-US"/>
              </w:rPr>
            </w:pPr>
            <w:r w:rsidRPr="00A341D9">
              <w:rPr>
                <w:sz w:val="20"/>
                <w:szCs w:val="20"/>
                <w:lang w:val="en-US"/>
              </w:rPr>
              <w:t>$108,918.00</w:t>
            </w:r>
          </w:p>
        </w:tc>
        <w:tc>
          <w:tcPr>
            <w:tcW w:w="1548" w:type="dxa"/>
            <w:tcBorders>
              <w:bottom w:val="nil"/>
            </w:tcBorders>
            <w:shd w:val="clear" w:color="auto" w:fill="EEF1F6"/>
            <w:vAlign w:val="center"/>
          </w:tcPr>
          <w:p w14:paraId="651FEE70" w14:textId="77777777" w:rsidR="00E17A15" w:rsidRPr="00A341D9" w:rsidRDefault="00E17A15" w:rsidP="002E375A">
            <w:pPr>
              <w:jc w:val="center"/>
              <w:rPr>
                <w:sz w:val="20"/>
                <w:szCs w:val="20"/>
                <w:lang w:val="en-US"/>
              </w:rPr>
            </w:pPr>
            <w:r w:rsidRPr="00A341D9">
              <w:rPr>
                <w:sz w:val="20"/>
                <w:szCs w:val="20"/>
                <w:lang w:val="en-US"/>
              </w:rPr>
              <w:t>$122,001.00</w:t>
            </w:r>
          </w:p>
        </w:tc>
      </w:tr>
      <w:tr w:rsidR="00E17A15" w:rsidRPr="00E17A15" w14:paraId="390B5C73" w14:textId="77777777" w:rsidTr="002E375A">
        <w:trPr>
          <w:trHeight w:val="285"/>
        </w:trPr>
        <w:tc>
          <w:tcPr>
            <w:tcW w:w="2835" w:type="dxa"/>
            <w:tcBorders>
              <w:bottom w:val="nil"/>
            </w:tcBorders>
          </w:tcPr>
          <w:p w14:paraId="6A4D8FF3" w14:textId="77777777" w:rsidR="00E17A15" w:rsidRPr="00A341D9" w:rsidRDefault="00E17A15" w:rsidP="00E17A15">
            <w:pPr>
              <w:rPr>
                <w:sz w:val="20"/>
                <w:szCs w:val="20"/>
                <w:lang w:val="en-US"/>
              </w:rPr>
            </w:pPr>
            <w:r w:rsidRPr="00A341D9">
              <w:rPr>
                <w:sz w:val="20"/>
                <w:szCs w:val="20"/>
                <w:lang w:val="en-US"/>
              </w:rPr>
              <w:t>Victorian TAFEs </w:t>
            </w:r>
          </w:p>
        </w:tc>
        <w:tc>
          <w:tcPr>
            <w:tcW w:w="1547" w:type="dxa"/>
            <w:tcBorders>
              <w:bottom w:val="nil"/>
            </w:tcBorders>
            <w:vAlign w:val="center"/>
          </w:tcPr>
          <w:p w14:paraId="3C983D43" w14:textId="77777777" w:rsidR="00E17A15" w:rsidRPr="00A341D9" w:rsidRDefault="00E17A15" w:rsidP="002E375A">
            <w:pPr>
              <w:jc w:val="center"/>
              <w:rPr>
                <w:sz w:val="20"/>
                <w:szCs w:val="20"/>
                <w:lang w:val="en-US"/>
              </w:rPr>
            </w:pPr>
            <w:r w:rsidRPr="00A341D9">
              <w:rPr>
                <w:sz w:val="20"/>
                <w:szCs w:val="20"/>
                <w:lang w:val="en-US"/>
              </w:rPr>
              <w:t>$77,024.00</w:t>
            </w:r>
          </w:p>
        </w:tc>
        <w:tc>
          <w:tcPr>
            <w:tcW w:w="1548" w:type="dxa"/>
            <w:tcBorders>
              <w:bottom w:val="nil"/>
            </w:tcBorders>
            <w:vAlign w:val="center"/>
          </w:tcPr>
          <w:p w14:paraId="377300F7" w14:textId="77777777" w:rsidR="00E17A15" w:rsidRPr="00A341D9" w:rsidRDefault="00E17A15" w:rsidP="002E375A">
            <w:pPr>
              <w:jc w:val="center"/>
              <w:rPr>
                <w:sz w:val="20"/>
                <w:szCs w:val="20"/>
                <w:lang w:val="en-US"/>
              </w:rPr>
            </w:pPr>
            <w:r w:rsidRPr="00A341D9">
              <w:rPr>
                <w:sz w:val="20"/>
                <w:szCs w:val="20"/>
                <w:lang w:val="en-US"/>
              </w:rPr>
              <w:t>$109,207.00</w:t>
            </w:r>
          </w:p>
        </w:tc>
        <w:tc>
          <w:tcPr>
            <w:tcW w:w="1548" w:type="dxa"/>
            <w:gridSpan w:val="2"/>
            <w:tcBorders>
              <w:bottom w:val="nil"/>
            </w:tcBorders>
            <w:vAlign w:val="center"/>
          </w:tcPr>
          <w:p w14:paraId="51F8E476" w14:textId="3A474E88" w:rsidR="00E17A15" w:rsidRPr="00A341D9" w:rsidRDefault="00E17A15" w:rsidP="002E375A">
            <w:pPr>
              <w:jc w:val="center"/>
              <w:rPr>
                <w:sz w:val="20"/>
                <w:szCs w:val="20"/>
                <w:lang w:val="en-US"/>
              </w:rPr>
            </w:pPr>
            <w:r w:rsidRPr="00A341D9">
              <w:rPr>
                <w:sz w:val="20"/>
                <w:szCs w:val="20"/>
                <w:lang w:val="en-US"/>
              </w:rPr>
              <w:t>$109,204.00</w:t>
            </w:r>
          </w:p>
        </w:tc>
        <w:tc>
          <w:tcPr>
            <w:tcW w:w="1548" w:type="dxa"/>
            <w:tcBorders>
              <w:bottom w:val="nil"/>
            </w:tcBorders>
            <w:vAlign w:val="center"/>
          </w:tcPr>
          <w:p w14:paraId="54616FD0" w14:textId="77777777" w:rsidR="00E17A15" w:rsidRPr="00A341D9" w:rsidRDefault="00E17A15" w:rsidP="002E375A">
            <w:pPr>
              <w:jc w:val="center"/>
              <w:rPr>
                <w:sz w:val="20"/>
                <w:szCs w:val="20"/>
                <w:lang w:val="en-US"/>
              </w:rPr>
            </w:pPr>
            <w:r w:rsidRPr="00A341D9">
              <w:rPr>
                <w:sz w:val="20"/>
                <w:szCs w:val="20"/>
                <w:lang w:val="en-US"/>
              </w:rPr>
              <w:t>$119,302.00</w:t>
            </w:r>
          </w:p>
        </w:tc>
      </w:tr>
      <w:tr w:rsidR="00E17A15" w:rsidRPr="00E17A15" w14:paraId="6DA5E2A4" w14:textId="77777777" w:rsidTr="002E375A">
        <w:trPr>
          <w:cnfStyle w:val="000000010000" w:firstRow="0" w:lastRow="0" w:firstColumn="0" w:lastColumn="0" w:oddVBand="0" w:evenVBand="0" w:oddHBand="0" w:evenHBand="1" w:firstRowFirstColumn="0" w:firstRowLastColumn="0" w:lastRowFirstColumn="0" w:lastRowLastColumn="0"/>
          <w:trHeight w:val="285"/>
        </w:trPr>
        <w:tc>
          <w:tcPr>
            <w:tcW w:w="2835" w:type="dxa"/>
            <w:tcBorders>
              <w:bottom w:val="nil"/>
            </w:tcBorders>
            <w:shd w:val="clear" w:color="auto" w:fill="EEF1F6"/>
          </w:tcPr>
          <w:p w14:paraId="03E6721C" w14:textId="77777777" w:rsidR="00E17A15" w:rsidRPr="00A341D9" w:rsidRDefault="00E17A15" w:rsidP="00E17A15">
            <w:pPr>
              <w:rPr>
                <w:sz w:val="20"/>
                <w:szCs w:val="20"/>
                <w:lang w:val="en-US"/>
              </w:rPr>
            </w:pPr>
            <w:r w:rsidRPr="00A341D9">
              <w:rPr>
                <w:sz w:val="20"/>
                <w:szCs w:val="20"/>
                <w:lang w:val="en-US"/>
              </w:rPr>
              <w:t>Charles Darwin University (CDU) – NT </w:t>
            </w:r>
          </w:p>
        </w:tc>
        <w:tc>
          <w:tcPr>
            <w:tcW w:w="1547" w:type="dxa"/>
            <w:tcBorders>
              <w:bottom w:val="nil"/>
            </w:tcBorders>
            <w:shd w:val="clear" w:color="auto" w:fill="EEF1F6"/>
            <w:vAlign w:val="center"/>
          </w:tcPr>
          <w:p w14:paraId="3AB456D7" w14:textId="77777777" w:rsidR="00E17A15" w:rsidRPr="00A341D9" w:rsidRDefault="00E17A15" w:rsidP="002E375A">
            <w:pPr>
              <w:jc w:val="center"/>
              <w:rPr>
                <w:sz w:val="20"/>
                <w:szCs w:val="20"/>
                <w:lang w:val="en-US"/>
              </w:rPr>
            </w:pPr>
            <w:r w:rsidRPr="00A341D9">
              <w:rPr>
                <w:sz w:val="20"/>
                <w:szCs w:val="20"/>
                <w:lang w:val="en-US"/>
              </w:rPr>
              <w:t>$72,702.00</w:t>
            </w:r>
          </w:p>
        </w:tc>
        <w:tc>
          <w:tcPr>
            <w:tcW w:w="1548" w:type="dxa"/>
            <w:tcBorders>
              <w:bottom w:val="nil"/>
            </w:tcBorders>
            <w:shd w:val="clear" w:color="auto" w:fill="EEF1F6"/>
            <w:vAlign w:val="center"/>
          </w:tcPr>
          <w:p w14:paraId="33745890" w14:textId="77777777" w:rsidR="00E17A15" w:rsidRPr="00A341D9" w:rsidRDefault="00E17A15" w:rsidP="002E375A">
            <w:pPr>
              <w:jc w:val="center"/>
              <w:rPr>
                <w:sz w:val="20"/>
                <w:szCs w:val="20"/>
                <w:lang w:val="en-US"/>
              </w:rPr>
            </w:pPr>
            <w:r w:rsidRPr="00A341D9">
              <w:rPr>
                <w:sz w:val="20"/>
                <w:szCs w:val="20"/>
                <w:lang w:val="en-US"/>
              </w:rPr>
              <w:t>$109,071.00</w:t>
            </w:r>
          </w:p>
        </w:tc>
        <w:tc>
          <w:tcPr>
            <w:tcW w:w="1548" w:type="dxa"/>
            <w:gridSpan w:val="2"/>
            <w:tcBorders>
              <w:bottom w:val="nil"/>
            </w:tcBorders>
            <w:shd w:val="clear" w:color="auto" w:fill="EEF1F6"/>
            <w:vAlign w:val="center"/>
          </w:tcPr>
          <w:p w14:paraId="117659B7" w14:textId="5C9C98A9" w:rsidR="00E17A15" w:rsidRPr="00A341D9" w:rsidRDefault="00E17A15" w:rsidP="002E375A">
            <w:pPr>
              <w:jc w:val="center"/>
              <w:rPr>
                <w:sz w:val="20"/>
                <w:szCs w:val="20"/>
                <w:lang w:val="en-US"/>
              </w:rPr>
            </w:pPr>
            <w:r w:rsidRPr="00A341D9">
              <w:rPr>
                <w:sz w:val="20"/>
                <w:szCs w:val="20"/>
                <w:lang w:val="en-US"/>
              </w:rPr>
              <w:t>$110,500.00</w:t>
            </w:r>
          </w:p>
        </w:tc>
        <w:tc>
          <w:tcPr>
            <w:tcW w:w="1548" w:type="dxa"/>
            <w:tcBorders>
              <w:bottom w:val="nil"/>
            </w:tcBorders>
            <w:shd w:val="clear" w:color="auto" w:fill="EEF1F6"/>
            <w:vAlign w:val="center"/>
          </w:tcPr>
          <w:p w14:paraId="045C8D50" w14:textId="77777777" w:rsidR="00E17A15" w:rsidRPr="00A341D9" w:rsidRDefault="00E17A15" w:rsidP="002E375A">
            <w:pPr>
              <w:jc w:val="center"/>
              <w:rPr>
                <w:sz w:val="20"/>
                <w:szCs w:val="20"/>
                <w:lang w:val="en-US"/>
              </w:rPr>
            </w:pPr>
            <w:r w:rsidRPr="00A341D9">
              <w:rPr>
                <w:sz w:val="20"/>
                <w:szCs w:val="20"/>
                <w:lang w:val="en-US"/>
              </w:rPr>
              <w:t>$130,649.00</w:t>
            </w:r>
          </w:p>
        </w:tc>
      </w:tr>
      <w:tr w:rsidR="00E17A15" w:rsidRPr="00E17A15" w14:paraId="4D459740" w14:textId="77777777" w:rsidTr="002E375A">
        <w:trPr>
          <w:trHeight w:val="285"/>
        </w:trPr>
        <w:tc>
          <w:tcPr>
            <w:tcW w:w="2835" w:type="dxa"/>
          </w:tcPr>
          <w:p w14:paraId="0FF4B0B5" w14:textId="77777777" w:rsidR="00E17A15" w:rsidRPr="00A341D9" w:rsidRDefault="00E17A15" w:rsidP="00E17A15">
            <w:pPr>
              <w:rPr>
                <w:sz w:val="20"/>
                <w:szCs w:val="20"/>
                <w:lang w:val="en-US"/>
              </w:rPr>
            </w:pPr>
            <w:r w:rsidRPr="00A341D9">
              <w:rPr>
                <w:sz w:val="20"/>
                <w:szCs w:val="20"/>
                <w:lang w:val="en-US"/>
              </w:rPr>
              <w:t>TasTAFE</w:t>
            </w:r>
          </w:p>
        </w:tc>
        <w:tc>
          <w:tcPr>
            <w:tcW w:w="1547" w:type="dxa"/>
            <w:vAlign w:val="center"/>
          </w:tcPr>
          <w:p w14:paraId="392BBE6F" w14:textId="77777777" w:rsidR="00E17A15" w:rsidRPr="00A341D9" w:rsidRDefault="00E17A15" w:rsidP="002E375A">
            <w:pPr>
              <w:jc w:val="center"/>
              <w:rPr>
                <w:sz w:val="20"/>
                <w:szCs w:val="20"/>
                <w:lang w:val="en-US"/>
              </w:rPr>
            </w:pPr>
            <w:r w:rsidRPr="00A341D9">
              <w:rPr>
                <w:sz w:val="20"/>
                <w:szCs w:val="20"/>
                <w:lang w:val="en-US"/>
              </w:rPr>
              <w:t>$73,595.00</w:t>
            </w:r>
          </w:p>
        </w:tc>
        <w:tc>
          <w:tcPr>
            <w:tcW w:w="1548" w:type="dxa"/>
            <w:vAlign w:val="center"/>
          </w:tcPr>
          <w:p w14:paraId="5E358861" w14:textId="77777777" w:rsidR="00E17A15" w:rsidRPr="00A341D9" w:rsidRDefault="00E17A15" w:rsidP="002E375A">
            <w:pPr>
              <w:jc w:val="center"/>
              <w:rPr>
                <w:sz w:val="20"/>
                <w:szCs w:val="20"/>
                <w:lang w:val="en-US"/>
              </w:rPr>
            </w:pPr>
            <w:r w:rsidRPr="00A341D9">
              <w:rPr>
                <w:sz w:val="20"/>
                <w:szCs w:val="20"/>
                <w:lang w:val="en-US"/>
              </w:rPr>
              <w:t>$106,536.00</w:t>
            </w:r>
          </w:p>
        </w:tc>
        <w:tc>
          <w:tcPr>
            <w:tcW w:w="1548" w:type="dxa"/>
            <w:gridSpan w:val="2"/>
            <w:vAlign w:val="center"/>
          </w:tcPr>
          <w:p w14:paraId="46BDEC32" w14:textId="7E9982C0" w:rsidR="00E17A15" w:rsidRPr="00A341D9" w:rsidRDefault="00E17A15" w:rsidP="002E375A">
            <w:pPr>
              <w:jc w:val="center"/>
              <w:rPr>
                <w:sz w:val="20"/>
                <w:szCs w:val="20"/>
                <w:lang w:val="en-US"/>
              </w:rPr>
            </w:pPr>
            <w:r w:rsidRPr="00A341D9">
              <w:rPr>
                <w:sz w:val="20"/>
                <w:szCs w:val="20"/>
                <w:lang w:val="en-US"/>
              </w:rPr>
              <w:t>$108,260.00</w:t>
            </w:r>
          </w:p>
        </w:tc>
        <w:tc>
          <w:tcPr>
            <w:tcW w:w="1548" w:type="dxa"/>
            <w:vAlign w:val="center"/>
          </w:tcPr>
          <w:p w14:paraId="7F1B16C6" w14:textId="77777777" w:rsidR="00E17A15" w:rsidRPr="00A341D9" w:rsidRDefault="00E17A15" w:rsidP="002E375A">
            <w:pPr>
              <w:jc w:val="center"/>
              <w:rPr>
                <w:sz w:val="20"/>
                <w:szCs w:val="20"/>
                <w:lang w:val="en-US"/>
              </w:rPr>
            </w:pPr>
            <w:r w:rsidRPr="00A341D9">
              <w:rPr>
                <w:sz w:val="20"/>
                <w:szCs w:val="20"/>
                <w:lang w:val="en-US"/>
              </w:rPr>
              <w:t>$163,747.00</w:t>
            </w:r>
          </w:p>
        </w:tc>
      </w:tr>
      <w:tr w:rsidR="00E17A15" w:rsidRPr="00E17A15" w14:paraId="2BF05DFC" w14:textId="77777777" w:rsidTr="00E30778">
        <w:trPr>
          <w:cnfStyle w:val="000000010000" w:firstRow="0" w:lastRow="0" w:firstColumn="0" w:lastColumn="0" w:oddVBand="0" w:evenVBand="0" w:oddHBand="0" w:evenHBand="1" w:firstRowFirstColumn="0" w:firstRowLastColumn="0" w:lastRowFirstColumn="0" w:lastRowLastColumn="0"/>
          <w:trHeight w:val="285"/>
        </w:trPr>
        <w:tc>
          <w:tcPr>
            <w:tcW w:w="2835" w:type="dxa"/>
            <w:tcBorders>
              <w:bottom w:val="nil"/>
            </w:tcBorders>
            <w:shd w:val="clear" w:color="auto" w:fill="EEF1F6"/>
          </w:tcPr>
          <w:p w14:paraId="01C84CB1" w14:textId="77777777" w:rsidR="00E17A15" w:rsidRPr="00A341D9" w:rsidRDefault="00E17A15" w:rsidP="00E17A15">
            <w:pPr>
              <w:rPr>
                <w:sz w:val="20"/>
                <w:szCs w:val="20"/>
                <w:lang w:val="en-US"/>
              </w:rPr>
            </w:pPr>
            <w:r w:rsidRPr="00A341D9">
              <w:rPr>
                <w:sz w:val="20"/>
                <w:szCs w:val="20"/>
                <w:lang w:val="en-US"/>
              </w:rPr>
              <w:t xml:space="preserve">Post-secondary Education Award 2020 </w:t>
            </w:r>
            <w:r w:rsidRPr="00A341D9">
              <w:rPr>
                <w:sz w:val="20"/>
                <w:szCs w:val="20"/>
                <w:vertAlign w:val="superscript"/>
                <w:lang w:val="en-US"/>
              </w:rPr>
              <w:t>b</w:t>
            </w:r>
          </w:p>
        </w:tc>
        <w:tc>
          <w:tcPr>
            <w:tcW w:w="1547" w:type="dxa"/>
            <w:tcBorders>
              <w:bottom w:val="nil"/>
            </w:tcBorders>
            <w:shd w:val="clear" w:color="auto" w:fill="EEF1F6"/>
            <w:vAlign w:val="center"/>
          </w:tcPr>
          <w:p w14:paraId="7C32DEFD" w14:textId="77777777" w:rsidR="00E17A15" w:rsidRPr="00A341D9" w:rsidRDefault="00E17A15" w:rsidP="002E375A">
            <w:pPr>
              <w:jc w:val="center"/>
              <w:rPr>
                <w:b/>
                <w:sz w:val="20"/>
                <w:szCs w:val="20"/>
                <w:lang w:val="en-US"/>
              </w:rPr>
            </w:pPr>
            <w:r w:rsidRPr="00A341D9">
              <w:rPr>
                <w:b/>
                <w:sz w:val="20"/>
                <w:szCs w:val="20"/>
                <w:lang w:val="en-US"/>
              </w:rPr>
              <w:t>$58,363.48</w:t>
            </w:r>
          </w:p>
        </w:tc>
        <w:tc>
          <w:tcPr>
            <w:tcW w:w="1548" w:type="dxa"/>
            <w:tcBorders>
              <w:bottom w:val="nil"/>
            </w:tcBorders>
            <w:shd w:val="clear" w:color="auto" w:fill="EEF1F6"/>
            <w:vAlign w:val="center"/>
          </w:tcPr>
          <w:p w14:paraId="46A1950F" w14:textId="77777777" w:rsidR="00E17A15" w:rsidRPr="00A341D9" w:rsidRDefault="00E17A15" w:rsidP="002E375A">
            <w:pPr>
              <w:jc w:val="center"/>
              <w:rPr>
                <w:b/>
                <w:sz w:val="20"/>
                <w:szCs w:val="20"/>
                <w:lang w:val="en-US"/>
              </w:rPr>
            </w:pPr>
            <w:r w:rsidRPr="00A341D9">
              <w:rPr>
                <w:b/>
                <w:sz w:val="20"/>
                <w:szCs w:val="20"/>
                <w:lang w:val="en-US"/>
              </w:rPr>
              <w:t>$76,391.80</w:t>
            </w:r>
          </w:p>
        </w:tc>
        <w:tc>
          <w:tcPr>
            <w:tcW w:w="1548" w:type="dxa"/>
            <w:gridSpan w:val="2"/>
            <w:tcBorders>
              <w:bottom w:val="nil"/>
            </w:tcBorders>
            <w:shd w:val="clear" w:color="auto" w:fill="EEF1F6"/>
            <w:vAlign w:val="center"/>
          </w:tcPr>
          <w:p w14:paraId="3FE048AD" w14:textId="77777777" w:rsidR="00E17A15" w:rsidRPr="00A341D9" w:rsidRDefault="00E17A15" w:rsidP="002E375A">
            <w:pPr>
              <w:jc w:val="center"/>
              <w:rPr>
                <w:sz w:val="20"/>
                <w:szCs w:val="20"/>
                <w:lang w:val="en-US"/>
              </w:rPr>
            </w:pPr>
          </w:p>
        </w:tc>
        <w:tc>
          <w:tcPr>
            <w:tcW w:w="1548" w:type="dxa"/>
            <w:tcBorders>
              <w:bottom w:val="nil"/>
            </w:tcBorders>
            <w:shd w:val="clear" w:color="auto" w:fill="EEF1F6"/>
            <w:vAlign w:val="center"/>
          </w:tcPr>
          <w:p w14:paraId="1A50E1BA" w14:textId="77777777" w:rsidR="00E17A15" w:rsidRPr="00A341D9" w:rsidRDefault="00E17A15" w:rsidP="002E375A">
            <w:pPr>
              <w:jc w:val="center"/>
              <w:rPr>
                <w:sz w:val="20"/>
                <w:szCs w:val="20"/>
                <w:lang w:val="en-US"/>
              </w:rPr>
            </w:pPr>
          </w:p>
        </w:tc>
      </w:tr>
      <w:tr w:rsidR="00AA0EA2" w:rsidRPr="00E17A15" w14:paraId="14137CB7" w14:textId="77777777" w:rsidTr="00E30778">
        <w:trPr>
          <w:trHeight w:val="285"/>
        </w:trPr>
        <w:tc>
          <w:tcPr>
            <w:tcW w:w="2835" w:type="dxa"/>
            <w:tcBorders>
              <w:bottom w:val="single" w:sz="8" w:space="0" w:color="012749"/>
            </w:tcBorders>
          </w:tcPr>
          <w:p w14:paraId="3F5255FA" w14:textId="77777777" w:rsidR="00AA0EA2" w:rsidRPr="00A341D9" w:rsidRDefault="00AA0EA2" w:rsidP="00E17A15">
            <w:pPr>
              <w:rPr>
                <w:sz w:val="20"/>
                <w:szCs w:val="20"/>
                <w:lang w:val="en-US"/>
              </w:rPr>
            </w:pPr>
            <w:r w:rsidRPr="00A341D9">
              <w:rPr>
                <w:sz w:val="20"/>
                <w:szCs w:val="20"/>
                <w:lang w:val="en-US"/>
              </w:rPr>
              <w:t>VET Teacher (ANZSCO) average</w:t>
            </w:r>
            <w:r w:rsidRPr="00A341D9">
              <w:rPr>
                <w:sz w:val="20"/>
                <w:szCs w:val="20"/>
                <w:vertAlign w:val="superscript"/>
                <w:lang w:val="en-US"/>
              </w:rPr>
              <w:t xml:space="preserve"> c</w:t>
            </w:r>
          </w:p>
        </w:tc>
        <w:tc>
          <w:tcPr>
            <w:tcW w:w="1547" w:type="dxa"/>
            <w:tcBorders>
              <w:bottom w:val="single" w:sz="8" w:space="0" w:color="012749"/>
            </w:tcBorders>
            <w:vAlign w:val="center"/>
          </w:tcPr>
          <w:p w14:paraId="61D6A712" w14:textId="77777777" w:rsidR="00AA0EA2" w:rsidRPr="00A341D9" w:rsidRDefault="00AA0EA2" w:rsidP="008328F3">
            <w:pPr>
              <w:ind w:left="171"/>
              <w:rPr>
                <w:sz w:val="20"/>
                <w:szCs w:val="20"/>
                <w:lang w:val="en-US"/>
              </w:rPr>
            </w:pPr>
            <w:r w:rsidRPr="00A341D9">
              <w:rPr>
                <w:sz w:val="20"/>
                <w:szCs w:val="20"/>
                <w:lang w:val="en-US"/>
              </w:rPr>
              <w:t>$79,589.00</w:t>
            </w:r>
          </w:p>
        </w:tc>
        <w:tc>
          <w:tcPr>
            <w:tcW w:w="1548" w:type="dxa"/>
            <w:tcBorders>
              <w:bottom w:val="single" w:sz="8" w:space="0" w:color="012749"/>
            </w:tcBorders>
            <w:vAlign w:val="center"/>
          </w:tcPr>
          <w:p w14:paraId="02D43941" w14:textId="77777777" w:rsidR="00AA0EA2" w:rsidRPr="00A341D9" w:rsidRDefault="00AA0EA2" w:rsidP="008328F3">
            <w:pPr>
              <w:ind w:left="171"/>
              <w:rPr>
                <w:sz w:val="20"/>
                <w:szCs w:val="20"/>
                <w:lang w:val="en-US"/>
              </w:rPr>
            </w:pPr>
          </w:p>
        </w:tc>
        <w:tc>
          <w:tcPr>
            <w:tcW w:w="1548" w:type="dxa"/>
            <w:gridSpan w:val="2"/>
            <w:tcBorders>
              <w:bottom w:val="single" w:sz="8" w:space="0" w:color="012749"/>
            </w:tcBorders>
            <w:vAlign w:val="center"/>
          </w:tcPr>
          <w:p w14:paraId="5FBE718C" w14:textId="5F1C758E" w:rsidR="00AA0EA2" w:rsidRPr="00A341D9" w:rsidRDefault="00AA0EA2" w:rsidP="008328F3">
            <w:pPr>
              <w:ind w:left="171"/>
              <w:rPr>
                <w:sz w:val="20"/>
                <w:szCs w:val="20"/>
                <w:lang w:val="en-US"/>
              </w:rPr>
            </w:pPr>
          </w:p>
        </w:tc>
        <w:tc>
          <w:tcPr>
            <w:tcW w:w="1548" w:type="dxa"/>
            <w:tcBorders>
              <w:bottom w:val="single" w:sz="8" w:space="0" w:color="012749"/>
            </w:tcBorders>
            <w:vAlign w:val="center"/>
          </w:tcPr>
          <w:p w14:paraId="2816F721" w14:textId="77777777" w:rsidR="00AA0EA2" w:rsidRPr="00A341D9" w:rsidRDefault="00AA0EA2" w:rsidP="002E375A">
            <w:pPr>
              <w:jc w:val="center"/>
              <w:rPr>
                <w:sz w:val="20"/>
                <w:szCs w:val="20"/>
                <w:lang w:val="en-US"/>
              </w:rPr>
            </w:pPr>
          </w:p>
        </w:tc>
      </w:tr>
    </w:tbl>
    <w:p w14:paraId="4AA43625" w14:textId="77777777" w:rsidR="00E17A15" w:rsidRPr="00E17A15" w:rsidRDefault="00E17A15" w:rsidP="00E17A15">
      <w:pPr>
        <w:spacing w:before="120" w:after="120" w:line="264" w:lineRule="auto"/>
        <w:rPr>
          <w:rFonts w:asciiTheme="minorHAnsi" w:hAnsiTheme="minorHAnsi" w:cstheme="minorHAnsi"/>
          <w:color w:val="auto"/>
          <w:sz w:val="18"/>
          <w:szCs w:val="18"/>
        </w:rPr>
      </w:pPr>
      <w:r w:rsidRPr="00E17A15">
        <w:rPr>
          <w:rFonts w:asciiTheme="minorHAnsi" w:hAnsiTheme="minorHAnsi" w:cstheme="minorHAnsi"/>
          <w:color w:val="auto"/>
          <w:sz w:val="18"/>
          <w:szCs w:val="18"/>
        </w:rPr>
        <w:t xml:space="preserve">Source: Institution Enterprise Agreements, Fair Work Commission </w:t>
      </w:r>
    </w:p>
    <w:p w14:paraId="18BE1617" w14:textId="77777777" w:rsidR="00E17A15" w:rsidRPr="00E17A15" w:rsidRDefault="00E17A15" w:rsidP="00E17A15">
      <w:pPr>
        <w:spacing w:before="120" w:after="120" w:line="264" w:lineRule="auto"/>
        <w:rPr>
          <w:rFonts w:asciiTheme="minorHAnsi" w:hAnsiTheme="minorHAnsi" w:cstheme="minorHAnsi"/>
          <w:color w:val="auto"/>
          <w:sz w:val="18"/>
          <w:szCs w:val="18"/>
        </w:rPr>
      </w:pPr>
      <w:r w:rsidRPr="00E17A15">
        <w:rPr>
          <w:rFonts w:asciiTheme="minorHAnsi" w:hAnsiTheme="minorHAnsi" w:cstheme="minorHAnsi"/>
          <w:color w:val="auto"/>
          <w:sz w:val="18"/>
          <w:szCs w:val="18"/>
        </w:rPr>
        <w:t xml:space="preserve">(a) Salary Rates at entry level and highest rate, drawn from Enterprise Agreements. Note TAFE entry rate includes Certificate IV. In some institutions, a lower rate is available for those commencing without a Certificate IV. </w:t>
      </w:r>
    </w:p>
    <w:p w14:paraId="4F62325E" w14:textId="77777777" w:rsidR="00E17A15" w:rsidRPr="00E17A15" w:rsidRDefault="00E17A15" w:rsidP="00E17A15">
      <w:pPr>
        <w:spacing w:before="120" w:after="120" w:line="264" w:lineRule="auto"/>
        <w:rPr>
          <w:rFonts w:asciiTheme="minorHAnsi" w:hAnsiTheme="minorHAnsi" w:cstheme="minorHAnsi"/>
          <w:color w:val="auto"/>
          <w:sz w:val="18"/>
          <w:szCs w:val="18"/>
        </w:rPr>
      </w:pPr>
      <w:r w:rsidRPr="00E17A15">
        <w:rPr>
          <w:rFonts w:asciiTheme="minorHAnsi" w:hAnsiTheme="minorHAnsi" w:cstheme="minorHAnsi"/>
          <w:color w:val="auto"/>
          <w:sz w:val="18"/>
          <w:szCs w:val="18"/>
        </w:rPr>
        <w:t xml:space="preserve">(b) Post-secondary education award figures are Level 1 and 12 in the Educational Services (Post-secondary Education) Award 2020, Schedule A and Clause 16.1(a), and Schedule B and Clause 16.1(c). </w:t>
      </w:r>
    </w:p>
    <w:p w14:paraId="05331AF7" w14:textId="77777777" w:rsidR="00E17A15" w:rsidRPr="00E17A15" w:rsidRDefault="00E17A15" w:rsidP="00E17A15">
      <w:pPr>
        <w:spacing w:before="120" w:after="120" w:line="264" w:lineRule="auto"/>
        <w:rPr>
          <w:rFonts w:asciiTheme="minorHAnsi" w:hAnsiTheme="minorHAnsi" w:cstheme="minorHAnsi"/>
          <w:color w:val="auto"/>
          <w:sz w:val="18"/>
          <w:szCs w:val="18"/>
        </w:rPr>
      </w:pPr>
      <w:r w:rsidRPr="00E17A15">
        <w:rPr>
          <w:rFonts w:asciiTheme="minorHAnsi" w:hAnsiTheme="minorHAnsi" w:cstheme="minorHAnsi"/>
          <w:color w:val="auto"/>
          <w:sz w:val="18"/>
          <w:szCs w:val="18"/>
        </w:rPr>
        <w:t>(c) ABS (2021) 6-digit level OCCP, INCP [TableBuilder]</w:t>
      </w:r>
    </w:p>
    <w:p w14:paraId="149E2EE7" w14:textId="77777777" w:rsidR="00E17A15" w:rsidRPr="00E17A15" w:rsidRDefault="00E17A15" w:rsidP="00E17A15">
      <w:pPr>
        <w:keepNext/>
        <w:keepLines/>
        <w:spacing w:before="360" w:after="360" w:line="400" w:lineRule="exact"/>
        <w:outlineLvl w:val="1"/>
        <w:rPr>
          <w:rFonts w:eastAsiaTheme="majorEastAsia" w:cstheme="majorBidi"/>
          <w:b/>
          <w:sz w:val="32"/>
          <w:szCs w:val="26"/>
          <w:lang w:val="en-GB"/>
        </w:rPr>
      </w:pPr>
      <w:bookmarkStart w:id="232" w:name="_Toc176771001"/>
      <w:r w:rsidRPr="00E17A15">
        <w:rPr>
          <w:rFonts w:eastAsiaTheme="majorEastAsia" w:cstheme="majorBidi"/>
          <w:b/>
          <w:sz w:val="32"/>
          <w:szCs w:val="26"/>
          <w:lang w:val="en-GB"/>
        </w:rPr>
        <w:lastRenderedPageBreak/>
        <w:t>The Dual Sector VET Workforce</w:t>
      </w:r>
      <w:bookmarkEnd w:id="232"/>
    </w:p>
    <w:p w14:paraId="137A1E1A" w14:textId="5ED2EA4B" w:rsidR="00E17A15" w:rsidRPr="00E17A15" w:rsidRDefault="00E17A15" w:rsidP="00E17A15">
      <w:pPr>
        <w:rPr>
          <w:rFonts w:asciiTheme="minorHAnsi" w:hAnsiTheme="minorHAnsi" w:cstheme="minorHAnsi"/>
          <w:sz w:val="18"/>
          <w:szCs w:val="18"/>
          <w:vertAlign w:val="superscript"/>
        </w:rPr>
      </w:pPr>
      <w:r w:rsidRPr="00E17A15">
        <w:t>Dual sector universities are public institutions operating across the full spectrum of Australian VET and higher education qualifications and are accredited by both ASQA who regulates VET and TEQSA which regulates higher education. There are currently six dual sector universities in Australia:</w:t>
      </w:r>
      <w:r w:rsidR="00DB419C">
        <w:t xml:space="preserve"> </w:t>
      </w:r>
      <w:r w:rsidRPr="00E17A15">
        <w:rPr>
          <w:rFonts w:asciiTheme="minorHAnsi" w:hAnsiTheme="minorHAnsi" w:cstheme="minorHAnsi"/>
          <w:sz w:val="18"/>
          <w:szCs w:val="18"/>
          <w:vertAlign w:val="superscript"/>
        </w:rPr>
        <w:endnoteReference w:id="81"/>
      </w:r>
    </w:p>
    <w:p w14:paraId="4EE1782D" w14:textId="77777777" w:rsidR="00E17A15" w:rsidRPr="00DB419C" w:rsidRDefault="00E17A15" w:rsidP="00DB419C">
      <w:pPr>
        <w:pStyle w:val="ListParagraph"/>
        <w:numPr>
          <w:ilvl w:val="0"/>
          <w:numId w:val="28"/>
        </w:numPr>
        <w:spacing w:after="120" w:line="240" w:lineRule="atLeast"/>
        <w:ind w:left="357" w:hanging="357"/>
        <w:contextualSpacing w:val="0"/>
        <w:rPr>
          <w:rFonts w:eastAsia="SimSun" w:cs="Times New Roman"/>
          <w:spacing w:val="-1"/>
          <w:szCs w:val="20"/>
          <w:lang w:val="en-GB" w:eastAsia="en-GB"/>
        </w:rPr>
      </w:pPr>
      <w:r w:rsidRPr="00DB419C">
        <w:rPr>
          <w:rFonts w:eastAsia="SimSun" w:cs="Times New Roman"/>
          <w:spacing w:val="-1"/>
          <w:szCs w:val="20"/>
          <w:lang w:val="en-GB" w:eastAsia="en-GB"/>
        </w:rPr>
        <w:t xml:space="preserve">Charles Darwin University (CDU) </w:t>
      </w:r>
      <w:r w:rsidRPr="00DB419C">
        <w:rPr>
          <w:rFonts w:eastAsia="SimSun" w:cs="Times New Roman"/>
          <w:i/>
          <w:iCs/>
          <w:spacing w:val="-1"/>
          <w:szCs w:val="20"/>
          <w:lang w:val="en-GB" w:eastAsia="en-GB"/>
        </w:rPr>
        <w:t>Northern Territory</w:t>
      </w:r>
    </w:p>
    <w:p w14:paraId="3ACC410C" w14:textId="77777777" w:rsidR="00E17A15" w:rsidRPr="00DB419C" w:rsidRDefault="00E17A15" w:rsidP="00DB419C">
      <w:pPr>
        <w:pStyle w:val="ListParagraph"/>
        <w:numPr>
          <w:ilvl w:val="0"/>
          <w:numId w:val="28"/>
        </w:numPr>
        <w:spacing w:after="120" w:line="240" w:lineRule="atLeast"/>
        <w:ind w:left="357" w:hanging="357"/>
        <w:contextualSpacing w:val="0"/>
        <w:rPr>
          <w:rFonts w:eastAsia="SimSun" w:cs="Times New Roman"/>
          <w:spacing w:val="-1"/>
          <w:szCs w:val="20"/>
          <w:lang w:val="en-GB" w:eastAsia="en-GB"/>
        </w:rPr>
      </w:pPr>
      <w:r w:rsidRPr="00DB419C">
        <w:rPr>
          <w:rFonts w:eastAsia="SimSun" w:cs="Times New Roman"/>
          <w:spacing w:val="-1"/>
          <w:szCs w:val="20"/>
          <w:lang w:val="en-GB" w:eastAsia="en-GB"/>
        </w:rPr>
        <w:t xml:space="preserve">CQUniversity (CQU) </w:t>
      </w:r>
      <w:r w:rsidRPr="00DB419C">
        <w:rPr>
          <w:rFonts w:eastAsia="SimSun" w:cs="Times New Roman"/>
          <w:i/>
          <w:iCs/>
          <w:spacing w:val="-1"/>
          <w:szCs w:val="20"/>
          <w:lang w:val="en-GB" w:eastAsia="en-GB"/>
        </w:rPr>
        <w:t>Queensland</w:t>
      </w:r>
    </w:p>
    <w:p w14:paraId="48E83603" w14:textId="77777777" w:rsidR="00E17A15" w:rsidRPr="00DB419C" w:rsidRDefault="00E17A15" w:rsidP="00DB419C">
      <w:pPr>
        <w:pStyle w:val="ListParagraph"/>
        <w:numPr>
          <w:ilvl w:val="0"/>
          <w:numId w:val="28"/>
        </w:numPr>
        <w:spacing w:after="120" w:line="240" w:lineRule="atLeast"/>
        <w:ind w:left="357" w:hanging="357"/>
        <w:contextualSpacing w:val="0"/>
        <w:rPr>
          <w:rFonts w:eastAsia="SimSun" w:cs="Times New Roman"/>
          <w:spacing w:val="-1"/>
          <w:szCs w:val="20"/>
          <w:lang w:val="en-GB" w:eastAsia="en-GB"/>
        </w:rPr>
      </w:pPr>
      <w:r w:rsidRPr="00DB419C">
        <w:rPr>
          <w:rFonts w:eastAsia="SimSun" w:cs="Times New Roman"/>
          <w:spacing w:val="-1"/>
          <w:szCs w:val="20"/>
          <w:lang w:val="en-GB" w:eastAsia="en-GB"/>
        </w:rPr>
        <w:t xml:space="preserve">Federation University Australia </w:t>
      </w:r>
      <w:r w:rsidRPr="00DB419C">
        <w:rPr>
          <w:rFonts w:eastAsia="SimSun" w:cs="Times New Roman"/>
          <w:i/>
          <w:iCs/>
          <w:spacing w:val="-1"/>
          <w:szCs w:val="20"/>
          <w:lang w:val="en-GB" w:eastAsia="en-GB"/>
        </w:rPr>
        <w:t>Victoria</w:t>
      </w:r>
    </w:p>
    <w:p w14:paraId="0F6CE3F7" w14:textId="77777777" w:rsidR="00E17A15" w:rsidRPr="00DB419C" w:rsidRDefault="00E17A15" w:rsidP="00DB419C">
      <w:pPr>
        <w:pStyle w:val="ListParagraph"/>
        <w:numPr>
          <w:ilvl w:val="0"/>
          <w:numId w:val="28"/>
        </w:numPr>
        <w:spacing w:after="120" w:line="240" w:lineRule="atLeast"/>
        <w:ind w:left="357" w:hanging="357"/>
        <w:contextualSpacing w:val="0"/>
        <w:rPr>
          <w:rFonts w:eastAsia="SimSun" w:cs="Times New Roman"/>
          <w:spacing w:val="-1"/>
          <w:szCs w:val="20"/>
          <w:lang w:val="en-GB" w:eastAsia="en-GB"/>
        </w:rPr>
      </w:pPr>
      <w:r w:rsidRPr="00DB419C">
        <w:rPr>
          <w:rFonts w:eastAsia="SimSun" w:cs="Times New Roman"/>
          <w:spacing w:val="-1"/>
          <w:szCs w:val="20"/>
          <w:lang w:val="en-GB" w:eastAsia="en-GB"/>
        </w:rPr>
        <w:t xml:space="preserve">RMIT University </w:t>
      </w:r>
      <w:r w:rsidRPr="00DB419C">
        <w:rPr>
          <w:rFonts w:eastAsia="SimSun" w:cs="Times New Roman"/>
          <w:i/>
          <w:iCs/>
          <w:spacing w:val="-1"/>
          <w:szCs w:val="20"/>
          <w:lang w:val="en-GB" w:eastAsia="en-GB"/>
        </w:rPr>
        <w:t>Victoria</w:t>
      </w:r>
    </w:p>
    <w:p w14:paraId="5F722A29" w14:textId="77777777" w:rsidR="00E17A15" w:rsidRPr="00DB419C" w:rsidRDefault="00E17A15" w:rsidP="00DB419C">
      <w:pPr>
        <w:pStyle w:val="ListParagraph"/>
        <w:numPr>
          <w:ilvl w:val="0"/>
          <w:numId w:val="28"/>
        </w:numPr>
        <w:spacing w:after="120" w:line="240" w:lineRule="atLeast"/>
        <w:ind w:left="357" w:hanging="357"/>
        <w:contextualSpacing w:val="0"/>
        <w:rPr>
          <w:rFonts w:eastAsia="SimSun" w:cs="Times New Roman"/>
          <w:spacing w:val="-1"/>
          <w:szCs w:val="20"/>
          <w:lang w:val="en-GB" w:eastAsia="en-GB"/>
        </w:rPr>
      </w:pPr>
      <w:r w:rsidRPr="00DB419C">
        <w:rPr>
          <w:rFonts w:eastAsia="SimSun" w:cs="Times New Roman"/>
          <w:spacing w:val="-1"/>
          <w:szCs w:val="20"/>
          <w:lang w:val="en-GB" w:eastAsia="en-GB"/>
        </w:rPr>
        <w:t xml:space="preserve">Swinburne University of Technology </w:t>
      </w:r>
      <w:r w:rsidRPr="00DB419C">
        <w:rPr>
          <w:rFonts w:eastAsia="SimSun" w:cs="Times New Roman"/>
          <w:i/>
          <w:iCs/>
          <w:spacing w:val="-1"/>
          <w:szCs w:val="20"/>
          <w:lang w:val="en-GB" w:eastAsia="en-GB"/>
        </w:rPr>
        <w:t>Victoria</w:t>
      </w:r>
    </w:p>
    <w:p w14:paraId="39C83FE9" w14:textId="77777777" w:rsidR="00E17A15" w:rsidRPr="00DB419C" w:rsidRDefault="00E17A15" w:rsidP="00DB419C">
      <w:pPr>
        <w:pStyle w:val="ListParagraph"/>
        <w:numPr>
          <w:ilvl w:val="0"/>
          <w:numId w:val="28"/>
        </w:numPr>
        <w:spacing w:line="240" w:lineRule="atLeast"/>
        <w:ind w:left="357" w:hanging="357"/>
        <w:contextualSpacing w:val="0"/>
        <w:rPr>
          <w:rFonts w:eastAsia="SimSun" w:cs="Times New Roman"/>
          <w:spacing w:val="-1"/>
          <w:szCs w:val="20"/>
          <w:lang w:val="en-GB" w:eastAsia="en-GB"/>
        </w:rPr>
      </w:pPr>
      <w:r w:rsidRPr="00DB419C">
        <w:rPr>
          <w:rFonts w:eastAsia="SimSun" w:cs="Times New Roman"/>
          <w:spacing w:val="-1"/>
          <w:szCs w:val="20"/>
          <w:lang w:val="en-GB" w:eastAsia="en-GB"/>
        </w:rPr>
        <w:t xml:space="preserve">Victoria University (VU) </w:t>
      </w:r>
      <w:r w:rsidRPr="00DB419C">
        <w:rPr>
          <w:rFonts w:eastAsia="SimSun" w:cs="Times New Roman"/>
          <w:i/>
          <w:iCs/>
          <w:spacing w:val="-1"/>
          <w:szCs w:val="20"/>
          <w:lang w:val="en-GB" w:eastAsia="en-GB"/>
        </w:rPr>
        <w:t>Victoria</w:t>
      </w:r>
    </w:p>
    <w:p w14:paraId="52489F64" w14:textId="77777777" w:rsidR="00E17A15" w:rsidRPr="00E17A15" w:rsidRDefault="00E17A15" w:rsidP="00E17A15">
      <w:pPr>
        <w:rPr>
          <w:vertAlign w:val="superscript"/>
          <w:lang w:val="en-GB"/>
        </w:rPr>
      </w:pPr>
      <w:r w:rsidRPr="00E17A15">
        <w:rPr>
          <w:lang w:val="en-GB"/>
        </w:rPr>
        <w:t>CDU, CQU, VU and Swinburne provided data for this study (late 2022 to early 2024). Based on this sample of four dual sector universities the dual sector VET workforce sits at almost 2000 workers. This aligns with Department of Education data which shows a total VET workforce of 2608 FTE workers in higher education or 2% of the overall FTE higher education staff in 2021 (861 TAFE and 1,474 independent RTO workers).</w:t>
      </w:r>
    </w:p>
    <w:p w14:paraId="47179FB0" w14:textId="0F9EE8AC" w:rsidR="00E17A15" w:rsidRPr="00E17A15" w:rsidRDefault="00E17A15" w:rsidP="00E17A15">
      <w:pPr>
        <w:rPr>
          <w:rFonts w:eastAsia="Times New Roman"/>
          <w:lang w:eastAsia="en-AU"/>
        </w:rPr>
      </w:pPr>
      <w:r w:rsidRPr="00E17A15">
        <w:rPr>
          <w:lang w:val="en-GB"/>
        </w:rPr>
        <w:t xml:space="preserve">The demographic profile of the dual sector VET workforce reflects the overall TAFE workforce profile – older and slightly more feminised than the VET workforce overall. Over a half of the workforce is over 50 years except at Swinburne where almost two thirds of the workforce is over 50 years.  Limited data on diversity indicators were provided for the study apart from First Nations status where CDU has high participation. See </w:t>
      </w:r>
      <w:hyperlink w:anchor="Table_B_4" w:history="1">
        <w:r w:rsidRPr="005C2F87">
          <w:rPr>
            <w:rStyle w:val="Hyperlink"/>
            <w:lang w:val="en-GB"/>
          </w:rPr>
          <w:t>Table B.4</w:t>
        </w:r>
      </w:hyperlink>
      <w:r w:rsidRPr="00E17A15">
        <w:rPr>
          <w:lang w:val="en-GB"/>
        </w:rPr>
        <w:t xml:space="preserve"> for key demographics. </w:t>
      </w:r>
    </w:p>
    <w:p w14:paraId="7055ED0A" w14:textId="77777777" w:rsidR="00E17A15" w:rsidRPr="00E17A15" w:rsidRDefault="00E17A15" w:rsidP="00E17A15">
      <w:pPr>
        <w:rPr>
          <w:b/>
          <w:sz w:val="20"/>
          <w:lang w:val="en-US"/>
        </w:rPr>
      </w:pPr>
      <w:bookmarkStart w:id="233" w:name="Table_B_4"/>
      <w:r w:rsidRPr="00A7475C">
        <w:rPr>
          <w:b/>
          <w:sz w:val="20"/>
          <w:lang w:val="en-US"/>
        </w:rPr>
        <w:t xml:space="preserve">Table </w:t>
      </w:r>
      <w:r w:rsidRPr="00A7475C">
        <w:rPr>
          <w:b/>
          <w:sz w:val="20"/>
          <w:lang w:val="en-US"/>
        </w:rPr>
        <w:fldChar w:fldCharType="begin"/>
      </w:r>
      <w:r w:rsidRPr="00A7475C">
        <w:rPr>
          <w:b/>
          <w:sz w:val="20"/>
          <w:lang w:val="en-US"/>
        </w:rPr>
        <w:instrText xml:space="preserve"> STYLEREF 1 \s </w:instrText>
      </w:r>
      <w:r w:rsidRPr="00A7475C">
        <w:rPr>
          <w:b/>
          <w:sz w:val="20"/>
          <w:lang w:val="en-US"/>
        </w:rPr>
        <w:fldChar w:fldCharType="separate"/>
      </w:r>
      <w:r w:rsidRPr="00A7475C">
        <w:rPr>
          <w:b/>
          <w:noProof/>
          <w:sz w:val="20"/>
          <w:lang w:val="en-US"/>
        </w:rPr>
        <w:t>B</w:t>
      </w:r>
      <w:r w:rsidRPr="00A7475C">
        <w:rPr>
          <w:b/>
          <w:sz w:val="20"/>
          <w:lang w:val="en-US"/>
        </w:rPr>
        <w:fldChar w:fldCharType="end"/>
      </w:r>
      <w:r w:rsidRPr="00A7475C">
        <w:rPr>
          <w:b/>
          <w:sz w:val="20"/>
          <w:lang w:val="en-US"/>
        </w:rPr>
        <w:t>.</w:t>
      </w:r>
      <w:r w:rsidRPr="00A7475C">
        <w:rPr>
          <w:b/>
          <w:sz w:val="20"/>
          <w:lang w:val="en-US"/>
        </w:rPr>
        <w:fldChar w:fldCharType="begin"/>
      </w:r>
      <w:r w:rsidRPr="00A7475C">
        <w:rPr>
          <w:b/>
          <w:sz w:val="20"/>
          <w:lang w:val="en-US"/>
        </w:rPr>
        <w:instrText xml:space="preserve"> SEQ Table \* ARABIC \s 1 </w:instrText>
      </w:r>
      <w:r w:rsidRPr="00A7475C">
        <w:rPr>
          <w:b/>
          <w:sz w:val="20"/>
          <w:lang w:val="en-US"/>
        </w:rPr>
        <w:fldChar w:fldCharType="separate"/>
      </w:r>
      <w:r w:rsidRPr="00A7475C">
        <w:rPr>
          <w:b/>
          <w:noProof/>
          <w:sz w:val="20"/>
          <w:lang w:val="en-US"/>
        </w:rPr>
        <w:t>4</w:t>
      </w:r>
      <w:r w:rsidRPr="00A7475C">
        <w:rPr>
          <w:b/>
          <w:sz w:val="20"/>
          <w:lang w:val="en-US"/>
        </w:rPr>
        <w:fldChar w:fldCharType="end"/>
      </w:r>
      <w:r w:rsidRPr="00A7475C">
        <w:rPr>
          <w:b/>
          <w:sz w:val="20"/>
          <w:lang w:val="en-US"/>
        </w:rPr>
        <w:t xml:space="preserve"> Key demographics in dual sector universities</w:t>
      </w:r>
    </w:p>
    <w:bookmarkEnd w:id="233"/>
    <w:tbl>
      <w:tblPr>
        <w:tblStyle w:val="JSATable11"/>
        <w:tblW w:w="9214" w:type="dxa"/>
        <w:tblLayout w:type="fixed"/>
        <w:tblLook w:val="04A0" w:firstRow="1" w:lastRow="0" w:firstColumn="1" w:lastColumn="0" w:noHBand="0" w:noVBand="1"/>
      </w:tblPr>
      <w:tblGrid>
        <w:gridCol w:w="2410"/>
        <w:gridCol w:w="1360"/>
        <w:gridCol w:w="1361"/>
        <w:gridCol w:w="1361"/>
        <w:gridCol w:w="1361"/>
        <w:gridCol w:w="1361"/>
      </w:tblGrid>
      <w:tr w:rsidR="00E17A15" w:rsidRPr="00E17A15" w14:paraId="1F6403FB" w14:textId="77777777" w:rsidTr="00DB419C">
        <w:trPr>
          <w:cnfStyle w:val="100000000000" w:firstRow="1" w:lastRow="0" w:firstColumn="0" w:lastColumn="0" w:oddVBand="0" w:evenVBand="0" w:oddHBand="0" w:evenHBand="0" w:firstRowFirstColumn="0" w:firstRowLastColumn="0" w:lastRowFirstColumn="0" w:lastRowLastColumn="0"/>
          <w:trHeight w:val="1020"/>
        </w:trPr>
        <w:tc>
          <w:tcPr>
            <w:tcW w:w="2410" w:type="dxa"/>
            <w:shd w:val="clear" w:color="auto" w:fill="012749"/>
          </w:tcPr>
          <w:p w14:paraId="2B738B20" w14:textId="77777777" w:rsidR="00E17A15" w:rsidRPr="007F0835" w:rsidRDefault="00E17A15" w:rsidP="00DB419C">
            <w:pPr>
              <w:spacing w:before="120"/>
              <w:jc w:val="center"/>
              <w:rPr>
                <w:rFonts w:asciiTheme="minorHAnsi" w:hAnsiTheme="minorHAnsi" w:cstheme="minorHAnsi"/>
                <w:bCs/>
                <w:sz w:val="20"/>
                <w:szCs w:val="20"/>
                <w:lang w:val="en-US"/>
              </w:rPr>
            </w:pPr>
          </w:p>
        </w:tc>
        <w:tc>
          <w:tcPr>
            <w:tcW w:w="1360" w:type="dxa"/>
            <w:shd w:val="clear" w:color="auto" w:fill="012749"/>
          </w:tcPr>
          <w:p w14:paraId="0AAD1316" w14:textId="77777777" w:rsidR="00E17A15" w:rsidRPr="007F0835" w:rsidRDefault="00E17A15" w:rsidP="00DB419C">
            <w:pPr>
              <w:spacing w:before="120"/>
              <w:jc w:val="center"/>
              <w:rPr>
                <w:bCs/>
                <w:color w:val="FFFFFF" w:themeColor="background1"/>
                <w:sz w:val="20"/>
                <w:szCs w:val="20"/>
                <w:lang w:val="en-US"/>
              </w:rPr>
            </w:pPr>
            <w:r w:rsidRPr="007F0835">
              <w:rPr>
                <w:bCs/>
                <w:color w:val="FFFFFF" w:themeColor="background1"/>
                <w:sz w:val="20"/>
                <w:szCs w:val="20"/>
                <w:lang w:val="en-US"/>
              </w:rPr>
              <w:t>Headcount</w:t>
            </w:r>
          </w:p>
        </w:tc>
        <w:tc>
          <w:tcPr>
            <w:tcW w:w="1361" w:type="dxa"/>
            <w:shd w:val="clear" w:color="auto" w:fill="012749"/>
          </w:tcPr>
          <w:p w14:paraId="2CC1D8E8" w14:textId="11E2B2CE" w:rsidR="00E17A15" w:rsidRPr="007F0835" w:rsidRDefault="00E17A15" w:rsidP="00DB419C">
            <w:pPr>
              <w:spacing w:before="120"/>
              <w:jc w:val="center"/>
              <w:rPr>
                <w:bCs/>
                <w:color w:val="FFFFFF" w:themeColor="background1"/>
                <w:sz w:val="20"/>
                <w:szCs w:val="20"/>
                <w:lang w:val="en-US"/>
              </w:rPr>
            </w:pPr>
            <w:r w:rsidRPr="007F0835">
              <w:rPr>
                <w:bCs/>
                <w:color w:val="FFFFFF" w:themeColor="background1"/>
                <w:sz w:val="20"/>
                <w:szCs w:val="20"/>
                <w:lang w:val="en-US"/>
              </w:rPr>
              <w:t>Female</w:t>
            </w:r>
          </w:p>
          <w:p w14:paraId="23AB12AD" w14:textId="77777777" w:rsidR="00E17A15" w:rsidRPr="007F0835" w:rsidRDefault="00E17A15" w:rsidP="00DB419C">
            <w:pPr>
              <w:jc w:val="center"/>
              <w:rPr>
                <w:bCs/>
                <w:color w:val="FFFFFF" w:themeColor="background1"/>
                <w:sz w:val="20"/>
                <w:szCs w:val="20"/>
                <w:lang w:val="en-US"/>
              </w:rPr>
            </w:pPr>
            <w:r w:rsidRPr="007F0835">
              <w:rPr>
                <w:bCs/>
                <w:color w:val="FFFFFF" w:themeColor="background1"/>
                <w:sz w:val="20"/>
                <w:szCs w:val="20"/>
                <w:lang w:val="en-US"/>
              </w:rPr>
              <w:t>Workforce</w:t>
            </w:r>
          </w:p>
        </w:tc>
        <w:tc>
          <w:tcPr>
            <w:tcW w:w="1361" w:type="dxa"/>
            <w:shd w:val="clear" w:color="auto" w:fill="012749"/>
          </w:tcPr>
          <w:p w14:paraId="74F83AE1" w14:textId="40F2465A" w:rsidR="00E17A15" w:rsidRPr="007F0835" w:rsidRDefault="00E17A15" w:rsidP="00DB419C">
            <w:pPr>
              <w:spacing w:before="120"/>
              <w:jc w:val="center"/>
              <w:rPr>
                <w:bCs/>
                <w:color w:val="FFFFFF" w:themeColor="background1"/>
                <w:sz w:val="20"/>
                <w:szCs w:val="20"/>
                <w:lang w:val="en-US"/>
              </w:rPr>
            </w:pPr>
            <w:r w:rsidRPr="007F0835">
              <w:rPr>
                <w:bCs/>
                <w:color w:val="FFFFFF" w:themeColor="background1"/>
                <w:sz w:val="20"/>
                <w:szCs w:val="20"/>
                <w:lang w:val="en-US"/>
              </w:rPr>
              <w:t>First Nations</w:t>
            </w:r>
          </w:p>
        </w:tc>
        <w:tc>
          <w:tcPr>
            <w:tcW w:w="1361" w:type="dxa"/>
            <w:shd w:val="clear" w:color="auto" w:fill="012749"/>
          </w:tcPr>
          <w:p w14:paraId="71F7C73E" w14:textId="2981C968" w:rsidR="00E17A15" w:rsidRPr="007F0835" w:rsidRDefault="00E17A15" w:rsidP="00DB419C">
            <w:pPr>
              <w:spacing w:before="120"/>
              <w:jc w:val="center"/>
              <w:rPr>
                <w:bCs/>
                <w:color w:val="FFFFFF" w:themeColor="background1"/>
                <w:sz w:val="20"/>
                <w:szCs w:val="20"/>
                <w:lang w:val="en-US"/>
              </w:rPr>
            </w:pPr>
            <w:r w:rsidRPr="007F0835">
              <w:rPr>
                <w:bCs/>
                <w:color w:val="FFFFFF" w:themeColor="background1"/>
                <w:sz w:val="20"/>
                <w:szCs w:val="20"/>
                <w:lang w:val="en-US"/>
              </w:rPr>
              <w:t>Disability</w:t>
            </w:r>
          </w:p>
        </w:tc>
        <w:tc>
          <w:tcPr>
            <w:tcW w:w="1361" w:type="dxa"/>
            <w:shd w:val="clear" w:color="auto" w:fill="012749"/>
          </w:tcPr>
          <w:p w14:paraId="49A378F4" w14:textId="69F61B4F" w:rsidR="00E17A15" w:rsidRPr="007F0835" w:rsidRDefault="00E17A15" w:rsidP="00DB419C">
            <w:pPr>
              <w:spacing w:before="120"/>
              <w:jc w:val="center"/>
              <w:rPr>
                <w:bCs/>
                <w:color w:val="FFFFFF" w:themeColor="background1"/>
                <w:sz w:val="20"/>
                <w:szCs w:val="20"/>
                <w:lang w:val="en-US"/>
              </w:rPr>
            </w:pPr>
            <w:r w:rsidRPr="007F0835">
              <w:rPr>
                <w:bCs/>
                <w:color w:val="FFFFFF" w:themeColor="background1"/>
                <w:sz w:val="20"/>
                <w:szCs w:val="20"/>
                <w:lang w:val="en-US"/>
              </w:rPr>
              <w:t xml:space="preserve">% </w:t>
            </w:r>
            <w:r w:rsidR="00E30778">
              <w:rPr>
                <w:bCs/>
                <w:color w:val="FFFFFF" w:themeColor="background1"/>
                <w:sz w:val="20"/>
                <w:szCs w:val="20"/>
                <w:lang w:val="en-US"/>
              </w:rPr>
              <w:br/>
            </w:r>
            <w:r w:rsidRPr="007F0835">
              <w:rPr>
                <w:bCs/>
                <w:color w:val="FFFFFF" w:themeColor="background1"/>
                <w:sz w:val="20"/>
                <w:szCs w:val="20"/>
                <w:lang w:val="en-US"/>
              </w:rPr>
              <w:t>50 years +</w:t>
            </w:r>
          </w:p>
        </w:tc>
      </w:tr>
      <w:tr w:rsidR="00E17A15" w:rsidRPr="00E17A15" w14:paraId="370FEF9C" w14:textId="77777777" w:rsidTr="00DB419C">
        <w:trPr>
          <w:trHeight w:val="737"/>
        </w:trPr>
        <w:tc>
          <w:tcPr>
            <w:tcW w:w="2410" w:type="dxa"/>
            <w:vAlign w:val="center"/>
          </w:tcPr>
          <w:p w14:paraId="5AF977C5" w14:textId="09E8E456" w:rsidR="00E17A15" w:rsidRPr="002E375A" w:rsidRDefault="00E17A15" w:rsidP="00FF1491">
            <w:pPr>
              <w:spacing w:line="259" w:lineRule="auto"/>
              <w:rPr>
                <w:sz w:val="20"/>
                <w:szCs w:val="20"/>
              </w:rPr>
            </w:pPr>
            <w:r w:rsidRPr="002E375A">
              <w:rPr>
                <w:sz w:val="20"/>
                <w:szCs w:val="20"/>
              </w:rPr>
              <w:t>Charles Darwin University (CDU)</w:t>
            </w:r>
          </w:p>
        </w:tc>
        <w:tc>
          <w:tcPr>
            <w:tcW w:w="1360" w:type="dxa"/>
            <w:vAlign w:val="center"/>
          </w:tcPr>
          <w:p w14:paraId="2F749443" w14:textId="468C779B" w:rsidR="00E17A15" w:rsidRPr="002E375A" w:rsidRDefault="00E17A15" w:rsidP="00FF1491">
            <w:pPr>
              <w:spacing w:line="259" w:lineRule="auto"/>
              <w:jc w:val="center"/>
              <w:rPr>
                <w:sz w:val="20"/>
                <w:szCs w:val="20"/>
              </w:rPr>
            </w:pPr>
            <w:r w:rsidRPr="002E375A">
              <w:rPr>
                <w:sz w:val="20"/>
                <w:szCs w:val="20"/>
              </w:rPr>
              <w:t>292</w:t>
            </w:r>
          </w:p>
        </w:tc>
        <w:tc>
          <w:tcPr>
            <w:tcW w:w="1361" w:type="dxa"/>
            <w:vAlign w:val="center"/>
          </w:tcPr>
          <w:p w14:paraId="2668A40F" w14:textId="15D55046" w:rsidR="00E17A15" w:rsidRPr="002E375A" w:rsidRDefault="00E17A15" w:rsidP="00FF1491">
            <w:pPr>
              <w:spacing w:line="259" w:lineRule="auto"/>
              <w:jc w:val="center"/>
              <w:rPr>
                <w:sz w:val="20"/>
                <w:szCs w:val="20"/>
              </w:rPr>
            </w:pPr>
            <w:r w:rsidRPr="002E375A">
              <w:rPr>
                <w:sz w:val="20"/>
                <w:szCs w:val="20"/>
              </w:rPr>
              <w:t>51.0%</w:t>
            </w:r>
          </w:p>
        </w:tc>
        <w:tc>
          <w:tcPr>
            <w:tcW w:w="1361" w:type="dxa"/>
            <w:vAlign w:val="center"/>
          </w:tcPr>
          <w:p w14:paraId="176AA580" w14:textId="3375548A" w:rsidR="00E17A15" w:rsidRPr="002E375A" w:rsidRDefault="00E17A15" w:rsidP="00FF1491">
            <w:pPr>
              <w:spacing w:line="259" w:lineRule="auto"/>
              <w:jc w:val="center"/>
              <w:rPr>
                <w:sz w:val="20"/>
                <w:szCs w:val="20"/>
              </w:rPr>
            </w:pPr>
            <w:r w:rsidRPr="002E375A">
              <w:rPr>
                <w:sz w:val="20"/>
                <w:szCs w:val="20"/>
              </w:rPr>
              <w:t>4.5%</w:t>
            </w:r>
          </w:p>
        </w:tc>
        <w:tc>
          <w:tcPr>
            <w:tcW w:w="1361" w:type="dxa"/>
            <w:vAlign w:val="center"/>
          </w:tcPr>
          <w:p w14:paraId="715BCF00" w14:textId="3738F412" w:rsidR="00E17A15" w:rsidRPr="002E375A" w:rsidRDefault="00E17A15" w:rsidP="00FF1491">
            <w:pPr>
              <w:spacing w:line="259" w:lineRule="auto"/>
              <w:jc w:val="center"/>
              <w:rPr>
                <w:sz w:val="20"/>
                <w:szCs w:val="20"/>
              </w:rPr>
            </w:pPr>
            <w:r w:rsidRPr="002E375A">
              <w:rPr>
                <w:sz w:val="20"/>
                <w:szCs w:val="20"/>
              </w:rPr>
              <w:t>-</w:t>
            </w:r>
          </w:p>
        </w:tc>
        <w:tc>
          <w:tcPr>
            <w:tcW w:w="1361" w:type="dxa"/>
            <w:vAlign w:val="center"/>
          </w:tcPr>
          <w:p w14:paraId="6A213958" w14:textId="1EF82A63" w:rsidR="00E17A15" w:rsidRPr="002E375A" w:rsidRDefault="00E17A15" w:rsidP="00FF1491">
            <w:pPr>
              <w:spacing w:line="259" w:lineRule="auto"/>
              <w:jc w:val="center"/>
              <w:rPr>
                <w:sz w:val="20"/>
                <w:szCs w:val="20"/>
              </w:rPr>
            </w:pPr>
            <w:r w:rsidRPr="002E375A">
              <w:rPr>
                <w:sz w:val="20"/>
                <w:szCs w:val="20"/>
              </w:rPr>
              <w:t>62.7%</w:t>
            </w:r>
          </w:p>
          <w:p w14:paraId="17A1D909" w14:textId="77777777" w:rsidR="00E17A15" w:rsidRPr="002E375A" w:rsidRDefault="00E17A15" w:rsidP="00FF1491">
            <w:pPr>
              <w:spacing w:line="259" w:lineRule="auto"/>
              <w:jc w:val="center"/>
              <w:rPr>
                <w:sz w:val="20"/>
                <w:szCs w:val="20"/>
              </w:rPr>
            </w:pPr>
            <w:r w:rsidRPr="002E375A">
              <w:rPr>
                <w:sz w:val="20"/>
                <w:szCs w:val="20"/>
              </w:rPr>
              <w:t>(46 &amp; over)</w:t>
            </w:r>
          </w:p>
        </w:tc>
      </w:tr>
      <w:tr w:rsidR="00E17A15" w:rsidRPr="00E17A15" w14:paraId="06FD4897" w14:textId="77777777" w:rsidTr="00DB419C">
        <w:trPr>
          <w:cnfStyle w:val="000000010000" w:firstRow="0" w:lastRow="0" w:firstColumn="0" w:lastColumn="0" w:oddVBand="0" w:evenVBand="0" w:oddHBand="0" w:evenHBand="1" w:firstRowFirstColumn="0" w:firstRowLastColumn="0" w:lastRowFirstColumn="0" w:lastRowLastColumn="0"/>
          <w:trHeight w:val="737"/>
        </w:trPr>
        <w:tc>
          <w:tcPr>
            <w:tcW w:w="2410" w:type="dxa"/>
            <w:shd w:val="clear" w:color="auto" w:fill="EEF1F6"/>
            <w:vAlign w:val="center"/>
          </w:tcPr>
          <w:p w14:paraId="7967F621" w14:textId="317ED542" w:rsidR="00E17A15" w:rsidRPr="002E375A" w:rsidRDefault="00E17A15" w:rsidP="00FF1491">
            <w:pPr>
              <w:spacing w:line="259" w:lineRule="auto"/>
              <w:rPr>
                <w:sz w:val="20"/>
                <w:szCs w:val="20"/>
              </w:rPr>
            </w:pPr>
            <w:r w:rsidRPr="002E375A">
              <w:rPr>
                <w:sz w:val="20"/>
                <w:szCs w:val="20"/>
              </w:rPr>
              <w:t>Central Queensland University (CQU)</w:t>
            </w:r>
          </w:p>
        </w:tc>
        <w:tc>
          <w:tcPr>
            <w:tcW w:w="1360" w:type="dxa"/>
            <w:shd w:val="clear" w:color="auto" w:fill="EEF1F6"/>
            <w:vAlign w:val="center"/>
          </w:tcPr>
          <w:p w14:paraId="245A549D" w14:textId="69C80EC7" w:rsidR="00E17A15" w:rsidRPr="002E375A" w:rsidRDefault="00E17A15" w:rsidP="00FF1491">
            <w:pPr>
              <w:spacing w:line="259" w:lineRule="auto"/>
              <w:jc w:val="center"/>
              <w:rPr>
                <w:sz w:val="20"/>
                <w:szCs w:val="20"/>
              </w:rPr>
            </w:pPr>
            <w:r w:rsidRPr="002E375A">
              <w:rPr>
                <w:sz w:val="20"/>
                <w:szCs w:val="20"/>
              </w:rPr>
              <w:t>392</w:t>
            </w:r>
          </w:p>
        </w:tc>
        <w:tc>
          <w:tcPr>
            <w:tcW w:w="1361" w:type="dxa"/>
            <w:shd w:val="clear" w:color="auto" w:fill="EEF1F6"/>
            <w:vAlign w:val="center"/>
          </w:tcPr>
          <w:p w14:paraId="386CD1FE" w14:textId="3AEBE546" w:rsidR="00E17A15" w:rsidRPr="002E375A" w:rsidRDefault="00E17A15" w:rsidP="00FF1491">
            <w:pPr>
              <w:spacing w:line="259" w:lineRule="auto"/>
              <w:jc w:val="center"/>
              <w:rPr>
                <w:sz w:val="20"/>
                <w:szCs w:val="20"/>
              </w:rPr>
            </w:pPr>
            <w:r w:rsidRPr="002E375A">
              <w:rPr>
                <w:sz w:val="20"/>
                <w:szCs w:val="20"/>
              </w:rPr>
              <w:t>62.5%</w:t>
            </w:r>
          </w:p>
        </w:tc>
        <w:tc>
          <w:tcPr>
            <w:tcW w:w="1361" w:type="dxa"/>
            <w:shd w:val="clear" w:color="auto" w:fill="EEF1F6"/>
            <w:vAlign w:val="center"/>
          </w:tcPr>
          <w:p w14:paraId="41C0D7A3" w14:textId="06C78760" w:rsidR="00E17A15" w:rsidRPr="002E375A" w:rsidRDefault="00E17A15" w:rsidP="00FF1491">
            <w:pPr>
              <w:spacing w:line="259" w:lineRule="auto"/>
              <w:jc w:val="center"/>
              <w:rPr>
                <w:sz w:val="20"/>
                <w:szCs w:val="20"/>
              </w:rPr>
            </w:pPr>
            <w:r w:rsidRPr="002E375A">
              <w:rPr>
                <w:sz w:val="20"/>
                <w:szCs w:val="20"/>
              </w:rPr>
              <w:t>2.8%</w:t>
            </w:r>
          </w:p>
        </w:tc>
        <w:tc>
          <w:tcPr>
            <w:tcW w:w="1361" w:type="dxa"/>
            <w:shd w:val="clear" w:color="auto" w:fill="EEF1F6"/>
            <w:vAlign w:val="center"/>
          </w:tcPr>
          <w:p w14:paraId="1E1D644E" w14:textId="2FA1124B" w:rsidR="00E17A15" w:rsidRPr="002E375A" w:rsidRDefault="00E17A15" w:rsidP="00FF1491">
            <w:pPr>
              <w:spacing w:line="259" w:lineRule="auto"/>
              <w:jc w:val="center"/>
              <w:rPr>
                <w:sz w:val="20"/>
                <w:szCs w:val="20"/>
              </w:rPr>
            </w:pPr>
            <w:r w:rsidRPr="002E375A">
              <w:rPr>
                <w:sz w:val="20"/>
                <w:szCs w:val="20"/>
              </w:rPr>
              <w:t>3.3%</w:t>
            </w:r>
          </w:p>
        </w:tc>
        <w:tc>
          <w:tcPr>
            <w:tcW w:w="1361" w:type="dxa"/>
            <w:shd w:val="clear" w:color="auto" w:fill="EEF1F6"/>
            <w:vAlign w:val="center"/>
          </w:tcPr>
          <w:p w14:paraId="689DC0E0" w14:textId="77777777" w:rsidR="00E17A15" w:rsidRPr="002E375A" w:rsidRDefault="00E17A15" w:rsidP="00FF1491">
            <w:pPr>
              <w:spacing w:line="259" w:lineRule="auto"/>
              <w:jc w:val="center"/>
              <w:rPr>
                <w:sz w:val="20"/>
                <w:szCs w:val="20"/>
              </w:rPr>
            </w:pPr>
            <w:r w:rsidRPr="002E375A">
              <w:rPr>
                <w:sz w:val="20"/>
                <w:szCs w:val="20"/>
              </w:rPr>
              <w:t>48.2%</w:t>
            </w:r>
          </w:p>
        </w:tc>
      </w:tr>
      <w:tr w:rsidR="00E17A15" w:rsidRPr="00E17A15" w14:paraId="24AA0659" w14:textId="77777777" w:rsidTr="00DB419C">
        <w:trPr>
          <w:trHeight w:val="737"/>
        </w:trPr>
        <w:tc>
          <w:tcPr>
            <w:tcW w:w="2410" w:type="dxa"/>
            <w:tcBorders>
              <w:bottom w:val="nil"/>
            </w:tcBorders>
            <w:vAlign w:val="center"/>
          </w:tcPr>
          <w:p w14:paraId="3DD67BF5" w14:textId="77777777" w:rsidR="00E17A15" w:rsidRPr="002E375A" w:rsidRDefault="00E17A15" w:rsidP="00FF1491">
            <w:pPr>
              <w:spacing w:line="259" w:lineRule="auto"/>
              <w:rPr>
                <w:sz w:val="20"/>
                <w:szCs w:val="20"/>
              </w:rPr>
            </w:pPr>
            <w:r w:rsidRPr="002E375A">
              <w:rPr>
                <w:sz w:val="20"/>
                <w:szCs w:val="20"/>
              </w:rPr>
              <w:t>Victoria University (VU)</w:t>
            </w:r>
          </w:p>
        </w:tc>
        <w:tc>
          <w:tcPr>
            <w:tcW w:w="1360" w:type="dxa"/>
            <w:tcBorders>
              <w:bottom w:val="nil"/>
            </w:tcBorders>
            <w:vAlign w:val="center"/>
          </w:tcPr>
          <w:p w14:paraId="685E3B32" w14:textId="5147855C" w:rsidR="00E17A15" w:rsidRPr="002E375A" w:rsidRDefault="00E17A15" w:rsidP="00FF1491">
            <w:pPr>
              <w:spacing w:line="259" w:lineRule="auto"/>
              <w:jc w:val="center"/>
              <w:rPr>
                <w:sz w:val="20"/>
                <w:szCs w:val="20"/>
              </w:rPr>
            </w:pPr>
            <w:r w:rsidRPr="002E375A">
              <w:rPr>
                <w:sz w:val="20"/>
                <w:szCs w:val="20"/>
              </w:rPr>
              <w:t>658</w:t>
            </w:r>
          </w:p>
        </w:tc>
        <w:tc>
          <w:tcPr>
            <w:tcW w:w="1361" w:type="dxa"/>
            <w:tcBorders>
              <w:bottom w:val="nil"/>
            </w:tcBorders>
            <w:vAlign w:val="center"/>
          </w:tcPr>
          <w:p w14:paraId="0211DB2A" w14:textId="3FD40A84" w:rsidR="00E17A15" w:rsidRPr="002E375A" w:rsidRDefault="00E17A15" w:rsidP="00FF1491">
            <w:pPr>
              <w:spacing w:line="259" w:lineRule="auto"/>
              <w:jc w:val="center"/>
              <w:rPr>
                <w:sz w:val="20"/>
                <w:szCs w:val="20"/>
              </w:rPr>
            </w:pPr>
            <w:r w:rsidRPr="002E375A">
              <w:rPr>
                <w:sz w:val="20"/>
                <w:szCs w:val="20"/>
              </w:rPr>
              <w:t>63.0%</w:t>
            </w:r>
          </w:p>
        </w:tc>
        <w:tc>
          <w:tcPr>
            <w:tcW w:w="1361" w:type="dxa"/>
            <w:tcBorders>
              <w:bottom w:val="nil"/>
            </w:tcBorders>
            <w:vAlign w:val="center"/>
          </w:tcPr>
          <w:p w14:paraId="02118040" w14:textId="44A4399A" w:rsidR="00E17A15" w:rsidRPr="002E375A" w:rsidRDefault="00E17A15" w:rsidP="00FF1491">
            <w:pPr>
              <w:spacing w:line="259" w:lineRule="auto"/>
              <w:jc w:val="center"/>
              <w:rPr>
                <w:sz w:val="20"/>
                <w:szCs w:val="20"/>
              </w:rPr>
            </w:pPr>
            <w:r w:rsidRPr="002E375A">
              <w:rPr>
                <w:sz w:val="20"/>
                <w:szCs w:val="20"/>
              </w:rPr>
              <w:t>0.3%</w:t>
            </w:r>
          </w:p>
        </w:tc>
        <w:tc>
          <w:tcPr>
            <w:tcW w:w="1361" w:type="dxa"/>
            <w:tcBorders>
              <w:bottom w:val="nil"/>
            </w:tcBorders>
            <w:vAlign w:val="center"/>
          </w:tcPr>
          <w:p w14:paraId="7471CE3F" w14:textId="6B42A601" w:rsidR="00E17A15" w:rsidRPr="002E375A" w:rsidRDefault="00E17A15" w:rsidP="00FF1491">
            <w:pPr>
              <w:spacing w:line="259" w:lineRule="auto"/>
              <w:jc w:val="center"/>
              <w:rPr>
                <w:sz w:val="20"/>
                <w:szCs w:val="20"/>
              </w:rPr>
            </w:pPr>
            <w:r w:rsidRPr="002E375A">
              <w:rPr>
                <w:sz w:val="20"/>
                <w:szCs w:val="20"/>
              </w:rPr>
              <w:t>-</w:t>
            </w:r>
          </w:p>
        </w:tc>
        <w:tc>
          <w:tcPr>
            <w:tcW w:w="1361" w:type="dxa"/>
            <w:tcBorders>
              <w:bottom w:val="nil"/>
            </w:tcBorders>
            <w:vAlign w:val="center"/>
          </w:tcPr>
          <w:p w14:paraId="4D024429" w14:textId="76E76521" w:rsidR="00E17A15" w:rsidRPr="002E375A" w:rsidRDefault="00E17A15" w:rsidP="00FF1491">
            <w:pPr>
              <w:spacing w:line="259" w:lineRule="auto"/>
              <w:jc w:val="center"/>
              <w:rPr>
                <w:sz w:val="20"/>
                <w:szCs w:val="20"/>
              </w:rPr>
            </w:pPr>
            <w:r w:rsidRPr="002E375A">
              <w:rPr>
                <w:sz w:val="20"/>
                <w:szCs w:val="20"/>
              </w:rPr>
              <w:t>55.2%</w:t>
            </w:r>
          </w:p>
          <w:p w14:paraId="6AFDC636" w14:textId="77777777" w:rsidR="00E17A15" w:rsidRPr="002E375A" w:rsidRDefault="00E17A15" w:rsidP="00FF1491">
            <w:pPr>
              <w:spacing w:line="259" w:lineRule="auto"/>
              <w:jc w:val="center"/>
              <w:rPr>
                <w:sz w:val="20"/>
                <w:szCs w:val="20"/>
              </w:rPr>
            </w:pPr>
            <w:r w:rsidRPr="002E375A">
              <w:rPr>
                <w:sz w:val="20"/>
                <w:szCs w:val="20"/>
              </w:rPr>
              <w:t>(48 &amp; over)</w:t>
            </w:r>
          </w:p>
        </w:tc>
      </w:tr>
      <w:tr w:rsidR="00E17A15" w:rsidRPr="00E17A15" w14:paraId="62489059" w14:textId="77777777" w:rsidTr="00DB419C">
        <w:trPr>
          <w:cnfStyle w:val="000000010000" w:firstRow="0" w:lastRow="0" w:firstColumn="0" w:lastColumn="0" w:oddVBand="0" w:evenVBand="0" w:oddHBand="0" w:evenHBand="1" w:firstRowFirstColumn="0" w:firstRowLastColumn="0" w:lastRowFirstColumn="0" w:lastRowLastColumn="0"/>
          <w:trHeight w:val="737"/>
        </w:trPr>
        <w:tc>
          <w:tcPr>
            <w:tcW w:w="2410" w:type="dxa"/>
            <w:tcBorders>
              <w:bottom w:val="single" w:sz="8" w:space="0" w:color="012749"/>
            </w:tcBorders>
            <w:shd w:val="clear" w:color="auto" w:fill="EEF1F6"/>
            <w:vAlign w:val="center"/>
          </w:tcPr>
          <w:p w14:paraId="29C23A35" w14:textId="261F8B11" w:rsidR="00E17A15" w:rsidRPr="002E375A" w:rsidRDefault="00E17A15" w:rsidP="00FF1491">
            <w:pPr>
              <w:spacing w:line="259" w:lineRule="auto"/>
              <w:rPr>
                <w:sz w:val="20"/>
                <w:szCs w:val="20"/>
              </w:rPr>
            </w:pPr>
            <w:r w:rsidRPr="002E375A">
              <w:rPr>
                <w:sz w:val="20"/>
                <w:szCs w:val="20"/>
              </w:rPr>
              <w:t>Swinburne University of Technology</w:t>
            </w:r>
          </w:p>
        </w:tc>
        <w:tc>
          <w:tcPr>
            <w:tcW w:w="1360" w:type="dxa"/>
            <w:tcBorders>
              <w:bottom w:val="single" w:sz="8" w:space="0" w:color="012749"/>
            </w:tcBorders>
            <w:shd w:val="clear" w:color="auto" w:fill="EEF1F6"/>
            <w:vAlign w:val="center"/>
          </w:tcPr>
          <w:p w14:paraId="1B3FCDBC" w14:textId="2326CA31" w:rsidR="00E17A15" w:rsidRPr="002E375A" w:rsidRDefault="00E17A15" w:rsidP="00FF1491">
            <w:pPr>
              <w:spacing w:line="259" w:lineRule="auto"/>
              <w:jc w:val="center"/>
              <w:rPr>
                <w:sz w:val="20"/>
                <w:szCs w:val="20"/>
              </w:rPr>
            </w:pPr>
            <w:r w:rsidRPr="002E375A">
              <w:rPr>
                <w:sz w:val="20"/>
                <w:szCs w:val="20"/>
              </w:rPr>
              <w:t>628</w:t>
            </w:r>
          </w:p>
        </w:tc>
        <w:tc>
          <w:tcPr>
            <w:tcW w:w="1361" w:type="dxa"/>
            <w:tcBorders>
              <w:bottom w:val="single" w:sz="8" w:space="0" w:color="012749"/>
            </w:tcBorders>
            <w:shd w:val="clear" w:color="auto" w:fill="EEF1F6"/>
            <w:vAlign w:val="center"/>
          </w:tcPr>
          <w:p w14:paraId="79C46DE6" w14:textId="22278A6D" w:rsidR="00E17A15" w:rsidRPr="002E375A" w:rsidRDefault="00E17A15" w:rsidP="00FF1491">
            <w:pPr>
              <w:spacing w:line="259" w:lineRule="auto"/>
              <w:jc w:val="center"/>
              <w:rPr>
                <w:sz w:val="20"/>
                <w:szCs w:val="20"/>
              </w:rPr>
            </w:pPr>
            <w:r w:rsidRPr="002E375A">
              <w:rPr>
                <w:sz w:val="20"/>
                <w:szCs w:val="20"/>
              </w:rPr>
              <w:t>58.0%</w:t>
            </w:r>
          </w:p>
        </w:tc>
        <w:tc>
          <w:tcPr>
            <w:tcW w:w="1361" w:type="dxa"/>
            <w:tcBorders>
              <w:bottom w:val="single" w:sz="8" w:space="0" w:color="012749"/>
            </w:tcBorders>
            <w:shd w:val="clear" w:color="auto" w:fill="EEF1F6"/>
            <w:vAlign w:val="center"/>
          </w:tcPr>
          <w:p w14:paraId="7FB91121" w14:textId="61F63C28" w:rsidR="00E17A15" w:rsidRPr="002E375A" w:rsidRDefault="00E17A15" w:rsidP="00FF1491">
            <w:pPr>
              <w:spacing w:line="259" w:lineRule="auto"/>
              <w:jc w:val="center"/>
              <w:rPr>
                <w:sz w:val="20"/>
                <w:szCs w:val="20"/>
              </w:rPr>
            </w:pPr>
            <w:r w:rsidRPr="002E375A">
              <w:rPr>
                <w:sz w:val="20"/>
                <w:szCs w:val="20"/>
              </w:rPr>
              <w:t>0.2%</w:t>
            </w:r>
          </w:p>
        </w:tc>
        <w:tc>
          <w:tcPr>
            <w:tcW w:w="1361" w:type="dxa"/>
            <w:tcBorders>
              <w:bottom w:val="single" w:sz="8" w:space="0" w:color="012749"/>
            </w:tcBorders>
            <w:shd w:val="clear" w:color="auto" w:fill="EEF1F6"/>
            <w:vAlign w:val="center"/>
          </w:tcPr>
          <w:p w14:paraId="79D31380" w14:textId="3E6EAC17" w:rsidR="00E17A15" w:rsidRPr="002E375A" w:rsidRDefault="00E17A15" w:rsidP="00FF1491">
            <w:pPr>
              <w:spacing w:line="259" w:lineRule="auto"/>
              <w:jc w:val="center"/>
              <w:rPr>
                <w:sz w:val="20"/>
                <w:szCs w:val="20"/>
              </w:rPr>
            </w:pPr>
            <w:r w:rsidRPr="002E375A">
              <w:rPr>
                <w:sz w:val="20"/>
                <w:szCs w:val="20"/>
              </w:rPr>
              <w:t>-</w:t>
            </w:r>
          </w:p>
        </w:tc>
        <w:tc>
          <w:tcPr>
            <w:tcW w:w="1361" w:type="dxa"/>
            <w:tcBorders>
              <w:bottom w:val="single" w:sz="8" w:space="0" w:color="012749"/>
            </w:tcBorders>
            <w:shd w:val="clear" w:color="auto" w:fill="EEF1F6"/>
            <w:vAlign w:val="center"/>
          </w:tcPr>
          <w:p w14:paraId="31A000B9" w14:textId="77777777" w:rsidR="00E17A15" w:rsidRPr="002E375A" w:rsidRDefault="00E17A15" w:rsidP="00FF1491">
            <w:pPr>
              <w:spacing w:line="259" w:lineRule="auto"/>
              <w:jc w:val="center"/>
              <w:rPr>
                <w:sz w:val="20"/>
                <w:szCs w:val="20"/>
              </w:rPr>
            </w:pPr>
            <w:r w:rsidRPr="002E375A">
              <w:rPr>
                <w:sz w:val="20"/>
                <w:szCs w:val="20"/>
              </w:rPr>
              <w:t>62.9%</w:t>
            </w:r>
          </w:p>
        </w:tc>
      </w:tr>
    </w:tbl>
    <w:p w14:paraId="14D689B1" w14:textId="77777777" w:rsidR="00E17A15" w:rsidRPr="00E17A15" w:rsidRDefault="00E17A15" w:rsidP="00E17A15">
      <w:pPr>
        <w:spacing w:before="120" w:after="120" w:line="264" w:lineRule="auto"/>
        <w:rPr>
          <w:rFonts w:asciiTheme="minorHAnsi" w:hAnsiTheme="minorHAnsi" w:cstheme="minorHAnsi"/>
          <w:color w:val="auto"/>
          <w:sz w:val="18"/>
          <w:szCs w:val="18"/>
        </w:rPr>
      </w:pPr>
      <w:r w:rsidRPr="00E17A15">
        <w:rPr>
          <w:rFonts w:asciiTheme="minorHAnsi" w:hAnsiTheme="minorHAnsi" w:cstheme="minorHAnsi"/>
          <w:color w:val="auto"/>
          <w:sz w:val="18"/>
          <w:szCs w:val="18"/>
        </w:rPr>
        <w:t>Source: Supplied.</w:t>
      </w:r>
    </w:p>
    <w:p w14:paraId="056CF93C" w14:textId="77777777" w:rsidR="00E17A15" w:rsidRPr="00E17A15" w:rsidRDefault="00E17A15" w:rsidP="00E17A15">
      <w:pPr>
        <w:spacing w:before="120" w:after="120" w:line="264" w:lineRule="auto"/>
        <w:rPr>
          <w:rFonts w:asciiTheme="minorHAnsi" w:hAnsiTheme="minorHAnsi" w:cstheme="minorHAnsi"/>
          <w:color w:val="auto"/>
          <w:sz w:val="18"/>
          <w:szCs w:val="18"/>
        </w:rPr>
      </w:pPr>
      <w:r w:rsidRPr="00E17A15">
        <w:rPr>
          <w:rFonts w:asciiTheme="minorHAnsi" w:hAnsiTheme="minorHAnsi" w:cstheme="minorHAnsi"/>
          <w:color w:val="auto"/>
          <w:sz w:val="18"/>
          <w:szCs w:val="18"/>
        </w:rPr>
        <w:t>Note: Federation University and RMIT did not supply data</w:t>
      </w:r>
    </w:p>
    <w:p w14:paraId="40A23389" w14:textId="20013BB0" w:rsidR="00E17A15" w:rsidRPr="00E17A15" w:rsidRDefault="00E17A15" w:rsidP="00E17A15">
      <w:pPr>
        <w:rPr>
          <w:lang w:val="en-GB"/>
        </w:rPr>
      </w:pPr>
      <w:r w:rsidRPr="00E17A15">
        <w:rPr>
          <w:lang w:val="en-GB"/>
        </w:rPr>
        <w:t>The level of part-time and casual employment in dual sector institutions varies by institution based on the data provided by three universities</w:t>
      </w:r>
      <w:r w:rsidRPr="00E17A15" w:rsidDel="3582C0E9">
        <w:rPr>
          <w:lang w:val="en-GB"/>
        </w:rPr>
        <w:t>.</w:t>
      </w:r>
      <w:r w:rsidRPr="00E17A15">
        <w:rPr>
          <w:lang w:val="en-GB"/>
        </w:rPr>
        <w:t xml:space="preserve"> CDU and VU have over 74% of the workforce working full-time which aligns with TAFE institutions. However, dual sector universities do have higher rates of casualisation than TAFE (except for NSW). VU and </w:t>
      </w:r>
      <w:r w:rsidRPr="00E17A15">
        <w:rPr>
          <w:lang w:val="en-GB"/>
        </w:rPr>
        <w:lastRenderedPageBreak/>
        <w:t xml:space="preserve">Swinburne are high at 44.3% and 42.2% but these figures are comparable to the higher levels of casualisation in higher education as opposed to VET in Australia. See </w:t>
      </w:r>
      <w:hyperlink w:anchor="Table_B_5" w:history="1">
        <w:r w:rsidRPr="005C2F87">
          <w:rPr>
            <w:rStyle w:val="Hyperlink"/>
            <w:lang w:val="en-GB"/>
          </w:rPr>
          <w:t>Table B.5</w:t>
        </w:r>
      </w:hyperlink>
      <w:r w:rsidRPr="00E17A15">
        <w:rPr>
          <w:lang w:val="en-GB"/>
        </w:rPr>
        <w:t>.</w:t>
      </w:r>
    </w:p>
    <w:p w14:paraId="299FE636" w14:textId="77777777" w:rsidR="00E17A15" w:rsidRPr="00E17A15" w:rsidRDefault="00E17A15" w:rsidP="00E17A15">
      <w:pPr>
        <w:rPr>
          <w:lang w:val="en-GB"/>
        </w:rPr>
      </w:pPr>
      <w:r w:rsidRPr="00E17A15">
        <w:rPr>
          <w:lang w:val="en-GB"/>
        </w:rPr>
        <w:t xml:space="preserve">Like TAFEs, dual sector university staff are covered by enterprise agreements but pay and working conditions are lower and less advantageous than TAFEs, especially at entry level. </w:t>
      </w:r>
      <w:r w:rsidRPr="00E17A15">
        <w:t>Starting salaries are on average more than $4K lower per year than for TAFE teachers, though the upper level is on average higher by about $1.9K per year.</w:t>
      </w:r>
      <w:r w:rsidRPr="00E17A15">
        <w:rPr>
          <w:lang w:val="en-GB"/>
        </w:rPr>
        <w:t xml:space="preserve"> </w:t>
      </w:r>
    </w:p>
    <w:p w14:paraId="764F7E7B" w14:textId="77777777" w:rsidR="00E17A15" w:rsidRPr="00E17A15" w:rsidRDefault="00E17A15" w:rsidP="00E17A15">
      <w:pPr>
        <w:rPr>
          <w:lang w:val="en-GB"/>
        </w:rPr>
      </w:pPr>
      <w:r w:rsidRPr="00E17A15">
        <w:rPr>
          <w:lang w:val="en-GB"/>
        </w:rPr>
        <w:t>It is noteworthy that most dual sector agreements are standalone and specific to the VET workforce. Academics delivering higher education qualifications are generally covered in separate enterprise agreements which have higher pay and better conditions. However, in recent years VET workers have negotiated for increased parity with their ‘academic’ colleagues. For example, the 2022 CDU and the 2023 CQU agreement now cover both workforces and the 2022 Swinburne agreement secured 17% superannuation from July 2024 despite being a standalone agreement.</w:t>
      </w:r>
      <w:r w:rsidRPr="00E17A15">
        <w:rPr>
          <w:rFonts w:asciiTheme="minorHAnsi" w:hAnsiTheme="minorHAnsi" w:cstheme="minorHAnsi"/>
          <w:sz w:val="18"/>
          <w:szCs w:val="18"/>
          <w:vertAlign w:val="superscript"/>
          <w:lang w:val="en-GB"/>
        </w:rPr>
        <w:endnoteReference w:id="82"/>
      </w:r>
      <w:r w:rsidRPr="00E17A15">
        <w:rPr>
          <w:lang w:val="en-GB"/>
        </w:rPr>
        <w:t xml:space="preserve"> </w:t>
      </w:r>
    </w:p>
    <w:p w14:paraId="62B41EDB" w14:textId="77777777" w:rsidR="00E17A15" w:rsidRPr="00E17A15" w:rsidRDefault="00E17A15" w:rsidP="00E17A15">
      <w:pPr>
        <w:rPr>
          <w:b/>
          <w:sz w:val="20"/>
          <w:lang w:val="en-US"/>
        </w:rPr>
      </w:pPr>
      <w:bookmarkStart w:id="234" w:name="Table_B_5"/>
      <w:r w:rsidRPr="00A7475C">
        <w:rPr>
          <w:b/>
          <w:sz w:val="20"/>
          <w:lang w:val="en-US"/>
        </w:rPr>
        <w:t xml:space="preserve">Table </w:t>
      </w:r>
      <w:r w:rsidRPr="00A7475C">
        <w:rPr>
          <w:b/>
          <w:sz w:val="20"/>
          <w:lang w:val="en-US"/>
        </w:rPr>
        <w:fldChar w:fldCharType="begin"/>
      </w:r>
      <w:r w:rsidRPr="00A7475C">
        <w:rPr>
          <w:b/>
          <w:sz w:val="20"/>
          <w:lang w:val="en-US"/>
        </w:rPr>
        <w:instrText xml:space="preserve"> STYLEREF 1 \s </w:instrText>
      </w:r>
      <w:r w:rsidRPr="00A7475C">
        <w:rPr>
          <w:b/>
          <w:sz w:val="20"/>
          <w:lang w:val="en-US"/>
        </w:rPr>
        <w:fldChar w:fldCharType="separate"/>
      </w:r>
      <w:r w:rsidRPr="00A7475C">
        <w:rPr>
          <w:b/>
          <w:noProof/>
          <w:sz w:val="20"/>
          <w:lang w:val="en-US"/>
        </w:rPr>
        <w:t>B</w:t>
      </w:r>
      <w:r w:rsidRPr="00A7475C">
        <w:rPr>
          <w:b/>
          <w:sz w:val="20"/>
          <w:lang w:val="en-US"/>
        </w:rPr>
        <w:fldChar w:fldCharType="end"/>
      </w:r>
      <w:r w:rsidRPr="00A7475C">
        <w:rPr>
          <w:b/>
          <w:sz w:val="20"/>
          <w:lang w:val="en-US"/>
        </w:rPr>
        <w:t>.</w:t>
      </w:r>
      <w:r w:rsidRPr="00A7475C">
        <w:rPr>
          <w:b/>
          <w:sz w:val="20"/>
          <w:lang w:val="en-US"/>
        </w:rPr>
        <w:fldChar w:fldCharType="begin"/>
      </w:r>
      <w:r w:rsidRPr="00A7475C">
        <w:rPr>
          <w:b/>
          <w:sz w:val="20"/>
          <w:lang w:val="en-US"/>
        </w:rPr>
        <w:instrText xml:space="preserve"> SEQ Table \* ARABIC \s 1 </w:instrText>
      </w:r>
      <w:r w:rsidRPr="00A7475C">
        <w:rPr>
          <w:b/>
          <w:sz w:val="20"/>
          <w:lang w:val="en-US"/>
        </w:rPr>
        <w:fldChar w:fldCharType="separate"/>
      </w:r>
      <w:r w:rsidRPr="00A7475C">
        <w:rPr>
          <w:b/>
          <w:noProof/>
          <w:sz w:val="20"/>
          <w:lang w:val="en-US"/>
        </w:rPr>
        <w:t>5</w:t>
      </w:r>
      <w:r w:rsidRPr="00A7475C">
        <w:rPr>
          <w:b/>
          <w:sz w:val="20"/>
          <w:lang w:val="en-US"/>
        </w:rPr>
        <w:fldChar w:fldCharType="end"/>
      </w:r>
      <w:r w:rsidRPr="00A7475C">
        <w:rPr>
          <w:b/>
          <w:sz w:val="20"/>
          <w:lang w:val="en-US"/>
        </w:rPr>
        <w:t xml:space="preserve"> Employment status in dual sector universities</w:t>
      </w:r>
    </w:p>
    <w:bookmarkEnd w:id="234"/>
    <w:tbl>
      <w:tblPr>
        <w:tblStyle w:val="JSATable11"/>
        <w:tblW w:w="9128" w:type="dxa"/>
        <w:tblLayout w:type="fixed"/>
        <w:tblLook w:val="04A0" w:firstRow="1" w:lastRow="0" w:firstColumn="1" w:lastColumn="0" w:noHBand="0" w:noVBand="1"/>
      </w:tblPr>
      <w:tblGrid>
        <w:gridCol w:w="2324"/>
        <w:gridCol w:w="1360"/>
        <w:gridCol w:w="1361"/>
        <w:gridCol w:w="1361"/>
        <w:gridCol w:w="1361"/>
        <w:gridCol w:w="1361"/>
      </w:tblGrid>
      <w:tr w:rsidR="00E17A15" w:rsidRPr="007F0835" w14:paraId="7F2E6D70" w14:textId="77777777" w:rsidTr="00DB419C">
        <w:trPr>
          <w:cnfStyle w:val="100000000000" w:firstRow="1" w:lastRow="0" w:firstColumn="0" w:lastColumn="0" w:oddVBand="0" w:evenVBand="0" w:oddHBand="0" w:evenHBand="0" w:firstRowFirstColumn="0" w:firstRowLastColumn="0" w:lastRowFirstColumn="0" w:lastRowLastColumn="0"/>
          <w:trHeight w:val="1020"/>
        </w:trPr>
        <w:tc>
          <w:tcPr>
            <w:tcW w:w="2324" w:type="dxa"/>
            <w:shd w:val="clear" w:color="auto" w:fill="012749"/>
            <w:vAlign w:val="center"/>
          </w:tcPr>
          <w:p w14:paraId="3310A03C" w14:textId="77777777" w:rsidR="00E17A15" w:rsidRPr="007F0835" w:rsidRDefault="00E17A15" w:rsidP="00407E7B">
            <w:pPr>
              <w:rPr>
                <w:rFonts w:asciiTheme="minorHAnsi" w:hAnsiTheme="minorHAnsi" w:cstheme="minorHAnsi"/>
                <w:bCs/>
                <w:color w:val="FFFFFF" w:themeColor="background1"/>
                <w:sz w:val="20"/>
                <w:szCs w:val="20"/>
              </w:rPr>
            </w:pPr>
          </w:p>
        </w:tc>
        <w:tc>
          <w:tcPr>
            <w:tcW w:w="1360" w:type="dxa"/>
            <w:shd w:val="clear" w:color="auto" w:fill="012749"/>
          </w:tcPr>
          <w:p w14:paraId="1FDFEE1F" w14:textId="16043586" w:rsidR="00E17A15" w:rsidRPr="007F0835" w:rsidRDefault="00E17A15" w:rsidP="00DB419C">
            <w:pPr>
              <w:spacing w:before="120"/>
              <w:jc w:val="center"/>
              <w:rPr>
                <w:bCs/>
                <w:color w:val="FFFFFF" w:themeColor="background1"/>
                <w:sz w:val="20"/>
                <w:szCs w:val="20"/>
                <w:lang w:val="en-US"/>
              </w:rPr>
            </w:pPr>
            <w:r w:rsidRPr="007F0835">
              <w:rPr>
                <w:bCs/>
                <w:color w:val="FFFFFF" w:themeColor="background1"/>
                <w:sz w:val="20"/>
                <w:szCs w:val="20"/>
                <w:lang w:val="en-US"/>
              </w:rPr>
              <w:t>Full-time</w:t>
            </w:r>
          </w:p>
        </w:tc>
        <w:tc>
          <w:tcPr>
            <w:tcW w:w="1361" w:type="dxa"/>
            <w:shd w:val="clear" w:color="auto" w:fill="012749"/>
          </w:tcPr>
          <w:p w14:paraId="6CBEEA4F" w14:textId="3A8604F6" w:rsidR="00E17A15" w:rsidRPr="007F0835" w:rsidRDefault="00E17A15" w:rsidP="00DB419C">
            <w:pPr>
              <w:spacing w:before="120"/>
              <w:jc w:val="center"/>
              <w:rPr>
                <w:bCs/>
                <w:color w:val="FFFFFF" w:themeColor="background1"/>
                <w:sz w:val="20"/>
                <w:szCs w:val="20"/>
                <w:lang w:val="en-US"/>
              </w:rPr>
            </w:pPr>
            <w:r w:rsidRPr="007F0835">
              <w:rPr>
                <w:bCs/>
                <w:color w:val="FFFFFF" w:themeColor="background1"/>
                <w:sz w:val="20"/>
                <w:szCs w:val="20"/>
                <w:lang w:val="en-US"/>
              </w:rPr>
              <w:t>Part-time</w:t>
            </w:r>
          </w:p>
        </w:tc>
        <w:tc>
          <w:tcPr>
            <w:tcW w:w="1361" w:type="dxa"/>
            <w:shd w:val="clear" w:color="auto" w:fill="012749"/>
          </w:tcPr>
          <w:p w14:paraId="732FCABD" w14:textId="42791C72" w:rsidR="00E17A15" w:rsidRPr="007F0835" w:rsidRDefault="00E17A15" w:rsidP="00DB419C">
            <w:pPr>
              <w:spacing w:before="120"/>
              <w:jc w:val="center"/>
              <w:rPr>
                <w:bCs/>
                <w:color w:val="FFFFFF" w:themeColor="background1"/>
                <w:sz w:val="20"/>
                <w:szCs w:val="20"/>
                <w:lang w:val="en-US"/>
              </w:rPr>
            </w:pPr>
            <w:r w:rsidRPr="007F0835">
              <w:rPr>
                <w:bCs/>
                <w:color w:val="FFFFFF" w:themeColor="background1"/>
                <w:sz w:val="20"/>
                <w:szCs w:val="20"/>
                <w:lang w:val="en-US"/>
              </w:rPr>
              <w:t>Casual</w:t>
            </w:r>
          </w:p>
        </w:tc>
        <w:tc>
          <w:tcPr>
            <w:tcW w:w="1361" w:type="dxa"/>
            <w:shd w:val="clear" w:color="auto" w:fill="012749"/>
          </w:tcPr>
          <w:p w14:paraId="0B81A030" w14:textId="3B451B67" w:rsidR="00E17A15" w:rsidRPr="007F0835" w:rsidRDefault="00E17A15" w:rsidP="00DB419C">
            <w:pPr>
              <w:spacing w:before="120"/>
              <w:jc w:val="center"/>
              <w:rPr>
                <w:bCs/>
                <w:color w:val="FFFFFF" w:themeColor="background1"/>
                <w:sz w:val="20"/>
                <w:szCs w:val="20"/>
                <w:lang w:val="en-US"/>
              </w:rPr>
            </w:pPr>
            <w:r w:rsidRPr="007F0835">
              <w:rPr>
                <w:bCs/>
                <w:color w:val="FFFFFF" w:themeColor="background1"/>
                <w:sz w:val="20"/>
                <w:szCs w:val="20"/>
                <w:lang w:val="en-US"/>
              </w:rPr>
              <w:t>Fixed term</w:t>
            </w:r>
          </w:p>
        </w:tc>
        <w:tc>
          <w:tcPr>
            <w:tcW w:w="1361" w:type="dxa"/>
            <w:shd w:val="clear" w:color="auto" w:fill="012749"/>
          </w:tcPr>
          <w:p w14:paraId="06EAF7BB" w14:textId="65391E06" w:rsidR="00E17A15" w:rsidRPr="007F0835" w:rsidRDefault="00E17A15" w:rsidP="00DB419C">
            <w:pPr>
              <w:spacing w:before="120"/>
              <w:jc w:val="center"/>
              <w:rPr>
                <w:bCs/>
                <w:color w:val="FFFFFF" w:themeColor="background1"/>
                <w:sz w:val="20"/>
                <w:szCs w:val="20"/>
                <w:lang w:val="en-US"/>
              </w:rPr>
            </w:pPr>
            <w:r w:rsidRPr="007F0835">
              <w:rPr>
                <w:bCs/>
                <w:color w:val="FFFFFF" w:themeColor="background1"/>
                <w:sz w:val="20"/>
                <w:szCs w:val="20"/>
                <w:lang w:val="en-US"/>
              </w:rPr>
              <w:t>Permanent/Ongoing</w:t>
            </w:r>
          </w:p>
        </w:tc>
      </w:tr>
      <w:tr w:rsidR="00E17A15" w:rsidRPr="00E17A15" w14:paraId="27E09214" w14:textId="77777777" w:rsidTr="005D6A89">
        <w:trPr>
          <w:trHeight w:val="750"/>
        </w:trPr>
        <w:tc>
          <w:tcPr>
            <w:tcW w:w="2324" w:type="dxa"/>
            <w:vAlign w:val="center"/>
          </w:tcPr>
          <w:p w14:paraId="33295DD8" w14:textId="5B41C3B0" w:rsidR="00E17A15" w:rsidRPr="00A341D9" w:rsidRDefault="00E17A15" w:rsidP="005D6A89">
            <w:pPr>
              <w:spacing w:line="259" w:lineRule="auto"/>
              <w:rPr>
                <w:sz w:val="20"/>
                <w:szCs w:val="20"/>
              </w:rPr>
            </w:pPr>
            <w:r w:rsidRPr="00A341D9">
              <w:rPr>
                <w:sz w:val="20"/>
                <w:szCs w:val="20"/>
              </w:rPr>
              <w:t>Charles Darwin University (CDU)</w:t>
            </w:r>
          </w:p>
        </w:tc>
        <w:tc>
          <w:tcPr>
            <w:tcW w:w="1360" w:type="dxa"/>
            <w:vAlign w:val="center"/>
          </w:tcPr>
          <w:p w14:paraId="5502008F" w14:textId="04FD2C47" w:rsidR="00E17A15" w:rsidRPr="00A341D9" w:rsidRDefault="00E17A15" w:rsidP="005D6A89">
            <w:pPr>
              <w:spacing w:line="259" w:lineRule="auto"/>
              <w:jc w:val="center"/>
              <w:rPr>
                <w:sz w:val="20"/>
                <w:szCs w:val="20"/>
              </w:rPr>
            </w:pPr>
            <w:r w:rsidRPr="00A341D9">
              <w:rPr>
                <w:sz w:val="20"/>
                <w:szCs w:val="20"/>
                <w:lang w:val="en-GB"/>
              </w:rPr>
              <w:t>79.8%</w:t>
            </w:r>
          </w:p>
        </w:tc>
        <w:tc>
          <w:tcPr>
            <w:tcW w:w="1361" w:type="dxa"/>
            <w:vAlign w:val="center"/>
          </w:tcPr>
          <w:p w14:paraId="48DC46AA" w14:textId="7F986480" w:rsidR="00E17A15" w:rsidRPr="00A341D9" w:rsidRDefault="00E17A15" w:rsidP="005D6A89">
            <w:pPr>
              <w:spacing w:line="259" w:lineRule="auto"/>
              <w:jc w:val="center"/>
              <w:rPr>
                <w:sz w:val="20"/>
                <w:szCs w:val="20"/>
              </w:rPr>
            </w:pPr>
            <w:r w:rsidRPr="00A341D9">
              <w:rPr>
                <w:sz w:val="20"/>
                <w:szCs w:val="20"/>
                <w:lang w:val="en-GB"/>
              </w:rPr>
              <w:t>4.5%</w:t>
            </w:r>
          </w:p>
        </w:tc>
        <w:tc>
          <w:tcPr>
            <w:tcW w:w="1361" w:type="dxa"/>
            <w:vAlign w:val="center"/>
          </w:tcPr>
          <w:p w14:paraId="458FC3FF" w14:textId="145471FF" w:rsidR="00E17A15" w:rsidRPr="00A341D9" w:rsidRDefault="00E17A15" w:rsidP="005D6A89">
            <w:pPr>
              <w:spacing w:line="259" w:lineRule="auto"/>
              <w:jc w:val="center"/>
              <w:rPr>
                <w:sz w:val="20"/>
                <w:szCs w:val="20"/>
              </w:rPr>
            </w:pPr>
            <w:r w:rsidRPr="00A341D9">
              <w:rPr>
                <w:sz w:val="20"/>
                <w:szCs w:val="20"/>
                <w:lang w:val="en-GB"/>
              </w:rPr>
              <w:t>15.4%</w:t>
            </w:r>
          </w:p>
        </w:tc>
        <w:tc>
          <w:tcPr>
            <w:tcW w:w="1361" w:type="dxa"/>
            <w:vAlign w:val="center"/>
          </w:tcPr>
          <w:p w14:paraId="375ED81E" w14:textId="06A601E8" w:rsidR="00E17A15" w:rsidRPr="00A341D9" w:rsidRDefault="00E17A15" w:rsidP="005D6A89">
            <w:pPr>
              <w:spacing w:line="259" w:lineRule="auto"/>
              <w:jc w:val="center"/>
              <w:rPr>
                <w:sz w:val="20"/>
                <w:szCs w:val="20"/>
              </w:rPr>
            </w:pPr>
            <w:r w:rsidRPr="00A341D9">
              <w:rPr>
                <w:sz w:val="20"/>
                <w:szCs w:val="20"/>
                <w:lang w:val="en-GB"/>
              </w:rPr>
              <w:t>6.8%</w:t>
            </w:r>
          </w:p>
        </w:tc>
        <w:tc>
          <w:tcPr>
            <w:tcW w:w="1361" w:type="dxa"/>
            <w:vAlign w:val="center"/>
          </w:tcPr>
          <w:p w14:paraId="4C95BF81" w14:textId="29A3D296" w:rsidR="00E17A15" w:rsidRPr="00A341D9" w:rsidRDefault="00E17A15" w:rsidP="005D6A89">
            <w:pPr>
              <w:spacing w:line="259" w:lineRule="auto"/>
              <w:jc w:val="center"/>
              <w:rPr>
                <w:sz w:val="20"/>
                <w:szCs w:val="20"/>
              </w:rPr>
            </w:pPr>
            <w:r w:rsidRPr="00A341D9">
              <w:rPr>
                <w:sz w:val="20"/>
                <w:szCs w:val="20"/>
                <w:lang w:val="en-GB"/>
              </w:rPr>
              <w:t>77.7%</w:t>
            </w:r>
          </w:p>
        </w:tc>
      </w:tr>
      <w:tr w:rsidR="00E17A15" w:rsidRPr="00E17A15" w14:paraId="1EE2BC87" w14:textId="77777777" w:rsidTr="00EC21C8">
        <w:trPr>
          <w:cnfStyle w:val="000000010000" w:firstRow="0" w:lastRow="0" w:firstColumn="0" w:lastColumn="0" w:oddVBand="0" w:evenVBand="0" w:oddHBand="0" w:evenHBand="1" w:firstRowFirstColumn="0" w:firstRowLastColumn="0" w:lastRowFirstColumn="0" w:lastRowLastColumn="0"/>
          <w:trHeight w:val="750"/>
        </w:trPr>
        <w:tc>
          <w:tcPr>
            <w:tcW w:w="2324" w:type="dxa"/>
            <w:tcBorders>
              <w:bottom w:val="nil"/>
            </w:tcBorders>
            <w:shd w:val="clear" w:color="auto" w:fill="EEF1F6"/>
            <w:vAlign w:val="center"/>
          </w:tcPr>
          <w:p w14:paraId="6D50D76A" w14:textId="0CD28BE7" w:rsidR="00E17A15" w:rsidRPr="00A341D9" w:rsidRDefault="00E17A15" w:rsidP="005D6A89">
            <w:pPr>
              <w:spacing w:line="259" w:lineRule="auto"/>
              <w:rPr>
                <w:sz w:val="20"/>
                <w:szCs w:val="20"/>
              </w:rPr>
            </w:pPr>
            <w:r w:rsidRPr="00A341D9">
              <w:rPr>
                <w:sz w:val="20"/>
                <w:szCs w:val="20"/>
              </w:rPr>
              <w:t>Victoria University*</w:t>
            </w:r>
          </w:p>
        </w:tc>
        <w:tc>
          <w:tcPr>
            <w:tcW w:w="1360" w:type="dxa"/>
            <w:tcBorders>
              <w:bottom w:val="nil"/>
            </w:tcBorders>
            <w:shd w:val="clear" w:color="auto" w:fill="EEF1F6"/>
            <w:vAlign w:val="center"/>
          </w:tcPr>
          <w:p w14:paraId="5164E8A8" w14:textId="044DD45E" w:rsidR="00E17A15" w:rsidRPr="00A341D9" w:rsidRDefault="00E17A15" w:rsidP="005D6A89">
            <w:pPr>
              <w:spacing w:line="259" w:lineRule="auto"/>
              <w:jc w:val="center"/>
              <w:rPr>
                <w:sz w:val="20"/>
                <w:szCs w:val="20"/>
              </w:rPr>
            </w:pPr>
            <w:r w:rsidRPr="00A341D9">
              <w:rPr>
                <w:sz w:val="20"/>
                <w:szCs w:val="20"/>
                <w:lang w:val="en-GB"/>
              </w:rPr>
              <w:t>74.6%</w:t>
            </w:r>
          </w:p>
        </w:tc>
        <w:tc>
          <w:tcPr>
            <w:tcW w:w="1361" w:type="dxa"/>
            <w:tcBorders>
              <w:bottom w:val="nil"/>
            </w:tcBorders>
            <w:shd w:val="clear" w:color="auto" w:fill="EEF1F6"/>
            <w:vAlign w:val="center"/>
          </w:tcPr>
          <w:p w14:paraId="273E4548" w14:textId="38D8DD82" w:rsidR="00E17A15" w:rsidRPr="00A341D9" w:rsidRDefault="00E17A15" w:rsidP="005D6A89">
            <w:pPr>
              <w:spacing w:line="259" w:lineRule="auto"/>
              <w:jc w:val="center"/>
              <w:rPr>
                <w:sz w:val="20"/>
                <w:szCs w:val="20"/>
              </w:rPr>
            </w:pPr>
            <w:r w:rsidRPr="00A341D9">
              <w:rPr>
                <w:sz w:val="20"/>
                <w:szCs w:val="20"/>
                <w:lang w:val="en-GB"/>
              </w:rPr>
              <w:t>25.4%</w:t>
            </w:r>
          </w:p>
        </w:tc>
        <w:tc>
          <w:tcPr>
            <w:tcW w:w="1361" w:type="dxa"/>
            <w:tcBorders>
              <w:bottom w:val="nil"/>
            </w:tcBorders>
            <w:shd w:val="clear" w:color="auto" w:fill="EEF1F6"/>
            <w:vAlign w:val="center"/>
          </w:tcPr>
          <w:p w14:paraId="1AF4A33D" w14:textId="72B6A961" w:rsidR="00E17A15" w:rsidRPr="00A341D9" w:rsidRDefault="00E17A15" w:rsidP="005D6A89">
            <w:pPr>
              <w:spacing w:line="259" w:lineRule="auto"/>
              <w:jc w:val="center"/>
              <w:rPr>
                <w:sz w:val="20"/>
                <w:szCs w:val="20"/>
              </w:rPr>
            </w:pPr>
            <w:r w:rsidRPr="00A341D9">
              <w:rPr>
                <w:sz w:val="20"/>
                <w:szCs w:val="20"/>
                <w:lang w:val="en-GB"/>
              </w:rPr>
              <w:t>44.3%</w:t>
            </w:r>
          </w:p>
        </w:tc>
        <w:tc>
          <w:tcPr>
            <w:tcW w:w="1361" w:type="dxa"/>
            <w:tcBorders>
              <w:bottom w:val="nil"/>
            </w:tcBorders>
            <w:shd w:val="clear" w:color="auto" w:fill="EEF1F6"/>
            <w:vAlign w:val="center"/>
          </w:tcPr>
          <w:p w14:paraId="36272AF6" w14:textId="648CD051" w:rsidR="00E17A15" w:rsidRPr="00A341D9" w:rsidRDefault="00E17A15" w:rsidP="005D6A89">
            <w:pPr>
              <w:spacing w:line="259" w:lineRule="auto"/>
              <w:jc w:val="center"/>
              <w:rPr>
                <w:sz w:val="20"/>
                <w:szCs w:val="20"/>
              </w:rPr>
            </w:pPr>
            <w:r w:rsidRPr="00A341D9">
              <w:rPr>
                <w:sz w:val="20"/>
                <w:szCs w:val="20"/>
                <w:lang w:val="en-GB"/>
              </w:rPr>
              <w:t>22.5%</w:t>
            </w:r>
          </w:p>
        </w:tc>
        <w:tc>
          <w:tcPr>
            <w:tcW w:w="1361" w:type="dxa"/>
            <w:tcBorders>
              <w:bottom w:val="nil"/>
            </w:tcBorders>
            <w:shd w:val="clear" w:color="auto" w:fill="EEF1F6"/>
            <w:vAlign w:val="center"/>
          </w:tcPr>
          <w:p w14:paraId="17A7E401" w14:textId="0920AACA" w:rsidR="00E17A15" w:rsidRPr="00A341D9" w:rsidRDefault="00E17A15" w:rsidP="005D6A89">
            <w:pPr>
              <w:spacing w:line="259" w:lineRule="auto"/>
              <w:jc w:val="center"/>
              <w:rPr>
                <w:sz w:val="20"/>
                <w:szCs w:val="20"/>
              </w:rPr>
            </w:pPr>
            <w:r w:rsidRPr="00A341D9">
              <w:rPr>
                <w:sz w:val="20"/>
                <w:szCs w:val="20"/>
                <w:lang w:val="en-GB"/>
              </w:rPr>
              <w:t>33.2%</w:t>
            </w:r>
          </w:p>
        </w:tc>
      </w:tr>
      <w:tr w:rsidR="00E17A15" w:rsidRPr="00E17A15" w14:paraId="2F51E536" w14:textId="77777777" w:rsidTr="00EC21C8">
        <w:trPr>
          <w:trHeight w:val="750"/>
        </w:trPr>
        <w:tc>
          <w:tcPr>
            <w:tcW w:w="2324" w:type="dxa"/>
            <w:tcBorders>
              <w:bottom w:val="single" w:sz="8" w:space="0" w:color="2F005F"/>
            </w:tcBorders>
            <w:vAlign w:val="center"/>
          </w:tcPr>
          <w:p w14:paraId="7B67496D" w14:textId="4544C86C" w:rsidR="00E17A15" w:rsidRPr="00A341D9" w:rsidRDefault="00E17A15" w:rsidP="005D6A89">
            <w:pPr>
              <w:spacing w:line="259" w:lineRule="auto"/>
              <w:rPr>
                <w:sz w:val="20"/>
                <w:szCs w:val="20"/>
              </w:rPr>
            </w:pPr>
            <w:r w:rsidRPr="00A341D9">
              <w:rPr>
                <w:sz w:val="20"/>
                <w:szCs w:val="20"/>
              </w:rPr>
              <w:t>Swinburne University of Technology**</w:t>
            </w:r>
          </w:p>
        </w:tc>
        <w:tc>
          <w:tcPr>
            <w:tcW w:w="1360" w:type="dxa"/>
            <w:tcBorders>
              <w:bottom w:val="single" w:sz="8" w:space="0" w:color="2F005F"/>
            </w:tcBorders>
            <w:vAlign w:val="center"/>
          </w:tcPr>
          <w:p w14:paraId="4478D841" w14:textId="7AC9A42F" w:rsidR="00E17A15" w:rsidRPr="00A341D9" w:rsidRDefault="00E17A15" w:rsidP="005D6A89">
            <w:pPr>
              <w:spacing w:line="259" w:lineRule="auto"/>
              <w:jc w:val="center"/>
              <w:rPr>
                <w:sz w:val="20"/>
                <w:szCs w:val="20"/>
              </w:rPr>
            </w:pPr>
            <w:r w:rsidRPr="00A341D9">
              <w:rPr>
                <w:sz w:val="20"/>
                <w:szCs w:val="20"/>
                <w:lang w:val="en-GB"/>
              </w:rPr>
              <w:t>33.1%</w:t>
            </w:r>
          </w:p>
        </w:tc>
        <w:tc>
          <w:tcPr>
            <w:tcW w:w="1361" w:type="dxa"/>
            <w:tcBorders>
              <w:bottom w:val="single" w:sz="8" w:space="0" w:color="2F005F"/>
            </w:tcBorders>
            <w:vAlign w:val="center"/>
          </w:tcPr>
          <w:p w14:paraId="6B0D009D" w14:textId="24AC8DD2" w:rsidR="00E17A15" w:rsidRPr="00A341D9" w:rsidRDefault="00E17A15" w:rsidP="005D6A89">
            <w:pPr>
              <w:spacing w:line="259" w:lineRule="auto"/>
              <w:jc w:val="center"/>
              <w:rPr>
                <w:sz w:val="20"/>
                <w:szCs w:val="20"/>
              </w:rPr>
            </w:pPr>
            <w:r w:rsidRPr="00A341D9">
              <w:rPr>
                <w:sz w:val="20"/>
                <w:szCs w:val="20"/>
                <w:lang w:val="en-GB"/>
              </w:rPr>
              <w:t>66.9%</w:t>
            </w:r>
          </w:p>
        </w:tc>
        <w:tc>
          <w:tcPr>
            <w:tcW w:w="1361" w:type="dxa"/>
            <w:tcBorders>
              <w:bottom w:val="single" w:sz="8" w:space="0" w:color="2F005F"/>
            </w:tcBorders>
            <w:vAlign w:val="center"/>
          </w:tcPr>
          <w:p w14:paraId="6CDD806B" w14:textId="0AC976C0" w:rsidR="00E17A15" w:rsidRPr="00A341D9" w:rsidRDefault="00E17A15" w:rsidP="005D6A89">
            <w:pPr>
              <w:spacing w:line="259" w:lineRule="auto"/>
              <w:jc w:val="center"/>
              <w:rPr>
                <w:sz w:val="20"/>
                <w:szCs w:val="20"/>
              </w:rPr>
            </w:pPr>
            <w:r w:rsidRPr="00A341D9">
              <w:rPr>
                <w:sz w:val="20"/>
                <w:szCs w:val="20"/>
                <w:lang w:val="en-GB"/>
              </w:rPr>
              <w:t>42.2%</w:t>
            </w:r>
          </w:p>
        </w:tc>
        <w:tc>
          <w:tcPr>
            <w:tcW w:w="1361" w:type="dxa"/>
            <w:tcBorders>
              <w:bottom w:val="single" w:sz="8" w:space="0" w:color="2F005F"/>
            </w:tcBorders>
            <w:vAlign w:val="center"/>
          </w:tcPr>
          <w:p w14:paraId="08946C9B" w14:textId="6DDD65D6" w:rsidR="00E17A15" w:rsidRPr="00A341D9" w:rsidRDefault="00E17A15" w:rsidP="005D6A89">
            <w:pPr>
              <w:spacing w:line="259" w:lineRule="auto"/>
              <w:jc w:val="center"/>
              <w:rPr>
                <w:sz w:val="20"/>
                <w:szCs w:val="20"/>
              </w:rPr>
            </w:pPr>
            <w:r w:rsidRPr="00A341D9">
              <w:rPr>
                <w:sz w:val="20"/>
                <w:szCs w:val="20"/>
                <w:lang w:val="en-GB"/>
              </w:rPr>
              <w:t>27.5%</w:t>
            </w:r>
          </w:p>
        </w:tc>
        <w:tc>
          <w:tcPr>
            <w:tcW w:w="1361" w:type="dxa"/>
            <w:tcBorders>
              <w:bottom w:val="single" w:sz="8" w:space="0" w:color="2F005F"/>
            </w:tcBorders>
            <w:vAlign w:val="center"/>
          </w:tcPr>
          <w:p w14:paraId="411720CB" w14:textId="6198A486" w:rsidR="00E17A15" w:rsidRPr="00A341D9" w:rsidRDefault="00E17A15" w:rsidP="005D6A89">
            <w:pPr>
              <w:spacing w:line="259" w:lineRule="auto"/>
              <w:jc w:val="center"/>
              <w:rPr>
                <w:sz w:val="20"/>
                <w:szCs w:val="20"/>
              </w:rPr>
            </w:pPr>
            <w:r w:rsidRPr="00A341D9">
              <w:rPr>
                <w:sz w:val="20"/>
                <w:szCs w:val="20"/>
                <w:lang w:val="en-GB"/>
              </w:rPr>
              <w:t>30.3%</w:t>
            </w:r>
          </w:p>
        </w:tc>
      </w:tr>
    </w:tbl>
    <w:p w14:paraId="73D31DCF" w14:textId="77777777" w:rsidR="00E17A15" w:rsidRPr="00E17A15" w:rsidRDefault="00E17A15" w:rsidP="00E17A15">
      <w:pPr>
        <w:spacing w:before="120" w:after="120" w:line="264" w:lineRule="auto"/>
        <w:rPr>
          <w:rFonts w:asciiTheme="minorHAnsi" w:hAnsiTheme="minorHAnsi" w:cstheme="minorHAnsi"/>
          <w:color w:val="auto"/>
          <w:sz w:val="18"/>
          <w:szCs w:val="18"/>
        </w:rPr>
      </w:pPr>
      <w:r w:rsidRPr="00E17A15">
        <w:rPr>
          <w:rFonts w:asciiTheme="minorHAnsi" w:hAnsiTheme="minorHAnsi" w:cstheme="minorHAnsi"/>
          <w:color w:val="auto"/>
          <w:sz w:val="18"/>
          <w:szCs w:val="18"/>
        </w:rPr>
        <w:t>Source: Supplied</w:t>
      </w:r>
    </w:p>
    <w:p w14:paraId="052B7C33" w14:textId="77777777" w:rsidR="00E17A15" w:rsidRPr="00E17A15" w:rsidRDefault="00E17A15" w:rsidP="00E17A15">
      <w:pPr>
        <w:spacing w:before="120" w:after="120" w:line="264" w:lineRule="auto"/>
        <w:rPr>
          <w:rFonts w:asciiTheme="minorHAnsi" w:hAnsiTheme="minorHAnsi" w:cstheme="minorHAnsi"/>
          <w:color w:val="auto"/>
          <w:sz w:val="18"/>
          <w:szCs w:val="18"/>
        </w:rPr>
      </w:pPr>
      <w:r w:rsidRPr="00E17A15">
        <w:rPr>
          <w:rFonts w:asciiTheme="minorHAnsi" w:hAnsiTheme="minorHAnsi" w:cstheme="minorHAnsi"/>
          <w:color w:val="auto"/>
          <w:sz w:val="18"/>
          <w:szCs w:val="18"/>
        </w:rPr>
        <w:t xml:space="preserve">* Data based on assignment as provided, which exceeds 100%. </w:t>
      </w:r>
    </w:p>
    <w:p w14:paraId="70485683" w14:textId="77777777" w:rsidR="00E17A15" w:rsidRPr="00E17A15" w:rsidRDefault="00E17A15" w:rsidP="00E17A15">
      <w:pPr>
        <w:spacing w:before="120" w:after="120" w:line="264" w:lineRule="auto"/>
        <w:rPr>
          <w:rFonts w:asciiTheme="minorHAnsi" w:hAnsiTheme="minorHAnsi" w:cstheme="minorHAnsi"/>
          <w:color w:val="auto"/>
          <w:sz w:val="18"/>
          <w:szCs w:val="18"/>
        </w:rPr>
      </w:pPr>
      <w:r w:rsidRPr="00E17A15">
        <w:rPr>
          <w:rFonts w:asciiTheme="minorHAnsi" w:hAnsiTheme="minorHAnsi" w:cstheme="minorHAnsi"/>
          <w:color w:val="auto"/>
          <w:sz w:val="18"/>
          <w:szCs w:val="18"/>
        </w:rPr>
        <w:t xml:space="preserve">** Data based on headcount as provided, which exceeds 100%. </w:t>
      </w:r>
    </w:p>
    <w:p w14:paraId="36437804" w14:textId="77777777" w:rsidR="00E17A15" w:rsidRDefault="00E17A15" w:rsidP="00E17A15">
      <w:pPr>
        <w:pStyle w:val="Bodycopy"/>
      </w:pPr>
    </w:p>
    <w:p w14:paraId="5D00778F" w14:textId="77777777" w:rsidR="00E17A15" w:rsidRDefault="00E17A15" w:rsidP="00E17A15"/>
    <w:p w14:paraId="49E90BE2" w14:textId="77777777" w:rsidR="00E17A15" w:rsidRPr="00E17A15" w:rsidRDefault="00E17A15" w:rsidP="00E17A15">
      <w:pPr>
        <w:sectPr w:rsidR="00E17A15" w:rsidRPr="00E17A15" w:rsidSect="003A3575">
          <w:headerReference w:type="even" r:id="rId73"/>
          <w:headerReference w:type="default" r:id="rId74"/>
          <w:headerReference w:type="first" r:id="rId75"/>
          <w:footnotePr>
            <w:numFmt w:val="lowerRoman"/>
          </w:footnotePr>
          <w:endnotePr>
            <w:numFmt w:val="decimal"/>
          </w:endnotePr>
          <w:type w:val="continuous"/>
          <w:pgSz w:w="11906" w:h="16838"/>
          <w:pgMar w:top="1440" w:right="1418" w:bottom="1134" w:left="1440" w:header="0" w:footer="227" w:gutter="0"/>
          <w:cols w:space="708"/>
          <w:docGrid w:linePitch="360"/>
        </w:sectPr>
      </w:pPr>
    </w:p>
    <w:p w14:paraId="34A7C563" w14:textId="082000F8" w:rsidR="73D45D3C" w:rsidRDefault="74536541" w:rsidP="00F70FE3">
      <w:pPr>
        <w:pStyle w:val="Heading1"/>
      </w:pPr>
      <w:bookmarkStart w:id="235" w:name="_Toc176771002"/>
      <w:r>
        <w:lastRenderedPageBreak/>
        <w:t>Reference</w:t>
      </w:r>
      <w:r w:rsidR="00F70FE3">
        <w:t>s</w:t>
      </w:r>
      <w:bookmarkEnd w:id="225"/>
      <w:bookmarkEnd w:id="235"/>
    </w:p>
    <w:sectPr w:rsidR="73D45D3C" w:rsidSect="000C051B">
      <w:footnotePr>
        <w:numFmt w:val="lowerRoman"/>
      </w:footnotePr>
      <w:endnotePr>
        <w:numFmt w:val="decimal"/>
      </w:endnotePr>
      <w:pgSz w:w="11906" w:h="16838"/>
      <w:pgMar w:top="1440" w:right="1440" w:bottom="1440" w:left="1440" w:header="0" w:footer="22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571A7DF" w14:textId="77777777" w:rsidR="00221DBA" w:rsidRDefault="00221DBA" w:rsidP="000D6745">
      <w:r>
        <w:separator/>
      </w:r>
    </w:p>
    <w:p w14:paraId="24420668" w14:textId="77777777" w:rsidR="00221DBA" w:rsidRDefault="00221DBA"/>
    <w:p w14:paraId="6094E451" w14:textId="77777777" w:rsidR="00113575" w:rsidRDefault="00113575"/>
  </w:endnote>
  <w:endnote w:type="continuationSeparator" w:id="0">
    <w:p w14:paraId="5A1E5220" w14:textId="77777777" w:rsidR="00221DBA" w:rsidRDefault="00221DBA" w:rsidP="000D6745">
      <w:r>
        <w:continuationSeparator/>
      </w:r>
    </w:p>
    <w:p w14:paraId="584187E4" w14:textId="77777777" w:rsidR="00221DBA" w:rsidRDefault="00221DBA"/>
    <w:p w14:paraId="59D7B79F" w14:textId="77777777" w:rsidR="00113575" w:rsidRDefault="00113575"/>
  </w:endnote>
  <w:endnote w:type="continuationNotice" w:id="1">
    <w:p w14:paraId="5AF3C4AA" w14:textId="77777777" w:rsidR="00221DBA" w:rsidRDefault="00221DBA">
      <w:pPr>
        <w:spacing w:after="0" w:line="240" w:lineRule="auto"/>
      </w:pPr>
    </w:p>
    <w:p w14:paraId="54CC8306" w14:textId="77777777" w:rsidR="00221DBA" w:rsidRDefault="00221DBA"/>
    <w:p w14:paraId="18507B03" w14:textId="77777777" w:rsidR="00113575" w:rsidRDefault="00113575"/>
  </w:endnote>
  <w:endnote w:id="2">
    <w:p w14:paraId="3A268132" w14:textId="32A7F28E" w:rsidR="0018401C" w:rsidRPr="00D32424" w:rsidRDefault="7AD33374" w:rsidP="00C743BB">
      <w:pPr>
        <w:pStyle w:val="ListBullet6"/>
        <w:ind w:left="426" w:hanging="426"/>
        <w:rPr>
          <w:rFonts w:cs="Arial"/>
          <w:color w:val="auto"/>
        </w:rPr>
      </w:pPr>
      <w:r w:rsidRPr="7AD33374">
        <w:rPr>
          <w:rFonts w:cs="Arial"/>
          <w:color w:val="auto"/>
        </w:rPr>
        <w:t xml:space="preserve">Productivity Commission (2011) </w:t>
      </w:r>
      <w:hyperlink r:id="rId1">
        <w:r w:rsidRPr="7AD33374">
          <w:rPr>
            <w:rStyle w:val="Hyperlink"/>
            <w:rFonts w:cs="Arial"/>
            <w:i/>
            <w:iCs/>
          </w:rPr>
          <w:t>Vocational education and training workforce research report</w:t>
        </w:r>
      </w:hyperlink>
      <w:r w:rsidRPr="7AD33374">
        <w:rPr>
          <w:rFonts w:cs="Arial"/>
          <w:color w:val="auto"/>
        </w:rPr>
        <w:t>, Productivity Commission, Australian Government.</w:t>
      </w:r>
    </w:p>
  </w:endnote>
  <w:endnote w:id="3">
    <w:p w14:paraId="723727F6" w14:textId="70110EDE" w:rsidR="0018401C" w:rsidRPr="00D32424" w:rsidRDefault="7AD33374" w:rsidP="00C743BB">
      <w:pPr>
        <w:pStyle w:val="ListBullet6"/>
        <w:ind w:left="426" w:hanging="426"/>
        <w:rPr>
          <w:rFonts w:cs="Arial"/>
          <w:color w:val="auto"/>
        </w:rPr>
      </w:pPr>
      <w:r w:rsidRPr="7AD33374">
        <w:rPr>
          <w:rFonts w:cs="Arial"/>
          <w:color w:val="auto"/>
        </w:rPr>
        <w:t xml:space="preserve">Knight G, White I and Granfield P (2020) </w:t>
      </w:r>
      <w:hyperlink r:id="rId2">
        <w:r w:rsidRPr="7AD33374">
          <w:rPr>
            <w:rStyle w:val="Hyperlink"/>
            <w:rFonts w:cs="Arial"/>
            <w:i/>
            <w:iCs/>
          </w:rPr>
          <w:t>Understanding the Australian vocational education and training workforce</w:t>
        </w:r>
      </w:hyperlink>
      <w:r w:rsidRPr="7AD33374">
        <w:rPr>
          <w:rFonts w:cs="Arial"/>
          <w:color w:val="auto"/>
        </w:rPr>
        <w:t>, National Centre for Vocational Education Research (NCVER).</w:t>
      </w:r>
    </w:p>
  </w:endnote>
  <w:endnote w:id="4">
    <w:p w14:paraId="268F1F53" w14:textId="779F6A10" w:rsidR="00314768" w:rsidRPr="00D32424" w:rsidRDefault="00314768" w:rsidP="00314768">
      <w:pPr>
        <w:pStyle w:val="ListBullet6"/>
        <w:ind w:left="426" w:hanging="426"/>
        <w:rPr>
          <w:rFonts w:cs="Arial"/>
          <w:color w:val="auto"/>
        </w:rPr>
      </w:pPr>
      <w:r w:rsidRPr="7AD33374">
        <w:rPr>
          <w:rFonts w:cs="Arial"/>
          <w:color w:val="auto"/>
        </w:rPr>
        <w:t xml:space="preserve">Australian Bureau of Statistics (ABS) (2022) </w:t>
      </w:r>
      <w:r w:rsidR="00B47358">
        <w:rPr>
          <w:rFonts w:cs="Arial"/>
          <w:color w:val="auto"/>
        </w:rPr>
        <w:t>‘</w:t>
      </w:r>
      <w:r w:rsidRPr="7AD33374">
        <w:rPr>
          <w:rFonts w:cs="Arial"/>
          <w:color w:val="auto"/>
        </w:rPr>
        <w:t>Occupation by industry of employment</w:t>
      </w:r>
      <w:r w:rsidR="00B47358">
        <w:rPr>
          <w:rFonts w:cs="Arial"/>
          <w:color w:val="auto"/>
        </w:rPr>
        <w:t>’</w:t>
      </w:r>
      <w:r w:rsidR="00E81084">
        <w:rPr>
          <w:rFonts w:cs="Arial"/>
          <w:color w:val="auto"/>
        </w:rPr>
        <w:t xml:space="preserve"> in</w:t>
      </w:r>
      <w:r w:rsidRPr="7AD33374">
        <w:rPr>
          <w:rFonts w:cs="Arial"/>
          <w:color w:val="auto"/>
        </w:rPr>
        <w:t> </w:t>
      </w:r>
      <w:r w:rsidRPr="00B47358">
        <w:rPr>
          <w:rFonts w:cs="Arial"/>
          <w:i/>
          <w:iCs/>
          <w:color w:val="auto"/>
        </w:rPr>
        <w:t xml:space="preserve">2021 </w:t>
      </w:r>
      <w:r w:rsidR="00E81084" w:rsidRPr="00B47358">
        <w:rPr>
          <w:rFonts w:cs="Arial"/>
          <w:i/>
          <w:iCs/>
          <w:color w:val="auto"/>
        </w:rPr>
        <w:t>Census</w:t>
      </w:r>
      <w:r w:rsidR="00E81084">
        <w:rPr>
          <w:rFonts w:cs="Arial"/>
          <w:i/>
          <w:iCs/>
          <w:color w:val="auto"/>
        </w:rPr>
        <w:t xml:space="preserve">, </w:t>
      </w:r>
      <w:r w:rsidR="00E81084" w:rsidRPr="00B47358">
        <w:rPr>
          <w:rFonts w:cs="Arial"/>
          <w:i/>
          <w:iCs/>
          <w:color w:val="auto"/>
        </w:rPr>
        <w:t>Counting</w:t>
      </w:r>
      <w:r w:rsidRPr="00B47358">
        <w:rPr>
          <w:rFonts w:cs="Arial"/>
          <w:i/>
          <w:iCs/>
          <w:color w:val="auto"/>
        </w:rPr>
        <w:t xml:space="preserve"> persons, Place of usual residence</w:t>
      </w:r>
      <w:r w:rsidRPr="7AD33374">
        <w:rPr>
          <w:rFonts w:cs="Arial"/>
          <w:color w:val="auto"/>
        </w:rPr>
        <w:t xml:space="preserve"> [Table Builder], ABS website, accessed 28 August 2023.</w:t>
      </w:r>
    </w:p>
  </w:endnote>
  <w:endnote w:id="5">
    <w:p w14:paraId="2CDD7139" w14:textId="58CC2230" w:rsidR="008F75E2" w:rsidRPr="00D32424" w:rsidRDefault="7AD33374" w:rsidP="00C743BB">
      <w:pPr>
        <w:pStyle w:val="ListBullet6"/>
        <w:ind w:left="426" w:hanging="426"/>
        <w:rPr>
          <w:rFonts w:cs="Arial"/>
          <w:color w:val="auto"/>
        </w:rPr>
      </w:pPr>
      <w:r w:rsidRPr="7AD33374">
        <w:rPr>
          <w:rFonts w:cs="Arial"/>
          <w:color w:val="auto"/>
        </w:rPr>
        <w:t xml:space="preserve">ABS (2024) </w:t>
      </w:r>
      <w:hyperlink r:id="rId3">
        <w:r w:rsidRPr="7AD33374">
          <w:rPr>
            <w:rStyle w:val="Hyperlink"/>
            <w:rFonts w:cs="Arial"/>
            <w:i/>
            <w:iCs/>
          </w:rPr>
          <w:t>Updating ANZSCO: Reflecting a Modern Australian labour Market, [Preliminary] Proposed Changes</w:t>
        </w:r>
      </w:hyperlink>
      <w:r w:rsidRPr="7AD33374">
        <w:rPr>
          <w:rFonts w:cs="Arial"/>
          <w:color w:val="auto"/>
        </w:rPr>
        <w:t>, Version 2.0, ABS Website, accessed 19 June 2024.</w:t>
      </w:r>
    </w:p>
  </w:endnote>
  <w:endnote w:id="6">
    <w:p w14:paraId="1A1A3F1C" w14:textId="4FBAC22F" w:rsidR="00434811" w:rsidRPr="00D32424" w:rsidRDefault="7AD33374" w:rsidP="00C743BB">
      <w:pPr>
        <w:pStyle w:val="ListBullet6"/>
        <w:ind w:left="426" w:hanging="426"/>
        <w:rPr>
          <w:rFonts w:cs="Arial"/>
          <w:color w:val="auto"/>
        </w:rPr>
      </w:pPr>
      <w:r w:rsidRPr="7AD33374">
        <w:rPr>
          <w:rFonts w:cs="Arial"/>
          <w:color w:val="auto"/>
        </w:rPr>
        <w:t xml:space="preserve">Guthrie H, Waters M, de Leo J, Lees M, White I and Waugh J (unpublished) </w:t>
      </w:r>
      <w:r w:rsidRPr="00F4547D">
        <w:rPr>
          <w:rFonts w:cs="Arial"/>
          <w:i/>
          <w:iCs/>
          <w:color w:val="auto"/>
        </w:rPr>
        <w:t>VET Workforce Blueprint Project: NCVER Data and Research to Inform the VET Workforce Blueprint Project</w:t>
      </w:r>
      <w:r w:rsidRPr="7AD33374">
        <w:rPr>
          <w:rFonts w:cs="Arial"/>
          <w:color w:val="auto"/>
        </w:rPr>
        <w:t xml:space="preserve">, NCVER. </w:t>
      </w:r>
    </w:p>
  </w:endnote>
  <w:endnote w:id="7">
    <w:p w14:paraId="0288D600" w14:textId="59A40CEF" w:rsidR="00B174EA" w:rsidRPr="00D32424" w:rsidRDefault="7AD33374" w:rsidP="00C743BB">
      <w:pPr>
        <w:pStyle w:val="ListBullet6"/>
        <w:ind w:left="426" w:hanging="426"/>
        <w:rPr>
          <w:rFonts w:cs="Arial"/>
          <w:color w:val="auto"/>
        </w:rPr>
      </w:pPr>
      <w:r w:rsidRPr="7AD33374">
        <w:rPr>
          <w:rFonts w:cs="Arial"/>
          <w:color w:val="auto"/>
        </w:rPr>
        <w:t xml:space="preserve">Wheelahan L and Curtin E (2010) </w:t>
      </w:r>
      <w:r w:rsidRPr="00BA0331">
        <w:rPr>
          <w:rFonts w:cs="Arial"/>
          <w:i/>
          <w:iCs/>
        </w:rPr>
        <w:t>The quality of teaching in VET</w:t>
      </w:r>
      <w:r w:rsidRPr="7AD33374">
        <w:rPr>
          <w:rFonts w:cs="Arial"/>
          <w:color w:val="auto"/>
        </w:rPr>
        <w:t>, Australian College of Educators, accessed 17 November 2023.</w:t>
      </w:r>
    </w:p>
  </w:endnote>
  <w:endnote w:id="8">
    <w:p w14:paraId="17CBD270" w14:textId="52C6C9D9" w:rsidR="008127E7" w:rsidRPr="00D32424" w:rsidRDefault="7AD33374" w:rsidP="00C743BB">
      <w:pPr>
        <w:pStyle w:val="ListBullet6"/>
        <w:ind w:left="426" w:hanging="426"/>
        <w:rPr>
          <w:rFonts w:cs="Arial"/>
          <w:color w:val="auto"/>
        </w:rPr>
      </w:pPr>
      <w:r w:rsidRPr="7AD33374">
        <w:rPr>
          <w:rFonts w:cs="Arial"/>
          <w:color w:val="auto"/>
        </w:rPr>
        <w:t xml:space="preserve">Productivity Commission (2011) </w:t>
      </w:r>
      <w:hyperlink r:id="rId4">
        <w:r w:rsidRPr="7AD33374">
          <w:rPr>
            <w:rStyle w:val="Hyperlink"/>
            <w:rFonts w:cs="Arial"/>
            <w:i/>
            <w:iCs/>
          </w:rPr>
          <w:t>Vocational education and training workforce research report</w:t>
        </w:r>
      </w:hyperlink>
      <w:r w:rsidRPr="7AD33374">
        <w:rPr>
          <w:rFonts w:cs="Arial"/>
          <w:color w:val="auto"/>
        </w:rPr>
        <w:t>, Productivity Commission, Australian Government.</w:t>
      </w:r>
    </w:p>
  </w:endnote>
  <w:endnote w:id="9">
    <w:p w14:paraId="2D6FD57A" w14:textId="2CB17B11" w:rsidR="00A4756C" w:rsidRPr="00D32424" w:rsidRDefault="7AD33374" w:rsidP="00C743BB">
      <w:pPr>
        <w:pStyle w:val="ListBullet6"/>
        <w:ind w:left="426" w:hanging="426"/>
        <w:rPr>
          <w:rFonts w:cs="Arial"/>
          <w:color w:val="auto"/>
        </w:rPr>
      </w:pPr>
      <w:r w:rsidRPr="7AD33374">
        <w:rPr>
          <w:rFonts w:cs="Arial"/>
          <w:color w:val="auto"/>
        </w:rPr>
        <w:t xml:space="preserve">Knight G, White I and Granfield P (2020) </w:t>
      </w:r>
      <w:hyperlink r:id="rId5">
        <w:r w:rsidRPr="7AD33374">
          <w:rPr>
            <w:rStyle w:val="Hyperlink"/>
            <w:rFonts w:cs="Arial"/>
            <w:i/>
            <w:iCs/>
          </w:rPr>
          <w:t>Understanding the Australian vocational education and training workforce</w:t>
        </w:r>
      </w:hyperlink>
      <w:r w:rsidRPr="7AD33374">
        <w:rPr>
          <w:rFonts w:cs="Arial"/>
          <w:color w:val="auto"/>
        </w:rPr>
        <w:t>, NCVER.</w:t>
      </w:r>
    </w:p>
  </w:endnote>
  <w:endnote w:id="10">
    <w:p w14:paraId="4D9FE856" w14:textId="77777777" w:rsidR="009E2189" w:rsidRPr="00D32424" w:rsidRDefault="7AD33374" w:rsidP="00C743BB">
      <w:pPr>
        <w:pStyle w:val="ListBullet6"/>
        <w:ind w:left="426" w:hanging="426"/>
        <w:rPr>
          <w:rFonts w:cs="Arial"/>
          <w:color w:val="auto"/>
        </w:rPr>
      </w:pPr>
      <w:r w:rsidRPr="7AD33374">
        <w:rPr>
          <w:rFonts w:cs="Arial"/>
          <w:color w:val="auto"/>
        </w:rPr>
        <w:t xml:space="preserve">NCVER (2023) </w:t>
      </w:r>
      <w:hyperlink r:id="rId6">
        <w:r w:rsidRPr="7AD33374">
          <w:rPr>
            <w:rStyle w:val="Hyperlink"/>
            <w:rFonts w:cs="Arial"/>
            <w:i/>
            <w:iCs/>
          </w:rPr>
          <w:t>VET student outcomes 2023</w:t>
        </w:r>
      </w:hyperlink>
      <w:r w:rsidRPr="7AD33374">
        <w:rPr>
          <w:rFonts w:cs="Arial"/>
          <w:color w:val="auto"/>
        </w:rPr>
        <w:t>, NCVER, accessed 20 December 2023.</w:t>
      </w:r>
    </w:p>
  </w:endnote>
  <w:endnote w:id="11">
    <w:p w14:paraId="43A01293" w14:textId="4AB8528D" w:rsidR="00947C6C" w:rsidRPr="00D32424" w:rsidRDefault="7AD33374" w:rsidP="00C743BB">
      <w:pPr>
        <w:pStyle w:val="ListBullet6"/>
        <w:ind w:left="426" w:hanging="426"/>
        <w:rPr>
          <w:rFonts w:cs="Arial"/>
          <w:color w:val="auto"/>
        </w:rPr>
      </w:pPr>
      <w:r w:rsidRPr="7AD33374">
        <w:rPr>
          <w:rFonts w:cs="Arial"/>
          <w:color w:val="auto"/>
        </w:rPr>
        <w:t xml:space="preserve">Palmer B (2021) </w:t>
      </w:r>
      <w:hyperlink r:id="rId7">
        <w:r w:rsidRPr="7AD33374">
          <w:rPr>
            <w:rStyle w:val="Hyperlink"/>
            <w:rFonts w:cs="Arial"/>
            <w:i/>
            <w:iCs/>
          </w:rPr>
          <w:t>An analysis of ‘micro-credentials’ in VET</w:t>
        </w:r>
      </w:hyperlink>
      <w:r w:rsidRPr="7AD33374">
        <w:rPr>
          <w:rFonts w:cs="Arial"/>
          <w:color w:val="auto"/>
        </w:rPr>
        <w:t>, NCVER, accessed 17 November 2023.</w:t>
      </w:r>
    </w:p>
  </w:endnote>
  <w:endnote w:id="12">
    <w:p w14:paraId="53F7446F" w14:textId="6DDD94A3" w:rsidR="008127E7" w:rsidRPr="00D32424" w:rsidRDefault="7AD33374" w:rsidP="00C743BB">
      <w:pPr>
        <w:pStyle w:val="ListBullet6"/>
        <w:ind w:left="426" w:hanging="426"/>
        <w:rPr>
          <w:rFonts w:cs="Arial"/>
          <w:color w:val="auto"/>
        </w:rPr>
      </w:pPr>
      <w:r w:rsidRPr="7AD33374">
        <w:rPr>
          <w:rFonts w:cs="Arial"/>
          <w:color w:val="auto"/>
        </w:rPr>
        <w:t xml:space="preserve">NCVER (n.d.) </w:t>
      </w:r>
      <w:r w:rsidRPr="7AD33374">
        <w:rPr>
          <w:rFonts w:cs="Arial"/>
        </w:rPr>
        <w:t>DataBuilder (ncver.edu.au)</w:t>
      </w:r>
      <w:r w:rsidRPr="7AD33374">
        <w:rPr>
          <w:rFonts w:cs="Arial"/>
          <w:color w:val="auto"/>
        </w:rPr>
        <w:t>,</w:t>
      </w:r>
      <w:r w:rsidRPr="7AD33374">
        <w:rPr>
          <w:rFonts w:cs="Arial"/>
        </w:rPr>
        <w:t xml:space="preserve"> accessed 9 April 2024.</w:t>
      </w:r>
    </w:p>
  </w:endnote>
  <w:endnote w:id="13">
    <w:p w14:paraId="7F6C2F17" w14:textId="77777777" w:rsidR="00077A99" w:rsidRPr="00D32424" w:rsidRDefault="7AD33374" w:rsidP="00C743BB">
      <w:pPr>
        <w:pStyle w:val="ListBullet6"/>
        <w:ind w:left="426" w:hanging="426"/>
        <w:rPr>
          <w:rFonts w:cs="Arial"/>
          <w:color w:val="auto"/>
        </w:rPr>
      </w:pPr>
      <w:r w:rsidRPr="7AD33374">
        <w:rPr>
          <w:rFonts w:cs="Arial"/>
          <w:color w:val="auto"/>
        </w:rPr>
        <w:t xml:space="preserve">Victoria University (2023) </w:t>
      </w:r>
      <w:hyperlink r:id="rId8">
        <w:r w:rsidRPr="7AD33374">
          <w:rPr>
            <w:rStyle w:val="Hyperlink"/>
            <w:rFonts w:cs="Arial"/>
            <w:i/>
            <w:iCs/>
          </w:rPr>
          <w:t>Employment Projections</w:t>
        </w:r>
      </w:hyperlink>
      <w:r w:rsidRPr="7AD33374">
        <w:rPr>
          <w:rFonts w:cs="Arial"/>
          <w:color w:val="auto"/>
        </w:rPr>
        <w:t>, produced for the Australian Government Jobs and Skills Australia, accessed 17 November 2023.</w:t>
      </w:r>
    </w:p>
  </w:endnote>
  <w:endnote w:id="14">
    <w:p w14:paraId="20FC03BF" w14:textId="32E56BF2" w:rsidR="4D29DDFB" w:rsidRPr="00D32424" w:rsidRDefault="7AD33374" w:rsidP="00C743BB">
      <w:pPr>
        <w:pStyle w:val="ListBullet6"/>
        <w:ind w:left="426" w:hanging="426"/>
        <w:rPr>
          <w:rFonts w:cs="Arial"/>
          <w:color w:val="auto"/>
        </w:rPr>
      </w:pPr>
      <w:r w:rsidRPr="7AD33374">
        <w:rPr>
          <w:rFonts w:cs="Arial"/>
          <w:color w:val="auto"/>
        </w:rPr>
        <w:t xml:space="preserve">Fair Work Commission (FWC) (2020) ‘Section 2. Definitions’ in </w:t>
      </w:r>
      <w:hyperlink r:id="rId9">
        <w:r w:rsidRPr="7AD33374">
          <w:rPr>
            <w:rStyle w:val="Hyperlink"/>
            <w:rFonts w:cs="Arial"/>
            <w:i/>
            <w:iCs/>
          </w:rPr>
          <w:t>Educational Services (Post-Secondary Education) Award 2020</w:t>
        </w:r>
      </w:hyperlink>
      <w:r w:rsidRPr="7AD33374">
        <w:rPr>
          <w:rFonts w:cs="Arial"/>
          <w:color w:val="auto"/>
        </w:rPr>
        <w:t>, FWC website, accessed 17 November 2023.</w:t>
      </w:r>
    </w:p>
  </w:endnote>
  <w:endnote w:id="15">
    <w:p w14:paraId="0449E7B5" w14:textId="21ED902D" w:rsidR="00630B3A" w:rsidRPr="00D32424" w:rsidRDefault="7AD33374" w:rsidP="00C743BB">
      <w:pPr>
        <w:pStyle w:val="ListBullet6"/>
        <w:ind w:left="426" w:hanging="426"/>
        <w:rPr>
          <w:rFonts w:cs="Arial"/>
          <w:color w:val="auto"/>
        </w:rPr>
      </w:pPr>
      <w:r w:rsidRPr="7AD33374">
        <w:rPr>
          <w:rFonts w:cs="Arial"/>
          <w:color w:val="auto"/>
        </w:rPr>
        <w:t xml:space="preserve">Oliver D (2013) ‘The strategic impact of industrial relations among tertiary education providers’ in Beddie F, O’Connor L &amp; Curtin P (eds) </w:t>
      </w:r>
      <w:r w:rsidRPr="7AD33374">
        <w:rPr>
          <w:rFonts w:cs="Arial"/>
          <w:i/>
          <w:iCs/>
          <w:color w:val="auto"/>
        </w:rPr>
        <w:t>Structures in tertiary education and training: a kaleidoscope or merely fragments?</w:t>
      </w:r>
      <w:r w:rsidRPr="7AD33374">
        <w:rPr>
          <w:rFonts w:cs="Arial"/>
          <w:color w:val="auto"/>
        </w:rPr>
        <w:t xml:space="preserve"> Research readings, NCVER.  </w:t>
      </w:r>
    </w:p>
  </w:endnote>
  <w:endnote w:id="16">
    <w:p w14:paraId="1F936BE6" w14:textId="1525EAF9" w:rsidR="006B4FEB" w:rsidRDefault="00707514" w:rsidP="009F7F8E">
      <w:pPr>
        <w:pStyle w:val="ListBullet6"/>
        <w:ind w:left="426" w:hanging="426"/>
      </w:pPr>
      <w:r w:rsidRPr="009F7F8E">
        <w:rPr>
          <w:rFonts w:cs="Arial"/>
          <w:color w:val="auto"/>
        </w:rPr>
        <w:t xml:space="preserve">NSW Department of Education (2024) </w:t>
      </w:r>
      <w:r w:rsidR="00341475">
        <w:rPr>
          <w:rFonts w:cs="Arial"/>
          <w:color w:val="auto"/>
        </w:rPr>
        <w:t>‘</w:t>
      </w:r>
      <w:hyperlink r:id="rId10" w:history="1">
        <w:r w:rsidR="00D12C6A" w:rsidRPr="009F7F8E">
          <w:rPr>
            <w:rFonts w:cs="Arial"/>
          </w:rPr>
          <w:t>NSW Budget: A boost to TAFE NSW with record investment</w:t>
        </w:r>
      </w:hyperlink>
      <w:r w:rsidR="00341475">
        <w:rPr>
          <w:rFonts w:cs="Arial"/>
        </w:rPr>
        <w:t>’</w:t>
      </w:r>
      <w:r w:rsidRPr="009F7F8E">
        <w:rPr>
          <w:rFonts w:cs="Arial"/>
          <w:color w:val="auto"/>
        </w:rPr>
        <w:t xml:space="preserve">, </w:t>
      </w:r>
      <w:r w:rsidR="008C1E02" w:rsidRPr="009F7F8E">
        <w:rPr>
          <w:rFonts w:cs="Arial"/>
          <w:color w:val="auto"/>
        </w:rPr>
        <w:t>NSW Government website, accessed 28 June 2024.</w:t>
      </w:r>
    </w:p>
  </w:endnote>
  <w:endnote w:id="17">
    <w:p w14:paraId="18D34B2F" w14:textId="2BC91579" w:rsidR="00A6421D" w:rsidRPr="00D32424" w:rsidRDefault="7AD33374" w:rsidP="00C743BB">
      <w:pPr>
        <w:pStyle w:val="ListBullet6"/>
        <w:ind w:left="426" w:hanging="426"/>
        <w:rPr>
          <w:rFonts w:cs="Arial"/>
          <w:color w:val="auto"/>
        </w:rPr>
      </w:pPr>
      <w:r w:rsidRPr="7AD33374">
        <w:rPr>
          <w:rFonts w:cs="Arial"/>
          <w:color w:val="auto"/>
        </w:rPr>
        <w:t xml:space="preserve">Knight G, White I and Granfield P (2020) </w:t>
      </w:r>
      <w:hyperlink r:id="rId11">
        <w:r w:rsidRPr="7AD33374">
          <w:rPr>
            <w:rStyle w:val="Hyperlink"/>
            <w:rFonts w:cs="Arial"/>
            <w:i/>
            <w:iCs/>
          </w:rPr>
          <w:t>Understanding the Australian vocational education and training workforce</w:t>
        </w:r>
      </w:hyperlink>
      <w:r w:rsidRPr="7AD33374">
        <w:rPr>
          <w:rFonts w:cs="Arial"/>
          <w:color w:val="auto"/>
        </w:rPr>
        <w:t>, NCVER. </w:t>
      </w:r>
    </w:p>
  </w:endnote>
  <w:endnote w:id="18">
    <w:p w14:paraId="7CF80B09" w14:textId="6D8704D8" w:rsidR="00A6421D" w:rsidRPr="00D32424" w:rsidRDefault="7AD33374" w:rsidP="00C743BB">
      <w:pPr>
        <w:pStyle w:val="ListBullet6"/>
        <w:ind w:left="426" w:hanging="426"/>
        <w:rPr>
          <w:rFonts w:cs="Arial"/>
          <w:color w:val="auto"/>
        </w:rPr>
      </w:pPr>
      <w:r w:rsidRPr="7AD33374">
        <w:rPr>
          <w:rFonts w:cs="Arial"/>
          <w:color w:val="auto"/>
        </w:rPr>
        <w:t xml:space="preserve">Productivity Commission (2011) </w:t>
      </w:r>
      <w:hyperlink r:id="rId12">
        <w:r w:rsidRPr="7AD33374">
          <w:rPr>
            <w:rStyle w:val="Hyperlink"/>
            <w:rFonts w:cs="Arial"/>
            <w:i/>
            <w:iCs/>
          </w:rPr>
          <w:t>Vocational education and training workforce research report</w:t>
        </w:r>
      </w:hyperlink>
      <w:r w:rsidRPr="7AD33374">
        <w:rPr>
          <w:rFonts w:cs="Arial"/>
          <w:color w:val="auto"/>
        </w:rPr>
        <w:t>, Productivity Commission, Australian Government.</w:t>
      </w:r>
    </w:p>
  </w:endnote>
  <w:endnote w:id="19">
    <w:p w14:paraId="6E007B97" w14:textId="0E78B6A4" w:rsidR="00A6421D" w:rsidRPr="00D32424" w:rsidRDefault="7AD33374" w:rsidP="00C743BB">
      <w:pPr>
        <w:pStyle w:val="ListBullet6"/>
        <w:ind w:left="426" w:hanging="426"/>
        <w:rPr>
          <w:rFonts w:cs="Arial"/>
          <w:color w:val="auto"/>
        </w:rPr>
      </w:pPr>
      <w:r w:rsidRPr="7AD33374">
        <w:rPr>
          <w:rFonts w:cs="Arial"/>
          <w:color w:val="auto"/>
        </w:rPr>
        <w:t xml:space="preserve">Australian Institute for Teaching and School Leadership (September 2023) </w:t>
      </w:r>
      <w:hyperlink r:id="rId13">
        <w:r w:rsidRPr="7AD33374">
          <w:rPr>
            <w:rStyle w:val="Hyperlink"/>
            <w:rFonts w:cs="Arial"/>
            <w:i/>
            <w:iCs/>
          </w:rPr>
          <w:t>Spotlight Australia’s teacher workforce today</w:t>
        </w:r>
      </w:hyperlink>
      <w:r w:rsidRPr="7AD33374">
        <w:rPr>
          <w:rFonts w:cs="Arial"/>
          <w:color w:val="auto"/>
        </w:rPr>
        <w:t>, AITSL website, accessed 29 March 2024. </w:t>
      </w:r>
    </w:p>
  </w:endnote>
  <w:endnote w:id="20">
    <w:p w14:paraId="23924C04" w14:textId="72B466DC" w:rsidR="00A6421D" w:rsidRPr="00D32424" w:rsidRDefault="7AD33374" w:rsidP="00C743BB">
      <w:pPr>
        <w:pStyle w:val="ListBullet6"/>
        <w:ind w:left="426" w:hanging="426"/>
        <w:rPr>
          <w:rFonts w:cs="Arial"/>
          <w:color w:val="auto"/>
        </w:rPr>
      </w:pPr>
      <w:r w:rsidRPr="7AD33374">
        <w:rPr>
          <w:rFonts w:cs="Arial"/>
          <w:color w:val="auto"/>
        </w:rPr>
        <w:t>Guthrie H and Loveder P (2009) ‘The ageing TVET workforce in Australia: issues and challenges’, in Maclean</w:t>
      </w:r>
      <w:r w:rsidR="00EA7AC1">
        <w:rPr>
          <w:rFonts w:cs="Arial"/>
          <w:color w:val="auto"/>
        </w:rPr>
        <w:t xml:space="preserve"> R</w:t>
      </w:r>
      <w:r w:rsidRPr="7AD33374">
        <w:rPr>
          <w:rFonts w:cs="Arial"/>
          <w:color w:val="auto"/>
        </w:rPr>
        <w:t xml:space="preserve"> &amp; Wilson </w:t>
      </w:r>
      <w:r w:rsidR="00EA7AC1">
        <w:rPr>
          <w:rFonts w:cs="Arial"/>
          <w:color w:val="auto"/>
        </w:rPr>
        <w:t>D</w:t>
      </w:r>
      <w:r w:rsidRPr="7AD33374">
        <w:rPr>
          <w:rFonts w:cs="Arial"/>
          <w:color w:val="auto"/>
        </w:rPr>
        <w:t xml:space="preserve">(eds), </w:t>
      </w:r>
      <w:r w:rsidRPr="7AD33374">
        <w:rPr>
          <w:rFonts w:cs="Arial"/>
          <w:i/>
          <w:iCs/>
          <w:color w:val="auto"/>
        </w:rPr>
        <w:t>International Handbook of Education for the Changing World of Work</w:t>
      </w:r>
      <w:r w:rsidRPr="7AD33374">
        <w:rPr>
          <w:rFonts w:cs="Arial"/>
          <w:color w:val="auto"/>
        </w:rPr>
        <w:t>, Springer, Dordrecht. </w:t>
      </w:r>
    </w:p>
  </w:endnote>
  <w:endnote w:id="21">
    <w:p w14:paraId="3E7AF3B8" w14:textId="715DA04B" w:rsidR="00A6421D" w:rsidRPr="00D32424" w:rsidRDefault="7AD33374" w:rsidP="00C743BB">
      <w:pPr>
        <w:pStyle w:val="ListBullet6"/>
        <w:ind w:left="426" w:hanging="426"/>
        <w:rPr>
          <w:rFonts w:cs="Arial"/>
          <w:color w:val="auto"/>
        </w:rPr>
      </w:pPr>
      <w:r w:rsidRPr="7AD33374">
        <w:rPr>
          <w:rFonts w:cs="Arial"/>
          <w:color w:val="auto"/>
        </w:rPr>
        <w:t xml:space="preserve">Productivity Commission (2011) </w:t>
      </w:r>
      <w:hyperlink r:id="rId14">
        <w:r w:rsidRPr="7AD33374">
          <w:rPr>
            <w:rStyle w:val="Hyperlink"/>
            <w:rFonts w:cs="Arial"/>
            <w:i/>
            <w:iCs/>
          </w:rPr>
          <w:t>Vocational education and training workforce research report</w:t>
        </w:r>
      </w:hyperlink>
      <w:r w:rsidRPr="7AD33374">
        <w:rPr>
          <w:rFonts w:cs="Arial"/>
          <w:color w:val="auto"/>
        </w:rPr>
        <w:t>, Productivity Commission, Australian Government.</w:t>
      </w:r>
    </w:p>
  </w:endnote>
  <w:endnote w:id="22">
    <w:p w14:paraId="0DE4B183" w14:textId="5F74A32D" w:rsidR="00A6421D" w:rsidRPr="00D32424" w:rsidRDefault="7AD33374" w:rsidP="00C743BB">
      <w:pPr>
        <w:pStyle w:val="ListBullet6"/>
        <w:ind w:left="426" w:hanging="426"/>
        <w:rPr>
          <w:rFonts w:cs="Arial"/>
          <w:color w:val="auto"/>
        </w:rPr>
      </w:pPr>
      <w:r w:rsidRPr="7AD33374">
        <w:rPr>
          <w:rFonts w:cs="Arial"/>
          <w:color w:val="auto"/>
        </w:rPr>
        <w:t xml:space="preserve">Smith E (2020) </w:t>
      </w:r>
      <w:hyperlink r:id="rId15">
        <w:r w:rsidRPr="7AD33374">
          <w:rPr>
            <w:rStyle w:val="Hyperlink"/>
            <w:rFonts w:cs="Arial"/>
            <w:i/>
            <w:iCs/>
          </w:rPr>
          <w:t>The VET teaching Workforce in Australia</w:t>
        </w:r>
      </w:hyperlink>
      <w:r w:rsidRPr="7AD33374">
        <w:rPr>
          <w:rFonts w:cs="Arial"/>
          <w:color w:val="auto"/>
        </w:rPr>
        <w:t>. Federation University Australia, Ballarat. </w:t>
      </w:r>
    </w:p>
  </w:endnote>
  <w:endnote w:id="23">
    <w:p w14:paraId="197AB600" w14:textId="437410D7" w:rsidR="00A6421D" w:rsidRPr="00D32424" w:rsidRDefault="7AD33374" w:rsidP="00C743BB">
      <w:pPr>
        <w:pStyle w:val="ListBullet6"/>
        <w:ind w:left="426" w:hanging="426"/>
        <w:rPr>
          <w:rFonts w:cs="Arial"/>
          <w:color w:val="auto"/>
        </w:rPr>
      </w:pPr>
      <w:r w:rsidRPr="7AD33374">
        <w:rPr>
          <w:rFonts w:cs="Arial"/>
          <w:color w:val="auto"/>
        </w:rPr>
        <w:t xml:space="preserve">Guthrie H and Waters M (unpublished) </w:t>
      </w:r>
      <w:r w:rsidRPr="7AD33374">
        <w:rPr>
          <w:rFonts w:cs="Arial"/>
          <w:i/>
          <w:iCs/>
          <w:color w:val="auto"/>
        </w:rPr>
        <w:t>VET Workforce Blueprint Project - Literature Review</w:t>
      </w:r>
      <w:r w:rsidRPr="7AD33374">
        <w:rPr>
          <w:rFonts w:cs="Arial"/>
          <w:color w:val="auto"/>
        </w:rPr>
        <w:t>, NCVER.</w:t>
      </w:r>
    </w:p>
  </w:endnote>
  <w:endnote w:id="24">
    <w:p w14:paraId="13A4D573" w14:textId="3FE4EAB3" w:rsidR="00A6421D" w:rsidRPr="00D32424" w:rsidRDefault="7AD33374" w:rsidP="00C743BB">
      <w:pPr>
        <w:pStyle w:val="ListBullet6"/>
        <w:ind w:left="426" w:hanging="426"/>
        <w:rPr>
          <w:rFonts w:cs="Arial"/>
          <w:color w:val="auto"/>
        </w:rPr>
      </w:pPr>
      <w:r w:rsidRPr="7AD33374">
        <w:rPr>
          <w:rFonts w:cs="Arial"/>
          <w:color w:val="auto"/>
        </w:rPr>
        <w:t xml:space="preserve">Knight G, White I and Granfield P (2020) </w:t>
      </w:r>
      <w:hyperlink r:id="rId16">
        <w:r w:rsidRPr="7AD33374">
          <w:rPr>
            <w:rStyle w:val="Hyperlink"/>
            <w:rFonts w:cs="Arial"/>
            <w:i/>
            <w:iCs/>
          </w:rPr>
          <w:t>Understanding the Australian vocational education and training workforce</w:t>
        </w:r>
      </w:hyperlink>
      <w:r w:rsidRPr="7AD33374">
        <w:rPr>
          <w:rFonts w:cs="Arial"/>
          <w:color w:val="auto"/>
        </w:rPr>
        <w:t>, NCVER, accessed 17 November 2023. </w:t>
      </w:r>
    </w:p>
  </w:endnote>
  <w:endnote w:id="25">
    <w:p w14:paraId="359D6024" w14:textId="09194FFC" w:rsidR="00A6421D" w:rsidRPr="00D32424" w:rsidRDefault="7AD33374" w:rsidP="00C743BB">
      <w:pPr>
        <w:pStyle w:val="ListBullet6"/>
        <w:ind w:left="426" w:hanging="426"/>
        <w:rPr>
          <w:rFonts w:cs="Arial"/>
          <w:color w:val="auto"/>
        </w:rPr>
      </w:pPr>
      <w:r w:rsidRPr="7AD33374">
        <w:rPr>
          <w:rFonts w:cs="Arial"/>
          <w:color w:val="auto"/>
        </w:rPr>
        <w:t xml:space="preserve">NCVER (2023) </w:t>
      </w:r>
      <w:hyperlink r:id="rId17">
        <w:r w:rsidRPr="7AD33374">
          <w:rPr>
            <w:rStyle w:val="Hyperlink"/>
            <w:rFonts w:cs="Arial"/>
            <w:i/>
            <w:iCs/>
          </w:rPr>
          <w:t>VET student outcomes 2023</w:t>
        </w:r>
      </w:hyperlink>
      <w:r w:rsidRPr="7AD33374">
        <w:rPr>
          <w:rFonts w:cs="Arial"/>
          <w:color w:val="auto"/>
        </w:rPr>
        <w:t>, NCVER website, accessed 20 December 2023. </w:t>
      </w:r>
    </w:p>
  </w:endnote>
  <w:endnote w:id="26">
    <w:p w14:paraId="6EE234DC" w14:textId="4052ED70" w:rsidR="00A6421D" w:rsidRPr="00D32424" w:rsidRDefault="7AD33374" w:rsidP="00C743BB">
      <w:pPr>
        <w:pStyle w:val="ListBullet6"/>
        <w:ind w:left="426" w:hanging="426"/>
        <w:rPr>
          <w:rFonts w:cs="Arial"/>
          <w:color w:val="auto"/>
        </w:rPr>
      </w:pPr>
      <w:r w:rsidRPr="7AD33374">
        <w:rPr>
          <w:rFonts w:cs="Arial"/>
          <w:color w:val="auto"/>
        </w:rPr>
        <w:t xml:space="preserve">ABS (2021) </w:t>
      </w:r>
      <w:hyperlink r:id="rId18">
        <w:r w:rsidRPr="7AD33374">
          <w:rPr>
            <w:rStyle w:val="Hyperlink"/>
            <w:rFonts w:cs="Arial"/>
            <w:i/>
            <w:iCs/>
          </w:rPr>
          <w:t>Employee Earnings and Hours, Australia</w:t>
        </w:r>
      </w:hyperlink>
      <w:r w:rsidRPr="7AD33374">
        <w:rPr>
          <w:rFonts w:cs="Arial"/>
          <w:color w:val="auto"/>
        </w:rPr>
        <w:t xml:space="preserve"> 2021 [TableBuilder], accessed 25 March 2024. </w:t>
      </w:r>
    </w:p>
  </w:endnote>
  <w:endnote w:id="27">
    <w:p w14:paraId="7712CF3C" w14:textId="478693C9" w:rsidR="00A6421D" w:rsidRPr="00D32424" w:rsidRDefault="7AD33374" w:rsidP="00C743BB">
      <w:pPr>
        <w:pStyle w:val="ListBullet6"/>
        <w:ind w:left="426" w:hanging="426"/>
        <w:rPr>
          <w:rFonts w:cs="Arial"/>
          <w:color w:val="auto"/>
        </w:rPr>
      </w:pPr>
      <w:r w:rsidRPr="7AD33374">
        <w:rPr>
          <w:rFonts w:cs="Arial"/>
          <w:color w:val="auto"/>
        </w:rPr>
        <w:t xml:space="preserve">Oliver D (2013) ‘The strategic impact of industrial relations among tertiary education providers’ in Beddie F, O’Connor L &amp; Curtin P (eds) </w:t>
      </w:r>
      <w:r w:rsidRPr="7AD33374">
        <w:rPr>
          <w:rFonts w:cs="Arial"/>
          <w:i/>
          <w:iCs/>
          <w:color w:val="auto"/>
        </w:rPr>
        <w:t>Structures in tertiary education and training: a kaleidoscope or merely fragments? Research readings</w:t>
      </w:r>
      <w:r w:rsidRPr="7AD33374">
        <w:rPr>
          <w:rFonts w:cs="Arial"/>
          <w:color w:val="auto"/>
        </w:rPr>
        <w:t>, NCVER.  </w:t>
      </w:r>
    </w:p>
  </w:endnote>
  <w:endnote w:id="28">
    <w:p w14:paraId="27A51F9E" w14:textId="7DEABBFD" w:rsidR="00A6421D" w:rsidRPr="00D32424" w:rsidRDefault="7AD33374" w:rsidP="00C743BB">
      <w:pPr>
        <w:pStyle w:val="ListBullet6"/>
        <w:ind w:left="426" w:hanging="426"/>
        <w:rPr>
          <w:rFonts w:cs="Arial"/>
          <w:color w:val="auto"/>
        </w:rPr>
      </w:pPr>
      <w:r w:rsidRPr="7AD33374">
        <w:rPr>
          <w:rFonts w:cs="Arial"/>
          <w:color w:val="auto"/>
        </w:rPr>
        <w:t xml:space="preserve">ABS (2021) </w:t>
      </w:r>
      <w:hyperlink r:id="rId19">
        <w:r w:rsidRPr="7AD33374">
          <w:rPr>
            <w:rStyle w:val="Hyperlink"/>
            <w:rFonts w:cs="Arial"/>
            <w:i/>
            <w:iCs/>
          </w:rPr>
          <w:t>Employee Earnings and Hours, Australia</w:t>
        </w:r>
      </w:hyperlink>
      <w:r w:rsidRPr="7AD33374">
        <w:rPr>
          <w:rFonts w:cs="Arial"/>
          <w:color w:val="auto"/>
        </w:rPr>
        <w:t xml:space="preserve"> 2021 [TableBuilder], accessed 25 March 2024. </w:t>
      </w:r>
    </w:p>
  </w:endnote>
  <w:endnote w:id="29">
    <w:p w14:paraId="0663CB23" w14:textId="75DEA02D" w:rsidR="008851E9" w:rsidRPr="00D32424" w:rsidRDefault="0056704C" w:rsidP="00C743BB">
      <w:pPr>
        <w:pStyle w:val="ListBullet6"/>
        <w:ind w:left="426" w:hanging="426"/>
        <w:rPr>
          <w:rFonts w:cs="Arial"/>
        </w:rPr>
      </w:pPr>
      <w:r w:rsidRPr="00BE5CBC">
        <w:rPr>
          <w:rFonts w:cs="Arial"/>
          <w:color w:val="auto"/>
        </w:rPr>
        <w:t xml:space="preserve">Tyler M and Dymock D (2021) </w:t>
      </w:r>
      <w:hyperlink r:id="rId20" w:history="1">
        <w:r w:rsidRPr="00DB56DA">
          <w:rPr>
            <w:rStyle w:val="Hyperlink"/>
            <w:rFonts w:cs="Arial"/>
            <w:i/>
            <w:iCs/>
          </w:rPr>
          <w:t>Attracting industry experts to become VET practitioners: a journey, not a destination</w:t>
        </w:r>
      </w:hyperlink>
      <w:r w:rsidRPr="00BE5CBC">
        <w:rPr>
          <w:rFonts w:cs="Arial"/>
          <w:color w:val="auto"/>
        </w:rPr>
        <w:t>, NCVER, accessed 17 November 2023.</w:t>
      </w:r>
    </w:p>
  </w:endnote>
  <w:endnote w:id="30">
    <w:p w14:paraId="57FDAF7F" w14:textId="4567DFBD" w:rsidR="0093479D" w:rsidRPr="00D32424" w:rsidRDefault="7AD33374" w:rsidP="00C743BB">
      <w:pPr>
        <w:pStyle w:val="ListBullet6"/>
        <w:ind w:left="426" w:hanging="426"/>
        <w:rPr>
          <w:rFonts w:cs="Arial"/>
          <w:color w:val="auto"/>
        </w:rPr>
      </w:pPr>
      <w:r w:rsidRPr="7AD33374">
        <w:rPr>
          <w:rFonts w:cs="Arial"/>
          <w:color w:val="auto"/>
        </w:rPr>
        <w:t xml:space="preserve">Australian Government (2023) </w:t>
      </w:r>
      <w:hyperlink r:id="rId21" w:history="1">
        <w:r w:rsidRPr="00B56980">
          <w:rPr>
            <w:rStyle w:val="Hyperlink"/>
            <w:rFonts w:cs="Arial"/>
            <w:i/>
            <w:iCs/>
          </w:rPr>
          <w:t>National Register of vocational education and training (VET)</w:t>
        </w:r>
      </w:hyperlink>
      <w:r w:rsidRPr="00B56980">
        <w:rPr>
          <w:rFonts w:cs="Arial"/>
        </w:rPr>
        <w:t xml:space="preserve">, </w:t>
      </w:r>
      <w:r w:rsidRPr="7AD33374">
        <w:rPr>
          <w:rStyle w:val="Hyperlink"/>
          <w:rFonts w:cs="Arial"/>
          <w:u w:val="none"/>
        </w:rPr>
        <w:t xml:space="preserve">Training.gov.au website, </w:t>
      </w:r>
      <w:r w:rsidRPr="7AD33374">
        <w:rPr>
          <w:rFonts w:cs="Arial"/>
          <w:color w:val="auto"/>
        </w:rPr>
        <w:t>Australian Government, accessed 20 October 2023.</w:t>
      </w:r>
    </w:p>
  </w:endnote>
  <w:endnote w:id="31">
    <w:p w14:paraId="28DF3620" w14:textId="1C4681D0" w:rsidR="0093479D" w:rsidRPr="00D32424" w:rsidRDefault="7AD33374" w:rsidP="00C743BB">
      <w:pPr>
        <w:pStyle w:val="ListBullet6"/>
        <w:ind w:left="426" w:hanging="426"/>
        <w:rPr>
          <w:rFonts w:cs="Arial"/>
          <w:color w:val="auto"/>
        </w:rPr>
      </w:pPr>
      <w:r w:rsidRPr="7AD33374">
        <w:rPr>
          <w:rFonts w:cs="Arial"/>
          <w:color w:val="auto"/>
        </w:rPr>
        <w:t xml:space="preserve">Parliament of Australia (2022) </w:t>
      </w:r>
      <w:hyperlink r:id="rId22" w:history="1">
        <w:r w:rsidRPr="00B56980">
          <w:rPr>
            <w:rStyle w:val="Hyperlink"/>
            <w:rFonts w:cs="Arial"/>
            <w:i/>
            <w:iCs/>
          </w:rPr>
          <w:t>Don’t take it as read: Inquiry into adult literacy and its importance</w:t>
        </w:r>
      </w:hyperlink>
      <w:r w:rsidRPr="7AD33374">
        <w:rPr>
          <w:rFonts w:cs="Arial"/>
          <w:color w:val="auto"/>
        </w:rPr>
        <w:t>, House of Representatives Standing Committee on Employment, Education and Training, Australian Government, accessed 19 February 2023.</w:t>
      </w:r>
    </w:p>
  </w:endnote>
  <w:endnote w:id="32">
    <w:p w14:paraId="08E43F1D" w14:textId="3FFB173F" w:rsidR="007475A4" w:rsidRPr="00D32424" w:rsidRDefault="7AD33374" w:rsidP="00C743BB">
      <w:pPr>
        <w:pStyle w:val="ListBullet6"/>
        <w:ind w:left="426" w:hanging="426"/>
        <w:rPr>
          <w:rFonts w:cs="Arial"/>
          <w:color w:val="auto"/>
        </w:rPr>
      </w:pPr>
      <w:r w:rsidRPr="7AD33374">
        <w:rPr>
          <w:rFonts w:cs="Arial"/>
          <w:color w:val="auto"/>
        </w:rPr>
        <w:t>ASQA (2020) </w:t>
      </w:r>
      <w:hyperlink r:id="rId23">
        <w:r w:rsidRPr="7AD33374">
          <w:rPr>
            <w:rStyle w:val="Hyperlink"/>
            <w:rFonts w:cs="Arial"/>
            <w:i/>
            <w:iCs/>
          </w:rPr>
          <w:t>Quality is a shared responsibility</w:t>
        </w:r>
      </w:hyperlink>
      <w:r w:rsidRPr="7AD33374">
        <w:rPr>
          <w:rFonts w:cs="Arial"/>
          <w:color w:val="auto"/>
        </w:rPr>
        <w:t xml:space="preserve">, ASQA, accessed 20 October 2023. </w:t>
      </w:r>
    </w:p>
  </w:endnote>
  <w:endnote w:id="33">
    <w:p w14:paraId="375603FE" w14:textId="3709E89A" w:rsidR="007475A4" w:rsidRPr="00D32424" w:rsidRDefault="7AD33374" w:rsidP="00C743BB">
      <w:pPr>
        <w:pStyle w:val="ListBullet6"/>
        <w:ind w:left="426" w:hanging="426"/>
        <w:rPr>
          <w:rFonts w:cs="Arial"/>
          <w:color w:val="auto"/>
        </w:rPr>
      </w:pPr>
      <w:r w:rsidRPr="7AD33374">
        <w:rPr>
          <w:rFonts w:cs="Arial"/>
          <w:color w:val="auto"/>
        </w:rPr>
        <w:t xml:space="preserve">Department of Employment and Workplace Relations (DEWR) (n.d.) </w:t>
      </w:r>
      <w:hyperlink r:id="rId24">
        <w:r w:rsidRPr="7AD33374">
          <w:rPr>
            <w:rStyle w:val="Hyperlink"/>
            <w:rFonts w:cs="Arial"/>
            <w:i/>
            <w:iCs/>
          </w:rPr>
          <w:t>Early changes to the current Standards for RTOs</w:t>
        </w:r>
      </w:hyperlink>
      <w:r w:rsidRPr="7AD33374">
        <w:rPr>
          <w:rFonts w:cs="Arial"/>
          <w:color w:val="auto"/>
        </w:rPr>
        <w:t xml:space="preserve">, DEWR, Australian Government, accessed 29 February 2024. </w:t>
      </w:r>
    </w:p>
  </w:endnote>
  <w:endnote w:id="34">
    <w:p w14:paraId="79E3F38C" w14:textId="5686381A" w:rsidR="007475A4" w:rsidRPr="00D32424" w:rsidRDefault="7AD33374" w:rsidP="00C743BB">
      <w:pPr>
        <w:pStyle w:val="ListBullet6"/>
        <w:ind w:left="426" w:hanging="426"/>
        <w:rPr>
          <w:rFonts w:cs="Arial"/>
          <w:color w:val="auto"/>
        </w:rPr>
      </w:pPr>
      <w:r w:rsidRPr="7AD33374">
        <w:rPr>
          <w:rFonts w:cs="Arial"/>
          <w:color w:val="auto"/>
        </w:rPr>
        <w:t xml:space="preserve">Guthrie H (2010) </w:t>
      </w:r>
      <w:hyperlink r:id="rId25">
        <w:r w:rsidRPr="7AD33374">
          <w:rPr>
            <w:rStyle w:val="Hyperlink"/>
            <w:rFonts w:cs="Arial"/>
            <w:i/>
            <w:iCs/>
          </w:rPr>
          <w:t>A short history of initial VET teacher training</w:t>
        </w:r>
      </w:hyperlink>
      <w:r w:rsidRPr="7AD33374">
        <w:rPr>
          <w:rFonts w:cs="Arial"/>
          <w:color w:val="auto"/>
        </w:rPr>
        <w:t>, NCVER, accessed 17 November 2023.</w:t>
      </w:r>
    </w:p>
  </w:endnote>
  <w:endnote w:id="35">
    <w:p w14:paraId="75D63550" w14:textId="37D6852D" w:rsidR="00B10213" w:rsidRPr="003D142F" w:rsidRDefault="7AD33374" w:rsidP="00C743BB">
      <w:pPr>
        <w:pStyle w:val="ListBullet6"/>
        <w:ind w:left="426" w:hanging="426"/>
        <w:rPr>
          <w:rFonts w:cs="Arial"/>
          <w:color w:val="auto"/>
          <w:spacing w:val="0"/>
        </w:rPr>
      </w:pPr>
      <w:r w:rsidRPr="003D142F">
        <w:rPr>
          <w:rFonts w:cs="Arial"/>
          <w:color w:val="auto"/>
          <w:spacing w:val="0"/>
        </w:rPr>
        <w:t xml:space="preserve">Smith E (2022) </w:t>
      </w:r>
      <w:r w:rsidR="00705F83">
        <w:rPr>
          <w:rFonts w:cs="Arial"/>
          <w:color w:val="auto"/>
          <w:spacing w:val="0"/>
        </w:rPr>
        <w:t>‘</w:t>
      </w:r>
      <w:hyperlink r:id="rId26" w:history="1">
        <w:r w:rsidRPr="00705F83">
          <w:rPr>
            <w:rStyle w:val="Hyperlink"/>
            <w:rFonts w:cs="Arial"/>
            <w:spacing w:val="0"/>
          </w:rPr>
          <w:t>Australian TVET teacher training – once flourishing but now neglected</w:t>
        </w:r>
      </w:hyperlink>
      <w:r w:rsidR="00705F83">
        <w:rPr>
          <w:rStyle w:val="Hyperlink"/>
          <w:rFonts w:cs="Arial"/>
          <w:spacing w:val="0"/>
        </w:rPr>
        <w:t>’</w:t>
      </w:r>
      <w:r w:rsidRPr="7AD33374">
        <w:rPr>
          <w:rFonts w:cs="Arial"/>
          <w:i/>
          <w:iCs/>
          <w:color w:val="auto"/>
          <w:spacing w:val="0"/>
        </w:rPr>
        <w:t>,</w:t>
      </w:r>
      <w:r w:rsidRPr="003D142F">
        <w:rPr>
          <w:rFonts w:cs="Arial"/>
          <w:color w:val="auto"/>
          <w:spacing w:val="0"/>
        </w:rPr>
        <w:t xml:space="preserve"> in F Bunning, G Spottl &amp; H Stolte (eds.), </w:t>
      </w:r>
      <w:r w:rsidRPr="7AD33374">
        <w:rPr>
          <w:rFonts w:cs="Arial"/>
          <w:i/>
          <w:iCs/>
          <w:color w:val="auto"/>
          <w:spacing w:val="0"/>
        </w:rPr>
        <w:t>TVET teacher education and training in international and developmental co-operation – models, approaches and trends</w:t>
      </w:r>
      <w:r w:rsidRPr="003D142F">
        <w:rPr>
          <w:rFonts w:cs="Arial"/>
          <w:color w:val="auto"/>
          <w:spacing w:val="0"/>
        </w:rPr>
        <w:t>. Springer series: Technical and Vocational Education and Training: Issues, Concerns and Prospects. Vol 34, 435-452. https://doi.org/10.1007/978-981-16-6474-8_26.</w:t>
      </w:r>
    </w:p>
  </w:endnote>
  <w:endnote w:id="36">
    <w:p w14:paraId="39033E9E" w14:textId="33663F51" w:rsidR="007475A4" w:rsidRPr="00D32424" w:rsidRDefault="7AD33374" w:rsidP="00C743BB">
      <w:pPr>
        <w:pStyle w:val="ListBullet6"/>
        <w:ind w:left="426" w:hanging="426"/>
        <w:rPr>
          <w:rFonts w:cs="Arial"/>
          <w:color w:val="auto"/>
        </w:rPr>
      </w:pPr>
      <w:r w:rsidRPr="7AD33374">
        <w:rPr>
          <w:rFonts w:cs="Arial"/>
          <w:color w:val="auto"/>
        </w:rPr>
        <w:t xml:space="preserve">Guthrie H (2010) </w:t>
      </w:r>
      <w:hyperlink r:id="rId27">
        <w:r w:rsidRPr="7AD33374">
          <w:rPr>
            <w:rStyle w:val="Hyperlink"/>
            <w:rFonts w:cs="Arial"/>
          </w:rPr>
          <w:t>A</w:t>
        </w:r>
        <w:r w:rsidRPr="7AD33374">
          <w:rPr>
            <w:rStyle w:val="Hyperlink"/>
            <w:rFonts w:cs="Arial"/>
            <w:i/>
            <w:iCs/>
          </w:rPr>
          <w:t xml:space="preserve"> short history of initial VET teacher training</w:t>
        </w:r>
      </w:hyperlink>
      <w:r w:rsidRPr="7AD33374">
        <w:rPr>
          <w:rFonts w:cs="Arial"/>
          <w:color w:val="auto"/>
        </w:rPr>
        <w:t>, NCVER, accessed 17 November 2023.</w:t>
      </w:r>
    </w:p>
  </w:endnote>
  <w:endnote w:id="37">
    <w:p w14:paraId="4C85F782" w14:textId="7E6FC5CF" w:rsidR="007475A4" w:rsidRPr="00D32424" w:rsidRDefault="7AD33374" w:rsidP="00C743BB">
      <w:pPr>
        <w:pStyle w:val="ListBullet6"/>
        <w:ind w:left="426" w:hanging="426"/>
        <w:rPr>
          <w:rFonts w:cs="Arial"/>
        </w:rPr>
      </w:pPr>
      <w:r w:rsidRPr="7AD33374">
        <w:rPr>
          <w:rFonts w:cs="Arial"/>
        </w:rPr>
        <w:t xml:space="preserve">Li J, Hodge S and Knight E (2023) </w:t>
      </w:r>
      <w:hyperlink r:id="rId28">
        <w:r w:rsidRPr="7AD33374">
          <w:rPr>
            <w:rStyle w:val="Hyperlink"/>
            <w:rFonts w:cs="Arial"/>
            <w:i/>
            <w:iCs/>
            <w:color w:val="000000" w:themeColor="text1"/>
          </w:rPr>
          <w:t>The concepts of vocational competence and competency: False friends in international policy learning</w:t>
        </w:r>
      </w:hyperlink>
      <w:r w:rsidRPr="7AD33374">
        <w:rPr>
          <w:rFonts w:cs="Arial"/>
        </w:rPr>
        <w:t>, bwp@. spezial 19, accessed 20 October 2023.</w:t>
      </w:r>
    </w:p>
  </w:endnote>
  <w:endnote w:id="38">
    <w:p w14:paraId="018359D5" w14:textId="7C91B497" w:rsidR="00E22ECB" w:rsidRPr="00D32424" w:rsidRDefault="7AD33374" w:rsidP="00C743BB">
      <w:pPr>
        <w:pStyle w:val="ListBullet6"/>
        <w:ind w:left="426" w:hanging="426"/>
        <w:rPr>
          <w:rFonts w:cs="Arial"/>
          <w:color w:val="auto"/>
        </w:rPr>
      </w:pPr>
      <w:r w:rsidRPr="00BE5CBC">
        <w:rPr>
          <w:rFonts w:cs="Arial"/>
          <w:color w:val="auto"/>
        </w:rPr>
        <w:t xml:space="preserve">Tyler M and Dymock D (2021) </w:t>
      </w:r>
      <w:hyperlink r:id="rId29" w:history="1">
        <w:r w:rsidRPr="00DB56DA">
          <w:rPr>
            <w:rStyle w:val="Hyperlink"/>
            <w:rFonts w:cs="Arial"/>
            <w:i/>
            <w:iCs/>
          </w:rPr>
          <w:t>Attracting industry experts to become VET practitioners: a journey, not a destination</w:t>
        </w:r>
      </w:hyperlink>
      <w:r w:rsidRPr="00BE5CBC">
        <w:rPr>
          <w:rFonts w:cs="Arial"/>
          <w:color w:val="auto"/>
        </w:rPr>
        <w:t>, NCVER, accessed 17 November 2023.</w:t>
      </w:r>
    </w:p>
  </w:endnote>
  <w:endnote w:id="39">
    <w:p w14:paraId="32E5311A" w14:textId="5C512424" w:rsidR="00E22ECB" w:rsidRPr="00D32424" w:rsidRDefault="7AD33374" w:rsidP="00C743BB">
      <w:pPr>
        <w:pStyle w:val="ListBullet6"/>
        <w:ind w:left="426" w:hanging="426"/>
        <w:rPr>
          <w:rFonts w:cs="Arial"/>
        </w:rPr>
      </w:pPr>
      <w:r w:rsidRPr="7AD33374">
        <w:rPr>
          <w:rFonts w:cs="Arial"/>
        </w:rPr>
        <w:t>Smith E, Hodge S and Yasukawa K (October 2014) ‘Students in Australian VET and adult education teacher education courses’ [unpublished conference presentation], AUSTAFE National Conference 2014 Sydney.</w:t>
      </w:r>
    </w:p>
  </w:endnote>
  <w:endnote w:id="40">
    <w:p w14:paraId="2C0BC2FD" w14:textId="66378253" w:rsidR="00E22ECB" w:rsidRPr="00D32424" w:rsidRDefault="001958BB" w:rsidP="00C743BB">
      <w:pPr>
        <w:pStyle w:val="ListBullet6"/>
        <w:ind w:left="426" w:hanging="426"/>
        <w:rPr>
          <w:rFonts w:cs="Arial"/>
          <w:color w:val="auto"/>
        </w:rPr>
      </w:pPr>
      <w:r w:rsidRPr="7AD33374">
        <w:rPr>
          <w:rFonts w:cs="Arial"/>
          <w:color w:val="auto"/>
        </w:rPr>
        <w:t xml:space="preserve">Federation University Australia (2023) </w:t>
      </w:r>
      <w:hyperlink r:id="rId30">
        <w:r w:rsidRPr="7AD33374">
          <w:rPr>
            <w:rStyle w:val="Hyperlink"/>
            <w:rFonts w:cs="Arial"/>
            <w:i/>
            <w:iCs/>
          </w:rPr>
          <w:t>Course Outline: EDTAS1206 Developing VET Curriculum for Training Providers and Industry</w:t>
        </w:r>
      </w:hyperlink>
      <w:r w:rsidRPr="7AD33374">
        <w:rPr>
          <w:rFonts w:cs="Arial"/>
          <w:color w:val="auto"/>
        </w:rPr>
        <w:t>, Federation University Australia, accessed 17 November 2023.</w:t>
      </w:r>
    </w:p>
  </w:endnote>
  <w:endnote w:id="41">
    <w:p w14:paraId="2E46F7A9" w14:textId="57E1924C" w:rsidR="00CA2EA9" w:rsidRPr="00D32424" w:rsidRDefault="001958BB" w:rsidP="00C743BB">
      <w:pPr>
        <w:pStyle w:val="ListBullet6"/>
        <w:ind w:left="426" w:hanging="426"/>
        <w:rPr>
          <w:rFonts w:cs="Arial"/>
          <w:color w:val="auto"/>
        </w:rPr>
      </w:pPr>
      <w:r w:rsidRPr="7AD33374">
        <w:rPr>
          <w:rFonts w:cs="Arial"/>
          <w:color w:val="auto"/>
        </w:rPr>
        <w:t xml:space="preserve">Commonwealth of Australia (2023) </w:t>
      </w:r>
      <w:r w:rsidRPr="7AD33374">
        <w:rPr>
          <w:rFonts w:cs="Arial"/>
          <w:i/>
          <w:iCs/>
          <w:color w:val="auto"/>
        </w:rPr>
        <w:t>Migration Strategy</w:t>
      </w:r>
      <w:r w:rsidRPr="7AD33374">
        <w:rPr>
          <w:rFonts w:cs="Arial"/>
          <w:color w:val="auto"/>
        </w:rPr>
        <w:t>, Australian Government.</w:t>
      </w:r>
    </w:p>
  </w:endnote>
  <w:endnote w:id="42">
    <w:p w14:paraId="1A3CAF86" w14:textId="6EAA73E7" w:rsidR="00CA2EA9" w:rsidRPr="00D32424" w:rsidRDefault="001958BB" w:rsidP="00C743BB">
      <w:pPr>
        <w:pStyle w:val="ListBullet6"/>
        <w:ind w:left="426" w:hanging="426"/>
        <w:rPr>
          <w:rFonts w:cs="Arial"/>
          <w:color w:val="auto"/>
        </w:rPr>
      </w:pPr>
      <w:r w:rsidRPr="7AD33374">
        <w:rPr>
          <w:rFonts w:cs="Arial"/>
          <w:color w:val="auto"/>
        </w:rPr>
        <w:t xml:space="preserve">Innovation and Business Skills Australia (IBSA), </w:t>
      </w:r>
      <w:hyperlink r:id="rId31">
        <w:r w:rsidRPr="7AD33374">
          <w:rPr>
            <w:rStyle w:val="Hyperlink"/>
            <w:rFonts w:cs="Arial"/>
            <w:i/>
            <w:iCs/>
          </w:rPr>
          <w:t>The VET Practitioner Capability Framework - Implementation Guide</w:t>
        </w:r>
      </w:hyperlink>
      <w:r w:rsidRPr="7AD33374">
        <w:rPr>
          <w:rFonts w:cs="Arial"/>
          <w:color w:val="auto"/>
        </w:rPr>
        <w:t>, IBSA, East Melbourne, accessed 17 November 2023.</w:t>
      </w:r>
    </w:p>
  </w:endnote>
  <w:endnote w:id="43">
    <w:p w14:paraId="33116D85" w14:textId="52607DB6" w:rsidR="00CA2EA9" w:rsidRPr="00D32424" w:rsidRDefault="001958BB" w:rsidP="00C743BB">
      <w:pPr>
        <w:pStyle w:val="ListBullet6"/>
        <w:ind w:left="426" w:hanging="426"/>
        <w:rPr>
          <w:rFonts w:cs="Arial"/>
          <w:color w:val="auto"/>
        </w:rPr>
      </w:pPr>
      <w:r w:rsidRPr="7AD33374">
        <w:rPr>
          <w:rFonts w:cs="Arial"/>
        </w:rPr>
        <w:t xml:space="preserve">Charles Darwin University (CDU) (2019) </w:t>
      </w:r>
      <w:hyperlink r:id="rId32">
        <w:r w:rsidRPr="7AD33374">
          <w:rPr>
            <w:rStyle w:val="Hyperlink"/>
            <w:rFonts w:cs="Arial"/>
            <w:i/>
            <w:iCs/>
          </w:rPr>
          <w:t>VET Educator Capability Framework Handbook</w:t>
        </w:r>
      </w:hyperlink>
      <w:r w:rsidRPr="7AD33374">
        <w:rPr>
          <w:rFonts w:cs="Arial"/>
          <w:i/>
          <w:iCs/>
        </w:rPr>
        <w:t>,</w:t>
      </w:r>
      <w:r w:rsidRPr="7AD33374">
        <w:rPr>
          <w:rFonts w:cs="Arial"/>
        </w:rPr>
        <w:t xml:space="preserve"> CDU, accessed 17 November 2023.</w:t>
      </w:r>
    </w:p>
  </w:endnote>
  <w:endnote w:id="44">
    <w:p w14:paraId="72D04129" w14:textId="4FE37F3C" w:rsidR="00FE3553" w:rsidRPr="00D32424" w:rsidRDefault="001958BB" w:rsidP="00C743BB">
      <w:pPr>
        <w:pStyle w:val="ListBullet6"/>
        <w:ind w:left="426" w:hanging="426"/>
        <w:rPr>
          <w:rFonts w:cs="Arial"/>
        </w:rPr>
      </w:pPr>
      <w:r w:rsidRPr="7AD33374">
        <w:rPr>
          <w:rFonts w:cs="Arial"/>
        </w:rPr>
        <w:t>Australian Institute for Teaching and School Leadership (AITSL) Limited (n.d.) [</w:t>
      </w:r>
      <w:hyperlink r:id="rId33">
        <w:r w:rsidRPr="7AD33374">
          <w:rPr>
            <w:rStyle w:val="Hyperlink"/>
            <w:rFonts w:cs="Arial"/>
            <w:i/>
            <w:iCs/>
          </w:rPr>
          <w:t>website</w:t>
        </w:r>
      </w:hyperlink>
      <w:r w:rsidRPr="7AD33374">
        <w:rPr>
          <w:rFonts w:cs="Arial"/>
        </w:rPr>
        <w:t>], accessed 28 February 2024.</w:t>
      </w:r>
    </w:p>
  </w:endnote>
  <w:endnote w:id="45">
    <w:p w14:paraId="5ADEEA3C" w14:textId="7B6C2687" w:rsidR="00FE3553" w:rsidRPr="00D32424" w:rsidRDefault="001958BB" w:rsidP="00C743BB">
      <w:pPr>
        <w:pStyle w:val="ListBullet6"/>
        <w:ind w:left="426" w:hanging="426"/>
        <w:rPr>
          <w:rFonts w:cs="Arial"/>
        </w:rPr>
      </w:pPr>
      <w:r w:rsidRPr="7AD33374">
        <w:rPr>
          <w:rFonts w:cs="Arial"/>
        </w:rPr>
        <w:t xml:space="preserve">Misko J, Guthrie H and Waters M (2021) </w:t>
      </w:r>
      <w:hyperlink r:id="rId34">
        <w:r w:rsidRPr="7AD33374">
          <w:rPr>
            <w:rStyle w:val="Hyperlink"/>
            <w:rFonts w:cs="Arial"/>
            <w:i/>
            <w:iCs/>
          </w:rPr>
          <w:t>Building capability and quality in VET teaching: opportunities and challenges</w:t>
        </w:r>
      </w:hyperlink>
      <w:r w:rsidRPr="7AD33374">
        <w:rPr>
          <w:rFonts w:cs="Arial"/>
        </w:rPr>
        <w:t>, NCVER, accessed 28 February 2024.</w:t>
      </w:r>
    </w:p>
  </w:endnote>
  <w:endnote w:id="46">
    <w:p w14:paraId="5312AC90" w14:textId="33F8D614" w:rsidR="00FE3553" w:rsidRPr="00D32424" w:rsidRDefault="7AD33374" w:rsidP="00C743BB">
      <w:pPr>
        <w:pStyle w:val="ListBullet6"/>
        <w:ind w:left="426" w:hanging="426"/>
        <w:rPr>
          <w:rFonts w:cs="Arial"/>
        </w:rPr>
      </w:pPr>
      <w:r w:rsidRPr="7AD33374">
        <w:rPr>
          <w:rFonts w:cs="Arial"/>
        </w:rPr>
        <w:t xml:space="preserve">Misko J, Guthrie H and Waters M (2021) </w:t>
      </w:r>
      <w:hyperlink r:id="rId35">
        <w:r w:rsidRPr="7AD33374">
          <w:rPr>
            <w:rStyle w:val="Hyperlink"/>
            <w:rFonts w:cs="Arial"/>
            <w:i/>
            <w:iCs/>
          </w:rPr>
          <w:t>Building capability and quality in VET teaching: opportunities and challenges</w:t>
        </w:r>
      </w:hyperlink>
      <w:r w:rsidRPr="7AD33374">
        <w:rPr>
          <w:rFonts w:cs="Arial"/>
        </w:rPr>
        <w:t>, NCVER, accessed 28 February 2024.</w:t>
      </w:r>
    </w:p>
  </w:endnote>
  <w:endnote w:id="47">
    <w:p w14:paraId="2976F6B6" w14:textId="105567EF" w:rsidR="00FE3553" w:rsidRPr="00D32424" w:rsidRDefault="001958BB" w:rsidP="00C743BB">
      <w:pPr>
        <w:pStyle w:val="ListBullet6"/>
        <w:ind w:left="426" w:hanging="426"/>
        <w:rPr>
          <w:rFonts w:cs="Arial"/>
        </w:rPr>
      </w:pPr>
      <w:r w:rsidRPr="7AD33374">
        <w:rPr>
          <w:rFonts w:cs="Arial"/>
        </w:rPr>
        <w:t xml:space="preserve">Wheelahan L and </w:t>
      </w:r>
      <w:r>
        <w:rPr>
          <w:rFonts w:cs="Arial"/>
        </w:rPr>
        <w:t>Moodie</w:t>
      </w:r>
      <w:r w:rsidRPr="7AD33374">
        <w:rPr>
          <w:rFonts w:cs="Arial"/>
        </w:rPr>
        <w:t xml:space="preserve"> </w:t>
      </w:r>
      <w:r>
        <w:rPr>
          <w:rFonts w:cs="Arial"/>
        </w:rPr>
        <w:t>G</w:t>
      </w:r>
      <w:r w:rsidRPr="7AD33374">
        <w:rPr>
          <w:rFonts w:cs="Arial"/>
        </w:rPr>
        <w:t xml:space="preserve"> (2010) </w:t>
      </w:r>
      <w:hyperlink r:id="rId36" w:history="1">
        <w:r w:rsidRPr="00FF22FF">
          <w:rPr>
            <w:rStyle w:val="Hyperlink"/>
            <w:rFonts w:cs="Arial"/>
            <w:i/>
            <w:iCs/>
          </w:rPr>
          <w:t>The quality of teaching in VET</w:t>
        </w:r>
      </w:hyperlink>
      <w:r w:rsidRPr="00652CF3">
        <w:rPr>
          <w:rFonts w:cs="Arial"/>
        </w:rPr>
        <w:t>,</w:t>
      </w:r>
      <w:r w:rsidRPr="7AD33374">
        <w:rPr>
          <w:rFonts w:cs="Arial"/>
        </w:rPr>
        <w:t xml:space="preserve"> Australian College of Educators, accessed 17 November 2023.</w:t>
      </w:r>
    </w:p>
  </w:endnote>
  <w:endnote w:id="48">
    <w:p w14:paraId="5BE575AB" w14:textId="02232E59" w:rsidR="00FE3553" w:rsidRPr="00D32424" w:rsidRDefault="001958BB" w:rsidP="00C743BB">
      <w:pPr>
        <w:pStyle w:val="ListBullet6"/>
        <w:ind w:left="426" w:hanging="426"/>
        <w:rPr>
          <w:rFonts w:cs="Arial"/>
        </w:rPr>
      </w:pPr>
      <w:r w:rsidRPr="7AD33374">
        <w:rPr>
          <w:rFonts w:cs="Arial"/>
        </w:rPr>
        <w:t xml:space="preserve">FWC (2022) </w:t>
      </w:r>
      <w:hyperlink r:id="rId37">
        <w:r w:rsidRPr="7AD33374">
          <w:rPr>
            <w:rStyle w:val="Hyperlink"/>
            <w:rFonts w:cs="Arial"/>
            <w:i/>
            <w:iCs/>
          </w:rPr>
          <w:t>Swinburne University of Technology – Vocational Education and Training Enterprise Agreement 2022</w:t>
        </w:r>
      </w:hyperlink>
      <w:r w:rsidRPr="7AD33374">
        <w:rPr>
          <w:rFonts w:cs="Arial"/>
        </w:rPr>
        <w:t>, FWC, Australian Government, accessed 17 November 2023.</w:t>
      </w:r>
    </w:p>
  </w:endnote>
  <w:endnote w:id="49">
    <w:p w14:paraId="5E2387ED" w14:textId="71F4D74D" w:rsidR="00FE3553" w:rsidRPr="00D32424" w:rsidRDefault="001958BB" w:rsidP="00C743BB">
      <w:pPr>
        <w:pStyle w:val="ListBullet6"/>
        <w:ind w:left="426" w:hanging="426"/>
        <w:rPr>
          <w:rFonts w:cs="Arial"/>
        </w:rPr>
      </w:pPr>
      <w:r w:rsidRPr="7AD33374">
        <w:rPr>
          <w:rFonts w:cs="Arial"/>
        </w:rPr>
        <w:t xml:space="preserve">Guthrie H and Waters M (unpublished) </w:t>
      </w:r>
      <w:r w:rsidRPr="00FF22FF">
        <w:rPr>
          <w:rFonts w:cs="Arial"/>
          <w:i/>
          <w:iCs/>
        </w:rPr>
        <w:t>VET Workforce Blueprint Project - Literature Review</w:t>
      </w:r>
      <w:r w:rsidRPr="7AD33374">
        <w:rPr>
          <w:rFonts w:cs="Arial"/>
        </w:rPr>
        <w:t xml:space="preserve">, NCVER.  </w:t>
      </w:r>
    </w:p>
  </w:endnote>
  <w:endnote w:id="50">
    <w:p w14:paraId="0CBBC395" w14:textId="31848C3D" w:rsidR="00FE3553" w:rsidRPr="00D32424" w:rsidRDefault="001958BB" w:rsidP="00C743BB">
      <w:pPr>
        <w:pStyle w:val="ListBullet6"/>
        <w:ind w:left="426" w:hanging="426"/>
        <w:rPr>
          <w:rFonts w:cs="Arial"/>
        </w:rPr>
      </w:pPr>
      <w:r w:rsidRPr="7AD33374">
        <w:rPr>
          <w:rFonts w:cs="Arial"/>
        </w:rPr>
        <w:t xml:space="preserve">NSW Parliament (2023) </w:t>
      </w:r>
      <w:r w:rsidRPr="00624041">
        <w:rPr>
          <w:rFonts w:cs="Arial"/>
          <w:i/>
          <w:iCs/>
        </w:rPr>
        <w:t>Budget Estimates 2023-24 Hearing – 1 November 2023 Supplementary Questions Minister for Skills, TAFE and Tertiary Education</w:t>
      </w:r>
      <w:r w:rsidRPr="7AD33374">
        <w:rPr>
          <w:rFonts w:cs="Arial"/>
        </w:rPr>
        <w:t>.</w:t>
      </w:r>
    </w:p>
  </w:endnote>
  <w:endnote w:id="51">
    <w:p w14:paraId="33697BA0" w14:textId="75079367" w:rsidR="00FE3553" w:rsidRPr="00D32424" w:rsidRDefault="001958BB" w:rsidP="00C743BB">
      <w:pPr>
        <w:pStyle w:val="ListBullet6"/>
        <w:ind w:left="426" w:hanging="426"/>
        <w:rPr>
          <w:rFonts w:cs="Arial"/>
        </w:rPr>
      </w:pPr>
      <w:r w:rsidRPr="7AD33374">
        <w:rPr>
          <w:rFonts w:cs="Arial"/>
        </w:rPr>
        <w:t xml:space="preserve">FWC (2023) </w:t>
      </w:r>
      <w:hyperlink r:id="rId38">
        <w:r w:rsidRPr="7AD33374">
          <w:rPr>
            <w:rStyle w:val="Hyperlink"/>
            <w:rFonts w:cs="Arial"/>
            <w:i/>
            <w:iCs/>
          </w:rPr>
          <w:t>TAFE Commission of NSW Teachers and Related Employees Enterprise Agreement 2023</w:t>
        </w:r>
      </w:hyperlink>
      <w:r w:rsidRPr="7AD33374">
        <w:rPr>
          <w:rFonts w:cs="Arial"/>
        </w:rPr>
        <w:t>, FWC, Australian Government, accessed 4 April 2024.</w:t>
      </w:r>
      <w:r w:rsidR="7AD33374" w:rsidRPr="7AD33374">
        <w:rPr>
          <w:rFonts w:cs="Arial"/>
        </w:rPr>
        <w:t xml:space="preserve"> </w:t>
      </w:r>
    </w:p>
  </w:endnote>
  <w:endnote w:id="52">
    <w:p w14:paraId="48484EA8" w14:textId="6D828A3B" w:rsidR="00FE3553" w:rsidRPr="00D32424" w:rsidRDefault="001958BB" w:rsidP="00C743BB">
      <w:pPr>
        <w:pStyle w:val="ListBullet6"/>
        <w:ind w:left="426" w:hanging="426"/>
        <w:rPr>
          <w:rFonts w:cs="Arial"/>
        </w:rPr>
      </w:pPr>
      <w:r w:rsidRPr="7AD33374">
        <w:rPr>
          <w:rFonts w:cs="Arial"/>
        </w:rPr>
        <w:t>Hodge S and Guthrie H (June 2019) ‘</w:t>
      </w:r>
      <w:hyperlink r:id="rId39">
        <w:r w:rsidRPr="7AD33374">
          <w:rPr>
            <w:rStyle w:val="Hyperlink"/>
            <w:rFonts w:cs="Arial"/>
          </w:rPr>
          <w:t>Moving beyond training packages: first steps</w:t>
        </w:r>
      </w:hyperlink>
      <w:r w:rsidRPr="7AD33374">
        <w:rPr>
          <w:rStyle w:val="Hyperlink"/>
          <w:rFonts w:cs="Arial"/>
          <w:u w:val="none"/>
        </w:rPr>
        <w:t>' [conference paper],</w:t>
      </w:r>
      <w:r w:rsidRPr="7AD33374">
        <w:rPr>
          <w:rFonts w:cs="Arial"/>
        </w:rPr>
        <w:t xml:space="preserve"> AVETRA conference, Paramatta, accessed 17 November 2023.</w:t>
      </w:r>
    </w:p>
  </w:endnote>
  <w:endnote w:id="53">
    <w:p w14:paraId="52725F21" w14:textId="1C1AF95E" w:rsidR="00FE3553" w:rsidRPr="00D32424" w:rsidRDefault="001958BB" w:rsidP="00C743BB">
      <w:pPr>
        <w:pStyle w:val="ListBullet6"/>
        <w:ind w:left="426" w:hanging="426"/>
        <w:rPr>
          <w:rFonts w:cs="Arial"/>
        </w:rPr>
      </w:pPr>
      <w:r w:rsidRPr="7AD33374">
        <w:rPr>
          <w:rFonts w:cs="Arial"/>
        </w:rPr>
        <w:t xml:space="preserve">Harris R, Simons M and Clayton B (2005) </w:t>
      </w:r>
      <w:hyperlink r:id="rId40">
        <w:r w:rsidRPr="7AD33374">
          <w:rPr>
            <w:rStyle w:val="Hyperlink"/>
            <w:rFonts w:cs="Arial"/>
            <w:i/>
            <w:iCs/>
          </w:rPr>
          <w:t>Shifting mindsets: The changing work roles of vocational education and training practitioners</w:t>
        </w:r>
      </w:hyperlink>
      <w:r w:rsidRPr="7AD33374">
        <w:rPr>
          <w:rFonts w:cs="Arial"/>
        </w:rPr>
        <w:t>, NCVER, accessed 17 November 2023.</w:t>
      </w:r>
    </w:p>
  </w:endnote>
  <w:endnote w:id="54">
    <w:p w14:paraId="3B459140" w14:textId="660291F9" w:rsidR="00571AF1" w:rsidRPr="00D32424" w:rsidRDefault="7AD33374" w:rsidP="00C743BB">
      <w:pPr>
        <w:pStyle w:val="ListBullet6"/>
        <w:ind w:left="426" w:hanging="426"/>
        <w:rPr>
          <w:rFonts w:cs="Arial"/>
        </w:rPr>
      </w:pPr>
      <w:r w:rsidRPr="7AD33374">
        <w:rPr>
          <w:rFonts w:cs="Arial"/>
        </w:rPr>
        <w:t xml:space="preserve">Harris R, Simons M and Clayton B (2005) </w:t>
      </w:r>
      <w:hyperlink r:id="rId41">
        <w:r w:rsidRPr="7AD33374">
          <w:rPr>
            <w:rStyle w:val="Hyperlink"/>
            <w:rFonts w:cs="Arial"/>
            <w:i/>
            <w:iCs/>
          </w:rPr>
          <w:t>Shifting mindsets: The changing work roles of vocational education and training practitioners</w:t>
        </w:r>
      </w:hyperlink>
      <w:r w:rsidRPr="7AD33374">
        <w:rPr>
          <w:rFonts w:cs="Arial"/>
        </w:rPr>
        <w:t>, NCVER, accessed 17 November 2023.</w:t>
      </w:r>
    </w:p>
  </w:endnote>
  <w:endnote w:id="55">
    <w:p w14:paraId="633EF799" w14:textId="7B8DCC5E" w:rsidR="00571AF1" w:rsidRPr="00D32424" w:rsidRDefault="001958BB" w:rsidP="00C743BB">
      <w:pPr>
        <w:pStyle w:val="ListBullet6"/>
        <w:ind w:left="426" w:hanging="426"/>
        <w:rPr>
          <w:rFonts w:cs="Arial"/>
        </w:rPr>
      </w:pPr>
      <w:r w:rsidRPr="7AD33374">
        <w:rPr>
          <w:rFonts w:cs="Arial"/>
        </w:rPr>
        <w:t xml:space="preserve">Braithwaite V (2018) </w:t>
      </w:r>
      <w:hyperlink r:id="rId42">
        <w:r w:rsidRPr="7AD33374">
          <w:rPr>
            <w:rStyle w:val="Hyperlink"/>
            <w:rFonts w:cs="Arial"/>
            <w:i/>
            <w:iCs/>
          </w:rPr>
          <w:t>All eyes on quality: Review of the National Vocational Education and Training Regulator Act 2011 report</w:t>
        </w:r>
      </w:hyperlink>
      <w:r w:rsidRPr="7AD33374">
        <w:rPr>
          <w:rFonts w:cs="Arial"/>
        </w:rPr>
        <w:t>, DEWR, Australian Government.</w:t>
      </w:r>
    </w:p>
  </w:endnote>
  <w:endnote w:id="56">
    <w:p w14:paraId="0B789861" w14:textId="6D99CE13" w:rsidR="00571AF1" w:rsidRPr="00D32424" w:rsidRDefault="001958BB" w:rsidP="00C743BB">
      <w:pPr>
        <w:pStyle w:val="ListBullet6"/>
        <w:ind w:left="426" w:hanging="426"/>
        <w:rPr>
          <w:rFonts w:cs="Arial"/>
        </w:rPr>
      </w:pPr>
      <w:r w:rsidRPr="7AD33374">
        <w:rPr>
          <w:rFonts w:cs="Arial"/>
        </w:rPr>
        <w:t xml:space="preserve">Harris R, Simons M and Clayton B (2005) </w:t>
      </w:r>
      <w:hyperlink r:id="rId43">
        <w:r w:rsidRPr="7AD33374">
          <w:rPr>
            <w:rStyle w:val="Hyperlink"/>
            <w:rFonts w:cs="Arial"/>
            <w:i/>
            <w:iCs/>
          </w:rPr>
          <w:t>Shifting mindsets: The changing work roles of vocational education and training practitioners</w:t>
        </w:r>
      </w:hyperlink>
      <w:r w:rsidRPr="7AD33374">
        <w:rPr>
          <w:rFonts w:cs="Arial"/>
        </w:rPr>
        <w:t>, NCVER, accessed 17 November 2023.</w:t>
      </w:r>
    </w:p>
  </w:endnote>
  <w:endnote w:id="57">
    <w:p w14:paraId="07FFE148" w14:textId="2913882C" w:rsidR="00571AF1" w:rsidRPr="00D32424" w:rsidRDefault="001958BB" w:rsidP="00C743BB">
      <w:pPr>
        <w:pStyle w:val="ListBullet6"/>
        <w:ind w:left="426" w:hanging="426"/>
        <w:rPr>
          <w:rFonts w:cs="Arial"/>
        </w:rPr>
      </w:pPr>
      <w:r w:rsidRPr="7AD33374">
        <w:rPr>
          <w:rFonts w:cs="Arial"/>
        </w:rPr>
        <w:t xml:space="preserve">Department of Education (DoE) (2015) </w:t>
      </w:r>
      <w:hyperlink r:id="rId44">
        <w:r w:rsidRPr="7AD33374">
          <w:rPr>
            <w:rStyle w:val="Hyperlink"/>
            <w:rFonts w:cs="Arial"/>
            <w:i/>
            <w:iCs/>
          </w:rPr>
          <w:t>Trade Training Centres in Schools Program - Independent Review</w:t>
        </w:r>
      </w:hyperlink>
      <w:r w:rsidRPr="7AD33374">
        <w:rPr>
          <w:rFonts w:cs="Arial"/>
        </w:rPr>
        <w:t>, prepared by Scott P, DoE, Australian Government.</w:t>
      </w:r>
    </w:p>
  </w:endnote>
  <w:endnote w:id="58">
    <w:p w14:paraId="47A66AC4" w14:textId="7B7354AE" w:rsidR="00571AF1" w:rsidRPr="00D32424" w:rsidRDefault="001958BB" w:rsidP="00C743BB">
      <w:pPr>
        <w:pStyle w:val="ListBullet6"/>
        <w:ind w:left="426" w:hanging="426"/>
        <w:rPr>
          <w:rFonts w:cs="Arial"/>
        </w:rPr>
      </w:pPr>
      <w:r w:rsidRPr="7AD33374">
        <w:rPr>
          <w:rFonts w:cs="Arial"/>
        </w:rPr>
        <w:t xml:space="preserve">Circelli M, Hall M, Li Z, Ong A and Lim P (2022) </w:t>
      </w:r>
      <w:hyperlink r:id="rId45">
        <w:r w:rsidRPr="7AD33374">
          <w:rPr>
            <w:rStyle w:val="Hyperlink"/>
            <w:rFonts w:cs="Arial"/>
            <w:i/>
            <w:iCs/>
          </w:rPr>
          <w:t>Journeying through VET: a case study of foundation skills learners</w:t>
        </w:r>
      </w:hyperlink>
      <w:r w:rsidRPr="7AD33374">
        <w:rPr>
          <w:rFonts w:cs="Arial"/>
        </w:rPr>
        <w:t>, NCVER.</w:t>
      </w:r>
    </w:p>
  </w:endnote>
  <w:endnote w:id="59">
    <w:p w14:paraId="3D512E0F" w14:textId="6E2C07CB" w:rsidR="000C6D37" w:rsidRPr="00D32424" w:rsidRDefault="000B78DC" w:rsidP="00C743BB">
      <w:pPr>
        <w:pStyle w:val="ListBullet6"/>
        <w:ind w:left="426" w:hanging="426"/>
        <w:rPr>
          <w:rFonts w:cs="Arial"/>
        </w:rPr>
      </w:pPr>
      <w:r w:rsidRPr="7AD33374">
        <w:rPr>
          <w:rFonts w:cs="Arial"/>
        </w:rPr>
        <w:t xml:space="preserve">O’Dwyer L and Mihelic M (2021) </w:t>
      </w:r>
      <w:hyperlink r:id="rId46">
        <w:r w:rsidRPr="7AD33374">
          <w:rPr>
            <w:rStyle w:val="Hyperlink"/>
            <w:rFonts w:cs="Arial"/>
            <w:i/>
            <w:iCs/>
          </w:rPr>
          <w:t>Provision of foundation skills training by community education providers in regional Australia</w:t>
        </w:r>
      </w:hyperlink>
      <w:r w:rsidRPr="7AD33374">
        <w:rPr>
          <w:rFonts w:cs="Arial"/>
        </w:rPr>
        <w:t>, NCVER.</w:t>
      </w:r>
    </w:p>
  </w:endnote>
  <w:endnote w:id="60">
    <w:p w14:paraId="23CFFF93" w14:textId="0BDF6E39" w:rsidR="000C6D37" w:rsidRPr="00D32424" w:rsidRDefault="000B78DC" w:rsidP="00C743BB">
      <w:pPr>
        <w:pStyle w:val="ListBullet6"/>
        <w:ind w:left="426" w:hanging="426"/>
        <w:rPr>
          <w:rFonts w:cs="Arial"/>
        </w:rPr>
      </w:pPr>
      <w:r w:rsidRPr="7AD33374">
        <w:rPr>
          <w:rFonts w:cs="Arial"/>
        </w:rPr>
        <w:t xml:space="preserve">Reading Writing Hotline (n.d.) </w:t>
      </w:r>
      <w:hyperlink r:id="rId47">
        <w:r w:rsidRPr="7AD33374">
          <w:rPr>
            <w:rStyle w:val="Hyperlink"/>
            <w:rFonts w:cs="Arial"/>
            <w:i/>
            <w:iCs/>
          </w:rPr>
          <w:t>Adult Literacy Specialists – still an endangered species</w:t>
        </w:r>
      </w:hyperlink>
      <w:r w:rsidRPr="7AD33374">
        <w:rPr>
          <w:rFonts w:cs="Arial"/>
        </w:rPr>
        <w:t>, Reading Writing Hotline website, accessed 2 January 2024.</w:t>
      </w:r>
    </w:p>
  </w:endnote>
  <w:endnote w:id="61">
    <w:p w14:paraId="5B7559DA" w14:textId="1AC4D6C2" w:rsidR="000C6D37" w:rsidRPr="00D32424" w:rsidRDefault="000B78DC" w:rsidP="00C743BB">
      <w:pPr>
        <w:pStyle w:val="ListBullet6"/>
        <w:ind w:left="426" w:hanging="426"/>
        <w:rPr>
          <w:rFonts w:cs="Arial"/>
        </w:rPr>
      </w:pPr>
      <w:r w:rsidRPr="7AD33374">
        <w:rPr>
          <w:rFonts w:cs="Arial"/>
        </w:rPr>
        <w:t xml:space="preserve">Social Equity Works (2022) </w:t>
      </w:r>
      <w:hyperlink r:id="rId48">
        <w:r w:rsidRPr="7AD33374">
          <w:rPr>
            <w:rStyle w:val="Hyperlink"/>
            <w:rFonts w:cs="Arial"/>
            <w:i/>
            <w:iCs/>
          </w:rPr>
          <w:t>Insights from the classroom – a survey of adult literacy providers: a report on adult literacy, numeracy and digital literacy need</w:t>
        </w:r>
      </w:hyperlink>
      <w:r w:rsidRPr="7AD33374">
        <w:rPr>
          <w:rFonts w:cs="Arial"/>
        </w:rPr>
        <w:t>, prepared for the Reading Writing Hotline, accessed 2 January 2024.</w:t>
      </w:r>
    </w:p>
  </w:endnote>
  <w:endnote w:id="62">
    <w:p w14:paraId="6B6A2C48" w14:textId="14B932A2" w:rsidR="000C6D37" w:rsidRPr="00D32424" w:rsidRDefault="000B78DC" w:rsidP="00C743BB">
      <w:pPr>
        <w:pStyle w:val="ListBullet6"/>
        <w:ind w:left="426" w:hanging="426"/>
        <w:rPr>
          <w:rFonts w:cs="Arial"/>
        </w:rPr>
      </w:pPr>
      <w:r w:rsidRPr="7AD33374">
        <w:rPr>
          <w:rFonts w:cs="Arial"/>
        </w:rPr>
        <w:t xml:space="preserve">Guthrie H (2010) </w:t>
      </w:r>
      <w:hyperlink r:id="rId49">
        <w:r w:rsidRPr="7AD33374">
          <w:rPr>
            <w:rStyle w:val="Hyperlink"/>
            <w:rFonts w:cs="Arial"/>
            <w:i/>
            <w:iCs/>
          </w:rPr>
          <w:t>Professional development in VET</w:t>
        </w:r>
      </w:hyperlink>
      <w:r w:rsidRPr="7AD33374">
        <w:rPr>
          <w:rFonts w:cs="Arial"/>
        </w:rPr>
        <w:t>, NCVER, 2010, accessed 17 November 2023.</w:t>
      </w:r>
    </w:p>
  </w:endnote>
  <w:endnote w:id="63">
    <w:p w14:paraId="009CE09B" w14:textId="6FC9EC60" w:rsidR="000C6D37" w:rsidRPr="00D32424" w:rsidRDefault="000B78DC" w:rsidP="00C743BB">
      <w:pPr>
        <w:pStyle w:val="ListBullet6"/>
        <w:ind w:left="426" w:hanging="426"/>
        <w:rPr>
          <w:rFonts w:cs="Arial"/>
        </w:rPr>
      </w:pPr>
      <w:r w:rsidRPr="7AD33374">
        <w:rPr>
          <w:rFonts w:cs="Arial"/>
        </w:rPr>
        <w:t>R Harris, M Simons and B Clayton (2005) </w:t>
      </w:r>
      <w:hyperlink r:id="rId50">
        <w:r w:rsidRPr="7AD33374">
          <w:rPr>
            <w:rStyle w:val="Hyperlink"/>
            <w:rFonts w:cs="Arial"/>
            <w:i/>
            <w:iCs/>
          </w:rPr>
          <w:t>Shifting mindsets: The changing work roles of vocational education and training practitioners</w:t>
        </w:r>
      </w:hyperlink>
      <w:r w:rsidRPr="7AD33374">
        <w:rPr>
          <w:rFonts w:cs="Arial"/>
        </w:rPr>
        <w:t>, NCVER, accessed 17 November 2023.</w:t>
      </w:r>
    </w:p>
  </w:endnote>
  <w:endnote w:id="64">
    <w:p w14:paraId="53A9FAAA" w14:textId="6179BB56" w:rsidR="000C6D37" w:rsidRPr="00D32424" w:rsidRDefault="000B78DC" w:rsidP="00C743BB">
      <w:pPr>
        <w:pStyle w:val="ListBullet6"/>
        <w:ind w:left="426" w:hanging="426"/>
        <w:rPr>
          <w:rFonts w:cs="Arial"/>
        </w:rPr>
      </w:pPr>
      <w:r w:rsidRPr="7AD33374">
        <w:rPr>
          <w:rFonts w:eastAsia="Times New Roman" w:cs="Arial"/>
        </w:rPr>
        <w:t xml:space="preserve">Hume S and Griffin (2021) </w:t>
      </w:r>
      <w:hyperlink r:id="rId51">
        <w:r w:rsidRPr="7AD33374">
          <w:rPr>
            <w:rStyle w:val="Hyperlink"/>
            <w:rFonts w:eastAsia="Times New Roman" w:cs="Arial"/>
            <w:i/>
            <w:iCs/>
          </w:rPr>
          <w:t>The online delivery of VET during COVID 19 Part 1</w:t>
        </w:r>
      </w:hyperlink>
      <w:r w:rsidRPr="7AD33374">
        <w:rPr>
          <w:rFonts w:eastAsia="Times New Roman" w:cs="Arial"/>
          <w:i/>
          <w:iCs/>
        </w:rPr>
        <w:t xml:space="preserve">, </w:t>
      </w:r>
      <w:r w:rsidRPr="7AD33374">
        <w:rPr>
          <w:rFonts w:eastAsia="Times New Roman" w:cs="Arial"/>
        </w:rPr>
        <w:t>NCVER.</w:t>
      </w:r>
    </w:p>
  </w:endnote>
  <w:endnote w:id="65">
    <w:p w14:paraId="2641331D" w14:textId="5EE1447F" w:rsidR="008F5230" w:rsidRPr="00D32424" w:rsidRDefault="000B78DC" w:rsidP="00C743BB">
      <w:pPr>
        <w:pStyle w:val="ListBullet6"/>
        <w:ind w:left="426" w:hanging="426"/>
        <w:rPr>
          <w:rFonts w:cs="Arial"/>
        </w:rPr>
      </w:pPr>
      <w:r w:rsidRPr="7AD33374">
        <w:rPr>
          <w:rFonts w:cs="Arial"/>
        </w:rPr>
        <w:t>Hume S and Griffin T (2022) </w:t>
      </w:r>
      <w:hyperlink r:id="rId52" w:anchor=":~:text=How%20has%20delivery%20mode%20changed,just%20over%2029%25%20in%202021.">
        <w:r w:rsidRPr="7AD33374">
          <w:rPr>
            <w:rStyle w:val="Hyperlink"/>
            <w:rFonts w:cs="Arial"/>
            <w:i/>
            <w:iCs/>
          </w:rPr>
          <w:t>Delivery of VET: emerging trends in response to the COVID-19 pandemic</w:t>
        </w:r>
      </w:hyperlink>
      <w:r w:rsidRPr="7AD33374">
        <w:rPr>
          <w:rFonts w:cs="Arial"/>
        </w:rPr>
        <w:t>, NCVER.</w:t>
      </w:r>
    </w:p>
  </w:endnote>
  <w:endnote w:id="66">
    <w:p w14:paraId="2405C4DA" w14:textId="5A52F2E6" w:rsidR="007D5E10" w:rsidRPr="00D32424" w:rsidRDefault="000B78DC" w:rsidP="00C743BB">
      <w:pPr>
        <w:pStyle w:val="ListBullet6"/>
        <w:ind w:left="426" w:hanging="426"/>
        <w:rPr>
          <w:rFonts w:cs="Arial"/>
        </w:rPr>
      </w:pPr>
      <w:r w:rsidRPr="7AD33374">
        <w:rPr>
          <w:rFonts w:cs="Arial"/>
        </w:rPr>
        <w:t>Coates H, Meek L, Brown J, Friedman T, Noonan P and Mitchell J (2013) ‘</w:t>
      </w:r>
      <w:hyperlink r:id="rId53">
        <w:r w:rsidRPr="7AD33374">
          <w:rPr>
            <w:rStyle w:val="Hyperlink"/>
            <w:rFonts w:cs="Arial"/>
          </w:rPr>
          <w:t>VET leadership for the future: Contexts, characteristics and capabilities</w:t>
        </w:r>
      </w:hyperlink>
      <w:r w:rsidRPr="7AD33374">
        <w:rPr>
          <w:rFonts w:cs="Arial"/>
        </w:rPr>
        <w:t xml:space="preserve">’, </w:t>
      </w:r>
      <w:r w:rsidRPr="009775D2">
        <w:rPr>
          <w:rFonts w:cs="Arial"/>
          <w:i/>
          <w:iCs/>
        </w:rPr>
        <w:t>Journal of Further and Higher Education</w:t>
      </w:r>
      <w:r w:rsidRPr="7AD33374">
        <w:rPr>
          <w:rFonts w:cs="Arial"/>
        </w:rPr>
        <w:t>, 37(6): 819-843, doi:10.1080/0309877X.2012.684042.</w:t>
      </w:r>
    </w:p>
  </w:endnote>
  <w:endnote w:id="67">
    <w:p w14:paraId="463CB0CF" w14:textId="44388B9B" w:rsidR="007D5E10" w:rsidRPr="00D32424" w:rsidRDefault="000B78DC" w:rsidP="00C743BB">
      <w:pPr>
        <w:pStyle w:val="ListBullet6"/>
        <w:ind w:left="426" w:hanging="426"/>
        <w:rPr>
          <w:rFonts w:cs="Arial"/>
        </w:rPr>
      </w:pPr>
      <w:r w:rsidRPr="7AD33374">
        <w:rPr>
          <w:rFonts w:cs="Arial"/>
        </w:rPr>
        <w:t xml:space="preserve">Lucas B and Claxton G (2013) </w:t>
      </w:r>
      <w:hyperlink r:id="rId54">
        <w:r w:rsidRPr="7AD33374">
          <w:rPr>
            <w:rStyle w:val="Hyperlink"/>
            <w:rFonts w:cs="Arial"/>
            <w:i/>
            <w:iCs/>
          </w:rPr>
          <w:t>Pedagogic leadership: creating cultures and practices for outstanding vocational learning</w:t>
        </w:r>
      </w:hyperlink>
      <w:r w:rsidRPr="7AD33374">
        <w:rPr>
          <w:rFonts w:cs="Arial"/>
        </w:rPr>
        <w:t>, 157 Group, London.</w:t>
      </w:r>
    </w:p>
  </w:endnote>
  <w:endnote w:id="68">
    <w:p w14:paraId="7D4C6889" w14:textId="0DEC28C4" w:rsidR="007D5E10" w:rsidRPr="00D32424" w:rsidRDefault="000B78DC" w:rsidP="00C743BB">
      <w:pPr>
        <w:pStyle w:val="ListBullet6"/>
        <w:ind w:left="426" w:hanging="426"/>
        <w:rPr>
          <w:rFonts w:cs="Arial"/>
        </w:rPr>
      </w:pPr>
      <w:r w:rsidRPr="002D1235">
        <w:rPr>
          <w:rFonts w:cs="Arial"/>
        </w:rPr>
        <w:t>ABS (2021)</w:t>
      </w:r>
      <w:r w:rsidR="006E491F">
        <w:rPr>
          <w:rFonts w:cs="Arial"/>
        </w:rPr>
        <w:t xml:space="preserve"> </w:t>
      </w:r>
      <w:r w:rsidR="00DE7CF0">
        <w:rPr>
          <w:rFonts w:cs="Arial"/>
        </w:rPr>
        <w:t>‘</w:t>
      </w:r>
      <w:r w:rsidR="006E491F" w:rsidRPr="006E491F">
        <w:rPr>
          <w:rFonts w:cs="Arial"/>
        </w:rPr>
        <w:t>Highest level of qualification by occupation and industry</w:t>
      </w:r>
      <w:r w:rsidR="00DE7CF0">
        <w:rPr>
          <w:rFonts w:cs="Arial"/>
        </w:rPr>
        <w:t>’</w:t>
      </w:r>
      <w:r w:rsidR="006E491F" w:rsidRPr="006E491F">
        <w:rPr>
          <w:rFonts w:cs="Arial"/>
        </w:rPr>
        <w:t xml:space="preserve">, </w:t>
      </w:r>
      <w:r w:rsidR="006E491F" w:rsidRPr="00DE7CF0">
        <w:rPr>
          <w:rFonts w:cs="Arial"/>
          <w:i/>
          <w:iCs/>
        </w:rPr>
        <w:t>2021 Census</w:t>
      </w:r>
      <w:r w:rsidR="006E491F" w:rsidRPr="006E491F">
        <w:rPr>
          <w:rFonts w:cs="Arial"/>
        </w:rPr>
        <w:t xml:space="preserve"> [Table Builder] accessed 28 August 2023.</w:t>
      </w:r>
    </w:p>
  </w:endnote>
  <w:endnote w:id="69">
    <w:p w14:paraId="2E32122F" w14:textId="3D03F9EC" w:rsidR="007D5E10" w:rsidRPr="00D32424" w:rsidRDefault="000B78DC" w:rsidP="00C743BB">
      <w:pPr>
        <w:pStyle w:val="ListBullet6"/>
        <w:ind w:left="426" w:hanging="426"/>
        <w:rPr>
          <w:rFonts w:cs="Arial"/>
        </w:rPr>
      </w:pPr>
      <w:r w:rsidRPr="7AD33374">
        <w:rPr>
          <w:rFonts w:cs="Arial"/>
        </w:rPr>
        <w:t xml:space="preserve">Victoria University (2023) </w:t>
      </w:r>
      <w:hyperlink r:id="rId55">
        <w:r w:rsidRPr="7AD33374">
          <w:rPr>
            <w:rStyle w:val="Hyperlink"/>
            <w:rFonts w:cs="Arial"/>
            <w:i/>
            <w:iCs/>
          </w:rPr>
          <w:t>Employment Projections</w:t>
        </w:r>
      </w:hyperlink>
      <w:r w:rsidRPr="7AD33374">
        <w:rPr>
          <w:rFonts w:cs="Arial"/>
        </w:rPr>
        <w:t>, produced for the Australian Government Jobs and Skills Australia, accessed 17 November 2023.</w:t>
      </w:r>
    </w:p>
  </w:endnote>
  <w:endnote w:id="70">
    <w:p w14:paraId="262A09A6" w14:textId="79BBCC4F" w:rsidR="002B0248" w:rsidRPr="00D32424" w:rsidRDefault="7AD33374" w:rsidP="00C743BB">
      <w:pPr>
        <w:pStyle w:val="ListBullet6"/>
        <w:ind w:left="426" w:hanging="426"/>
        <w:rPr>
          <w:rFonts w:cs="Arial"/>
        </w:rPr>
      </w:pPr>
      <w:r w:rsidRPr="7AD33374">
        <w:rPr>
          <w:rFonts w:cs="Arial"/>
        </w:rPr>
        <w:t xml:space="preserve">Jobs and Skills Australia (2023) </w:t>
      </w:r>
      <w:hyperlink r:id="rId56">
        <w:r w:rsidRPr="7AD33374">
          <w:rPr>
            <w:rStyle w:val="Hyperlink"/>
            <w:rFonts w:cs="Arial"/>
            <w:i/>
            <w:iCs/>
          </w:rPr>
          <w:t>The Clean Energy Generation</w:t>
        </w:r>
      </w:hyperlink>
      <w:r w:rsidRPr="7AD33374">
        <w:rPr>
          <w:rFonts w:cs="Arial"/>
        </w:rPr>
        <w:t>, Jobs and Skills Australia, accessed 17 November 2023.</w:t>
      </w:r>
    </w:p>
  </w:endnote>
  <w:endnote w:id="71">
    <w:p w14:paraId="1E5B5E44" w14:textId="14C528B0" w:rsidR="002B0248" w:rsidRPr="00D32424" w:rsidRDefault="7AD33374" w:rsidP="00C743BB">
      <w:pPr>
        <w:pStyle w:val="ListBullet6"/>
        <w:ind w:left="426" w:hanging="426"/>
        <w:rPr>
          <w:rFonts w:cs="Arial"/>
        </w:rPr>
      </w:pPr>
      <w:r w:rsidRPr="7AD33374">
        <w:rPr>
          <w:rFonts w:cs="Arial"/>
        </w:rPr>
        <w:t xml:space="preserve">Victoria University (2023) </w:t>
      </w:r>
      <w:hyperlink r:id="rId57">
        <w:r w:rsidRPr="7AD33374">
          <w:rPr>
            <w:rStyle w:val="Hyperlink"/>
            <w:rFonts w:cs="Arial"/>
            <w:i/>
            <w:iCs/>
          </w:rPr>
          <w:t>Employment Projections</w:t>
        </w:r>
      </w:hyperlink>
      <w:r w:rsidRPr="7AD33374">
        <w:rPr>
          <w:rFonts w:cs="Arial"/>
        </w:rPr>
        <w:t xml:space="preserve">, produced for the Australian Government Jobs and Skills Australia, accessed 17 November 2023.  </w:t>
      </w:r>
    </w:p>
  </w:endnote>
  <w:endnote w:id="72">
    <w:p w14:paraId="32B16C8A" w14:textId="1B1A7143" w:rsidR="002B0248" w:rsidRPr="00D32424" w:rsidRDefault="7AD33374" w:rsidP="00C743BB">
      <w:pPr>
        <w:pStyle w:val="ListBullet6"/>
        <w:ind w:left="426" w:hanging="426"/>
        <w:rPr>
          <w:rFonts w:cs="Arial"/>
        </w:rPr>
      </w:pPr>
      <w:r w:rsidRPr="7AD33374">
        <w:rPr>
          <w:rFonts w:cs="Arial"/>
        </w:rPr>
        <w:t xml:space="preserve">Queensland Government (31 January 2024) </w:t>
      </w:r>
      <w:hyperlink r:id="rId58">
        <w:r w:rsidRPr="7AD33374">
          <w:rPr>
            <w:rStyle w:val="Hyperlink"/>
            <w:rFonts w:cs="Arial"/>
            <w:i/>
            <w:iCs/>
          </w:rPr>
          <w:t>90 Sunshine Coast students start nursing journey thanks to Free TAFE</w:t>
        </w:r>
      </w:hyperlink>
      <w:r w:rsidRPr="7AD33374">
        <w:rPr>
          <w:rFonts w:cs="Arial"/>
        </w:rPr>
        <w:t>, Ministerial Media Statements, Queensland Government, accessed 18 March 2024.</w:t>
      </w:r>
    </w:p>
  </w:endnote>
  <w:endnote w:id="73">
    <w:p w14:paraId="431239F9" w14:textId="3BC9AA7D" w:rsidR="002B0248" w:rsidRPr="00D32424" w:rsidRDefault="7AD33374" w:rsidP="00C743BB">
      <w:pPr>
        <w:pStyle w:val="ListBullet6"/>
        <w:ind w:left="426" w:hanging="426"/>
        <w:rPr>
          <w:rFonts w:cs="Arial"/>
        </w:rPr>
      </w:pPr>
      <w:r w:rsidRPr="7AD33374">
        <w:rPr>
          <w:rFonts w:cs="Arial"/>
        </w:rPr>
        <w:t xml:space="preserve">Jobs and Skills Australia (2023) </w:t>
      </w:r>
      <w:hyperlink r:id="rId59">
        <w:r w:rsidRPr="7AD33374">
          <w:rPr>
            <w:rStyle w:val="Hyperlink"/>
            <w:rFonts w:cs="Arial"/>
            <w:i/>
            <w:iCs/>
          </w:rPr>
          <w:t>The Clean Energy Generation</w:t>
        </w:r>
      </w:hyperlink>
      <w:r w:rsidRPr="7AD33374">
        <w:rPr>
          <w:rFonts w:cs="Arial"/>
        </w:rPr>
        <w:t>, Jobs and Skills Australia, accessed 17 November 2023.</w:t>
      </w:r>
    </w:p>
  </w:endnote>
  <w:endnote w:id="74">
    <w:p w14:paraId="2DA62CCF" w14:textId="466C428D" w:rsidR="002B0248" w:rsidRPr="00D32424" w:rsidRDefault="7AD33374" w:rsidP="00C743BB">
      <w:pPr>
        <w:pStyle w:val="ListBullet6"/>
        <w:ind w:left="426" w:hanging="426"/>
        <w:rPr>
          <w:rFonts w:cs="Arial"/>
        </w:rPr>
      </w:pPr>
      <w:r w:rsidRPr="7AD33374">
        <w:rPr>
          <w:rFonts w:cs="Arial"/>
        </w:rPr>
        <w:t xml:space="preserve">DoE (2022) ‘Table 8.5’ in </w:t>
      </w:r>
      <w:hyperlink r:id="rId60">
        <w:r w:rsidRPr="7AD33374">
          <w:rPr>
            <w:rStyle w:val="Hyperlink"/>
            <w:rFonts w:cs="Arial"/>
            <w:i/>
            <w:iCs/>
          </w:rPr>
          <w:t>Selected Higher Education Statistics – Section 8 - Special Courses</w:t>
        </w:r>
      </w:hyperlink>
      <w:r w:rsidRPr="7AD33374">
        <w:rPr>
          <w:rFonts w:cs="Arial"/>
        </w:rPr>
        <w:t>, DoE, Australian Government, accessed 8 April 2024.</w:t>
      </w:r>
    </w:p>
  </w:endnote>
  <w:endnote w:id="75">
    <w:p w14:paraId="4290EA40" w14:textId="3EE78713" w:rsidR="00F05077" w:rsidRPr="00D32424" w:rsidRDefault="7AD33374" w:rsidP="00C743BB">
      <w:pPr>
        <w:pStyle w:val="ListBullet6"/>
        <w:ind w:left="426" w:hanging="426"/>
        <w:rPr>
          <w:rFonts w:cs="Arial"/>
        </w:rPr>
      </w:pPr>
      <w:r w:rsidRPr="7AD33374">
        <w:rPr>
          <w:rFonts w:cs="Arial"/>
        </w:rPr>
        <w:t xml:space="preserve">Acton R and Hennessy M (2023) </w:t>
      </w:r>
      <w:hyperlink r:id="rId61">
        <w:r w:rsidRPr="7AD33374">
          <w:rPr>
            <w:rStyle w:val="Hyperlink"/>
            <w:rFonts w:cs="Arial"/>
            <w:i/>
            <w:iCs/>
          </w:rPr>
          <w:t>NSW Education Diversity and inclusion in teacher workforces: Literature review</w:t>
        </w:r>
      </w:hyperlink>
      <w:r w:rsidRPr="7AD33374">
        <w:rPr>
          <w:rFonts w:cs="Arial"/>
        </w:rPr>
        <w:t xml:space="preserve">. PeopleBench prepared for NSW Department of Education, NSW Government. </w:t>
      </w:r>
    </w:p>
  </w:endnote>
  <w:endnote w:id="76">
    <w:p w14:paraId="05B9A349" w14:textId="79C826DE" w:rsidR="00F05077" w:rsidRPr="00D32424" w:rsidRDefault="7AD33374" w:rsidP="00C743BB">
      <w:pPr>
        <w:pStyle w:val="ListBullet6"/>
        <w:ind w:left="426" w:hanging="426"/>
        <w:rPr>
          <w:rFonts w:cs="Arial"/>
        </w:rPr>
      </w:pPr>
      <w:r w:rsidRPr="7AD33374">
        <w:rPr>
          <w:rFonts w:cs="Arial"/>
        </w:rPr>
        <w:t xml:space="preserve">Victorian Government (n.d.) </w:t>
      </w:r>
      <w:hyperlink r:id="rId62" w:history="1">
        <w:r w:rsidRPr="00D50F7E">
          <w:rPr>
            <w:rStyle w:val="Hyperlink"/>
            <w:rFonts w:cs="Arial"/>
            <w:i/>
            <w:iCs/>
          </w:rPr>
          <w:t>deafConnectEd</w:t>
        </w:r>
      </w:hyperlink>
      <w:r w:rsidRPr="00D50F7E">
        <w:rPr>
          <w:rFonts w:cs="Arial"/>
        </w:rPr>
        <w:t xml:space="preserve"> [</w:t>
      </w:r>
      <w:r w:rsidRPr="7AD33374">
        <w:rPr>
          <w:rFonts w:cs="Arial"/>
        </w:rPr>
        <w:t>website], accessed 18 March 2024.</w:t>
      </w:r>
    </w:p>
  </w:endnote>
  <w:endnote w:id="77">
    <w:p w14:paraId="536E6885" w14:textId="0D0B996B" w:rsidR="00F05077" w:rsidRPr="00D32424" w:rsidRDefault="7AD33374" w:rsidP="00C743BB">
      <w:pPr>
        <w:pStyle w:val="ListBullet6"/>
        <w:ind w:left="426" w:hanging="426"/>
        <w:rPr>
          <w:rFonts w:cs="Arial"/>
        </w:rPr>
      </w:pPr>
      <w:r w:rsidRPr="7AD33374">
        <w:rPr>
          <w:rFonts w:cs="Arial"/>
        </w:rPr>
        <w:t xml:space="preserve">deafConnectEd (13 May 2020) </w:t>
      </w:r>
      <w:hyperlink r:id="rId63">
        <w:r w:rsidRPr="7AD33374">
          <w:rPr>
            <w:rStyle w:val="Hyperlink"/>
            <w:rFonts w:cs="Arial"/>
            <w:i/>
            <w:iCs/>
          </w:rPr>
          <w:t>Certificate IV in Training and Assessment - in Auslan</w:t>
        </w:r>
      </w:hyperlink>
      <w:r w:rsidRPr="7AD33374">
        <w:rPr>
          <w:rFonts w:cs="Arial"/>
        </w:rPr>
        <w:t xml:space="preserve">, deafConnectEd website, accessed 18 March 2024. </w:t>
      </w:r>
    </w:p>
  </w:endnote>
  <w:endnote w:id="78">
    <w:p w14:paraId="540B1BF6" w14:textId="0A1F632C" w:rsidR="00070143" w:rsidRPr="00D32424" w:rsidRDefault="7AD33374" w:rsidP="00C743BB">
      <w:pPr>
        <w:pStyle w:val="ListBullet6"/>
        <w:ind w:left="426" w:hanging="426"/>
        <w:rPr>
          <w:rFonts w:cs="Arial"/>
        </w:rPr>
      </w:pPr>
      <w:r w:rsidRPr="7AD33374">
        <w:rPr>
          <w:rFonts w:cs="Arial"/>
        </w:rPr>
        <w:t xml:space="preserve">NCVER (2023) </w:t>
      </w:r>
      <w:hyperlink r:id="rId64">
        <w:r w:rsidRPr="7AD33374">
          <w:rPr>
            <w:rStyle w:val="Hyperlink"/>
            <w:rFonts w:cs="Arial"/>
            <w:i/>
            <w:iCs/>
          </w:rPr>
          <w:t>VET student outcomes 2023</w:t>
        </w:r>
      </w:hyperlink>
      <w:r w:rsidRPr="7AD33374">
        <w:rPr>
          <w:rFonts w:cs="Arial"/>
        </w:rPr>
        <w:t>, NCVER, accessed 20 December 2023.</w:t>
      </w:r>
    </w:p>
  </w:endnote>
  <w:endnote w:id="79">
    <w:p w14:paraId="3099EAC0" w14:textId="14341FB8" w:rsidR="00070143" w:rsidRPr="00E17A15" w:rsidRDefault="7AD33374" w:rsidP="00E17A15">
      <w:pPr>
        <w:pStyle w:val="ListBullet6"/>
        <w:ind w:left="426" w:hanging="426"/>
        <w:rPr>
          <w:rFonts w:cs="Arial"/>
        </w:rPr>
      </w:pPr>
      <w:r w:rsidRPr="7AD33374">
        <w:rPr>
          <w:rFonts w:cs="Arial"/>
        </w:rPr>
        <w:t xml:space="preserve">Jobs and Skills Australia (2023) </w:t>
      </w:r>
      <w:hyperlink r:id="rId65">
        <w:r w:rsidRPr="7AD33374">
          <w:rPr>
            <w:rStyle w:val="Hyperlink"/>
            <w:rFonts w:cs="Arial"/>
            <w:i/>
            <w:iCs/>
          </w:rPr>
          <w:t>Data on Occupation Mobility: Unpacking Workers Movements</w:t>
        </w:r>
      </w:hyperlink>
      <w:r w:rsidRPr="7AD33374">
        <w:rPr>
          <w:rFonts w:cs="Arial"/>
        </w:rPr>
        <w:t xml:space="preserve">, Jobs and Skills Australia, accessed 17 November 2023.   </w:t>
      </w:r>
    </w:p>
  </w:endnote>
  <w:endnote w:id="80">
    <w:p w14:paraId="37BFBFE1" w14:textId="12BD2AEF" w:rsidR="00E17A15" w:rsidRDefault="00E17A15" w:rsidP="00E17A15">
      <w:pPr>
        <w:pStyle w:val="ListBullet6"/>
        <w:ind w:left="425" w:hanging="425"/>
      </w:pPr>
      <w:r w:rsidRPr="00A22694">
        <w:rPr>
          <w:rStyle w:val="normaltextrun"/>
          <w:rFonts w:cs="Arial"/>
          <w:color w:val="000000"/>
          <w:shd w:val="clear" w:color="auto" w:fill="FFFFFF"/>
        </w:rPr>
        <w:t xml:space="preserve">Knight G, White I and Granfield P (2020) </w:t>
      </w:r>
      <w:hyperlink r:id="rId66" w:history="1">
        <w:r w:rsidRPr="00A22694">
          <w:rPr>
            <w:rStyle w:val="Hyperlink"/>
            <w:rFonts w:cs="Arial"/>
            <w:i/>
            <w:iCs/>
            <w:shd w:val="clear" w:color="auto" w:fill="FFFFFF"/>
          </w:rPr>
          <w:t>Understanding the Australian vocational education and training workforce</w:t>
        </w:r>
      </w:hyperlink>
      <w:r w:rsidRPr="00A22694">
        <w:rPr>
          <w:rStyle w:val="normaltextrun"/>
          <w:rFonts w:cs="Arial"/>
          <w:color w:val="000000"/>
          <w:shd w:val="clear" w:color="auto" w:fill="FFFFFF"/>
        </w:rPr>
        <w:t>, NCVER, Adelaide.</w:t>
      </w:r>
    </w:p>
  </w:endnote>
  <w:endnote w:id="81">
    <w:p w14:paraId="5230DB2D" w14:textId="7E24CA58" w:rsidR="00E17A15" w:rsidRPr="007B2ACF" w:rsidRDefault="00E17A15" w:rsidP="00E17A15">
      <w:pPr>
        <w:pStyle w:val="ListBullet6"/>
        <w:ind w:left="425" w:hanging="425"/>
        <w:rPr>
          <w:color w:val="auto"/>
        </w:rPr>
      </w:pPr>
      <w:r w:rsidRPr="007B2ACF">
        <w:rPr>
          <w:color w:val="auto"/>
        </w:rPr>
        <w:t xml:space="preserve">Department of Education (2023) </w:t>
      </w:r>
      <w:hyperlink r:id="rId67" w:tgtFrame="_blank" w:history="1">
        <w:r w:rsidRPr="007B2ACF">
          <w:rPr>
            <w:rStyle w:val="normaltextrun"/>
            <w:rFonts w:asciiTheme="minorHAnsi" w:hAnsiTheme="minorHAnsi" w:cstheme="minorHAnsi"/>
            <w:i/>
            <w:iCs/>
            <w:color w:val="auto"/>
            <w:u w:val="single"/>
            <w:shd w:val="clear" w:color="auto" w:fill="FFFFFF"/>
          </w:rPr>
          <w:t>Australia's dual sector universities</w:t>
        </w:r>
      </w:hyperlink>
      <w:r w:rsidRPr="007B2ACF">
        <w:rPr>
          <w:rStyle w:val="normaltextrun"/>
          <w:rFonts w:asciiTheme="minorHAnsi" w:hAnsiTheme="minorHAnsi" w:cstheme="minorHAnsi"/>
          <w:color w:val="auto"/>
          <w:shd w:val="clear" w:color="auto" w:fill="FFFFFF"/>
        </w:rPr>
        <w:t>, Department of Education website, accessed 14 March 2024.</w:t>
      </w:r>
      <w:r w:rsidRPr="007B2ACF">
        <w:rPr>
          <w:rStyle w:val="eop"/>
          <w:rFonts w:cs="Arial"/>
          <w:color w:val="auto"/>
          <w:shd w:val="clear" w:color="auto" w:fill="FFFFFF"/>
        </w:rPr>
        <w:t> </w:t>
      </w:r>
    </w:p>
  </w:endnote>
  <w:endnote w:id="82">
    <w:p w14:paraId="37552F48" w14:textId="647382A9" w:rsidR="00E17A15" w:rsidRDefault="00E17A15" w:rsidP="00E17A15">
      <w:pPr>
        <w:pStyle w:val="ListBullet6"/>
        <w:ind w:left="425" w:hanging="425"/>
      </w:pPr>
      <w:r w:rsidRPr="007B2ACF">
        <w:rPr>
          <w:color w:val="auto"/>
        </w:rPr>
        <w:t xml:space="preserve">Swinburne University of Technology (2022) </w:t>
      </w:r>
      <w:hyperlink r:id="rId68" w:history="1">
        <w:r w:rsidRPr="007B2ACF">
          <w:rPr>
            <w:rStyle w:val="Hyperlink"/>
            <w:i/>
            <w:iCs/>
          </w:rPr>
          <w:t>Swinburne staff vote in landmark VET Enterprise Agreement</w:t>
        </w:r>
      </w:hyperlink>
      <w:r w:rsidRPr="007B2ACF">
        <w:rPr>
          <w:color w:val="auto"/>
        </w:rPr>
        <w:t>, Swinburne University of Technology website, accessed 14 March 2024.</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76660663"/>
      <w:docPartObj>
        <w:docPartGallery w:val="Page Numbers (Bottom of Page)"/>
        <w:docPartUnique/>
      </w:docPartObj>
    </w:sdtPr>
    <w:sdtEndPr>
      <w:rPr>
        <w:noProof/>
      </w:rPr>
    </w:sdtEndPr>
    <w:sdtContent>
      <w:p w14:paraId="24DD0B83" w14:textId="6A3AB9C4" w:rsidR="003B69F9" w:rsidRPr="00991526" w:rsidRDefault="003B69F9">
        <w:pPr>
          <w:pStyle w:val="Footer"/>
        </w:pPr>
        <w:r w:rsidRPr="00991526">
          <w:t xml:space="preserve">Jobs and Skills Australia – </w:t>
        </w:r>
        <w:r>
          <w:t>VET Workforce Study</w:t>
        </w:r>
        <w:r>
          <w:tab/>
        </w:r>
        <w:r w:rsidRPr="00991526">
          <w:fldChar w:fldCharType="begin"/>
        </w:r>
        <w:r w:rsidRPr="00991526">
          <w:instrText xml:space="preserve"> PAGE   \* MERGEFORMAT </w:instrText>
        </w:r>
        <w:r w:rsidRPr="00991526">
          <w:fldChar w:fldCharType="separate"/>
        </w:r>
        <w:r w:rsidRPr="00991526">
          <w:rPr>
            <w:noProof/>
          </w:rPr>
          <w:t>2</w:t>
        </w:r>
        <w:r w:rsidRPr="00991526">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3B69F9" w14:paraId="28082644" w14:textId="77777777">
      <w:trPr>
        <w:trHeight w:val="300"/>
      </w:trPr>
      <w:tc>
        <w:tcPr>
          <w:tcW w:w="3005" w:type="dxa"/>
        </w:tcPr>
        <w:p w14:paraId="23211E31" w14:textId="77777777" w:rsidR="003B69F9" w:rsidRDefault="003B69F9">
          <w:pPr>
            <w:pStyle w:val="Header"/>
            <w:ind w:left="-115"/>
          </w:pPr>
        </w:p>
      </w:tc>
      <w:tc>
        <w:tcPr>
          <w:tcW w:w="3005" w:type="dxa"/>
        </w:tcPr>
        <w:p w14:paraId="488FF9BE" w14:textId="77777777" w:rsidR="003B69F9" w:rsidRDefault="003B69F9">
          <w:pPr>
            <w:pStyle w:val="Header"/>
            <w:jc w:val="center"/>
          </w:pPr>
        </w:p>
      </w:tc>
      <w:tc>
        <w:tcPr>
          <w:tcW w:w="3005" w:type="dxa"/>
        </w:tcPr>
        <w:p w14:paraId="566CD3DA" w14:textId="77777777" w:rsidR="003B69F9" w:rsidRDefault="003B69F9">
          <w:pPr>
            <w:pStyle w:val="Header"/>
            <w:ind w:right="-115"/>
            <w:jc w:val="right"/>
          </w:pPr>
        </w:p>
      </w:tc>
    </w:tr>
  </w:tbl>
  <w:p w14:paraId="5BB0D0E6" w14:textId="77777777" w:rsidR="003B69F9" w:rsidRDefault="003B69F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77053515"/>
      <w:docPartObj>
        <w:docPartGallery w:val="Page Numbers (Bottom of Page)"/>
        <w:docPartUnique/>
      </w:docPartObj>
    </w:sdtPr>
    <w:sdtEndPr/>
    <w:sdtContent>
      <w:p w14:paraId="29AE4962" w14:textId="0BAA5E35" w:rsidR="00F9569C" w:rsidRPr="00477340" w:rsidRDefault="00F9569C" w:rsidP="002704C8">
        <w:pPr>
          <w:pStyle w:val="Footer"/>
        </w:pPr>
        <w:r w:rsidRPr="00477340">
          <w:t>Jobs and Skills Australia – VET</w:t>
        </w:r>
        <w:r w:rsidR="002704C8" w:rsidRPr="00477340">
          <w:t xml:space="preserve"> </w:t>
        </w:r>
        <w:r w:rsidRPr="00477340">
          <w:t>Workforce Study</w:t>
        </w:r>
        <w:r w:rsidRPr="00477340">
          <w:tab/>
        </w:r>
        <w:r w:rsidR="002704C8" w:rsidRPr="00477340">
          <w:t xml:space="preserve"> </w:t>
        </w:r>
        <w:r w:rsidRPr="00477340">
          <w:fldChar w:fldCharType="begin"/>
        </w:r>
        <w:r w:rsidRPr="00477340">
          <w:instrText xml:space="preserve"> PAGE   \* MERGEFORMAT </w:instrText>
        </w:r>
        <w:r w:rsidRPr="00477340">
          <w:fldChar w:fldCharType="separate"/>
        </w:r>
        <w:r w:rsidRPr="00477340">
          <w:t>2</w:t>
        </w:r>
        <w:r w:rsidRPr="00477340">
          <w:fldChar w:fldCharType="end"/>
        </w:r>
      </w:p>
    </w:sdtContent>
  </w:sdt>
  <w:p w14:paraId="2D1A8924" w14:textId="77777777" w:rsidR="00401CE6" w:rsidRDefault="00401CE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5C30969" w14:textId="21F2822A" w:rsidR="00113575" w:rsidRDefault="00221DBA">
      <w:r>
        <w:separator/>
      </w:r>
    </w:p>
  </w:footnote>
  <w:footnote w:type="continuationSeparator" w:id="0">
    <w:p w14:paraId="54821E75" w14:textId="77777777" w:rsidR="00221DBA" w:rsidRDefault="00221DBA" w:rsidP="000D6745">
      <w:r>
        <w:continuationSeparator/>
      </w:r>
    </w:p>
    <w:p w14:paraId="1ED75E73" w14:textId="77777777" w:rsidR="00221DBA" w:rsidRDefault="00221DBA"/>
    <w:p w14:paraId="36731C51" w14:textId="77777777" w:rsidR="00113575" w:rsidRDefault="00113575"/>
  </w:footnote>
  <w:footnote w:type="continuationNotice" w:id="1">
    <w:p w14:paraId="421157B7" w14:textId="77777777" w:rsidR="00221DBA" w:rsidRDefault="00221DBA">
      <w:pPr>
        <w:spacing w:after="0" w:line="240" w:lineRule="auto"/>
      </w:pPr>
    </w:p>
    <w:p w14:paraId="2E5ED123" w14:textId="77777777" w:rsidR="00221DBA" w:rsidRDefault="00221DBA"/>
    <w:p w14:paraId="01D43273" w14:textId="77777777" w:rsidR="00113575" w:rsidRDefault="00113575"/>
  </w:footnote>
  <w:footnote w:id="2">
    <w:p w14:paraId="2D4CB115" w14:textId="7F9BD555" w:rsidR="00E94959" w:rsidRPr="002723D0" w:rsidRDefault="00E94959" w:rsidP="002723D0">
      <w:pPr>
        <w:pStyle w:val="EndnoteText"/>
      </w:pPr>
      <w:r w:rsidRPr="002723D0">
        <w:rPr>
          <w:rStyle w:val="FootnoteReference"/>
          <w:vertAlign w:val="baseline"/>
        </w:rPr>
        <w:footnoteRef/>
      </w:r>
      <w:r w:rsidRPr="002723D0">
        <w:t xml:space="preserve"> We note that this ANZSCO code </w:t>
      </w:r>
      <w:r w:rsidR="00163436" w:rsidRPr="002723D0">
        <w:t xml:space="preserve">is outdated and </w:t>
      </w:r>
      <w:r w:rsidRPr="002723D0">
        <w:t>does not reflect</w:t>
      </w:r>
      <w:r w:rsidR="00163436" w:rsidRPr="002723D0">
        <w:t xml:space="preserve"> current discourse in the sector where early childhood educators </w:t>
      </w:r>
      <w:r w:rsidR="007901B6" w:rsidRPr="002723D0">
        <w:t xml:space="preserve">find this occupation classification disrespectful and not reflective of the early learning and care they practice. </w:t>
      </w:r>
    </w:p>
  </w:footnote>
  <w:footnote w:id="3">
    <w:p w14:paraId="5812FDAE" w14:textId="21B310B9" w:rsidR="00A6421D" w:rsidRPr="002F2875" w:rsidRDefault="00A6421D" w:rsidP="002F2875">
      <w:pPr>
        <w:pStyle w:val="EndnoteText"/>
      </w:pPr>
      <w:r w:rsidRPr="002F2875">
        <w:rPr>
          <w:rStyle w:val="FootnoteReference"/>
          <w:vertAlign w:val="baseline"/>
        </w:rPr>
        <w:footnoteRef/>
      </w:r>
      <w:r w:rsidRPr="002F2875">
        <w:t xml:space="preserve"> This means the estimates are not necessarily representative of the actual workforce numbers for each type of RTO, since the data may have been skewed depending on how respondents reported staffing numbers in the survey. It also had a 40% response rate. </w:t>
      </w:r>
    </w:p>
  </w:footnote>
  <w:footnote w:id="4">
    <w:p w14:paraId="01712E0E" w14:textId="39744D2C" w:rsidR="006F37D0" w:rsidRPr="00337312" w:rsidRDefault="006F37D0" w:rsidP="00337312">
      <w:pPr>
        <w:pStyle w:val="EndnoteText"/>
      </w:pPr>
      <w:r w:rsidRPr="00337312">
        <w:rPr>
          <w:rStyle w:val="FootnoteReference"/>
          <w:vertAlign w:val="baseline"/>
        </w:rPr>
        <w:footnoteRef/>
      </w:r>
      <w:r w:rsidR="006F7C65" w:rsidRPr="00337312">
        <w:t xml:space="preserve"> </w:t>
      </w:r>
      <w:r w:rsidRPr="00337312">
        <w:t>Note: A small proportion of those in the VET workforce total are not included in taxonom</w:t>
      </w:r>
      <w:r w:rsidR="006F7C65" w:rsidRPr="00337312">
        <w:t>y segments</w:t>
      </w:r>
      <w:r w:rsidRPr="00337312">
        <w:t xml:space="preserve"> due to missing occupational codes. </w:t>
      </w:r>
    </w:p>
  </w:footnote>
  <w:footnote w:id="5">
    <w:p w14:paraId="6B9AEB54" w14:textId="1D2783AB" w:rsidR="00A6421D" w:rsidRPr="00293D85" w:rsidRDefault="00A6421D" w:rsidP="00293D85">
      <w:pPr>
        <w:pStyle w:val="EndnoteText"/>
      </w:pPr>
      <w:r w:rsidRPr="00293D85">
        <w:rPr>
          <w:rStyle w:val="FootnoteReference"/>
          <w:vertAlign w:val="baseline"/>
        </w:rPr>
        <w:footnoteRef/>
      </w:r>
      <w:r w:rsidRPr="00293D85">
        <w:t xml:space="preserve"> The most accurate data is from ABS Disability, Ageing and Carers Australia, which does not report data by ANZSCO or ANZSIC so does not support breakdown into the workforce segments in this report.  </w:t>
      </w:r>
    </w:p>
  </w:footnote>
  <w:footnote w:id="6">
    <w:p w14:paraId="49B6EB5C" w14:textId="54B05D13" w:rsidR="000467BD" w:rsidRPr="000467BD" w:rsidRDefault="000467BD" w:rsidP="00DD6AE7">
      <w:pPr>
        <w:pStyle w:val="EndnoteText"/>
      </w:pPr>
      <w:r>
        <w:rPr>
          <w:rStyle w:val="FootnoteReference"/>
        </w:rPr>
        <w:footnoteRef/>
      </w:r>
      <w:r>
        <w:t xml:space="preserve"> </w:t>
      </w:r>
      <w:r w:rsidRPr="000467BD">
        <w:t>For example, on leave from work.</w:t>
      </w:r>
    </w:p>
  </w:footnote>
  <w:footnote w:id="7">
    <w:p w14:paraId="717E03DE" w14:textId="61DC7353" w:rsidR="006F37D0" w:rsidRPr="00BB2525" w:rsidRDefault="006F37D0" w:rsidP="00BB2525">
      <w:pPr>
        <w:pStyle w:val="EndnoteText"/>
        <w:rPr>
          <w:rStyle w:val="normaltextrun"/>
        </w:rPr>
      </w:pPr>
      <w:r w:rsidRPr="00BB2525">
        <w:rPr>
          <w:rStyle w:val="FootnoteReference"/>
          <w:vertAlign w:val="baseline"/>
        </w:rPr>
        <w:footnoteRef/>
      </w:r>
      <w:r w:rsidR="00306640" w:rsidRPr="00BB2525">
        <w:t>.</w:t>
      </w:r>
      <w:r w:rsidR="006F7C65" w:rsidRPr="00BB2525">
        <w:t xml:space="preserve"> N</w:t>
      </w:r>
      <w:r w:rsidRPr="00BB2525">
        <w:t xml:space="preserve">ote this is not from 2021 Census data but </w:t>
      </w:r>
      <w:r w:rsidRPr="00BB2525">
        <w:rPr>
          <w:rStyle w:val="normaltextrun"/>
        </w:rPr>
        <w:t xml:space="preserve">ABS (2023) </w:t>
      </w:r>
      <w:hyperlink r:id="rId1" w:tgtFrame="_blank" w:history="1">
        <w:r w:rsidRPr="00BB2525">
          <w:rPr>
            <w:rStyle w:val="normaltextrun"/>
          </w:rPr>
          <w:t>Employee Earnings and Hours, Australia</w:t>
        </w:r>
      </w:hyperlink>
      <w:r w:rsidRPr="00BB2525">
        <w:rPr>
          <w:rStyle w:val="normaltextrun"/>
        </w:rPr>
        <w:t xml:space="preserve"> 2023, supplied.</w:t>
      </w:r>
    </w:p>
  </w:footnote>
  <w:footnote w:id="8">
    <w:p w14:paraId="3142DDAB" w14:textId="77E47BBA" w:rsidR="00A6421D" w:rsidRPr="00BB30B9" w:rsidRDefault="00A6421D" w:rsidP="00BB2525">
      <w:pPr>
        <w:pStyle w:val="EndnoteText"/>
      </w:pPr>
      <w:r w:rsidRPr="00BB2525">
        <w:rPr>
          <w:rStyle w:val="FootnoteReference"/>
          <w:vertAlign w:val="baseline"/>
        </w:rPr>
        <w:footnoteRef/>
      </w:r>
      <w:r w:rsidR="00306640" w:rsidRPr="00BB2525">
        <w:t xml:space="preserve">. </w:t>
      </w:r>
      <w:r w:rsidRPr="00BB2525">
        <w:t>However, note a high (18.2%) RSE for Education Advisors and Reviewers</w:t>
      </w:r>
      <w:r w:rsidR="004731CD" w:rsidRPr="00BB2525">
        <w:t>.</w:t>
      </w:r>
    </w:p>
  </w:footnote>
  <w:footnote w:id="9">
    <w:p w14:paraId="146FD33F" w14:textId="388A152D" w:rsidR="004B7B3E" w:rsidRPr="00BB30B9" w:rsidRDefault="004B7B3E" w:rsidP="002723D0">
      <w:pPr>
        <w:pStyle w:val="EndnoteText"/>
      </w:pPr>
      <w:r w:rsidRPr="00BB30B9">
        <w:rPr>
          <w:rStyle w:val="FootnoteReference"/>
          <w:vertAlign w:val="baseline"/>
        </w:rPr>
        <w:footnoteRef/>
      </w:r>
      <w:r w:rsidR="00306640">
        <w:t xml:space="preserve">. </w:t>
      </w:r>
      <w:r w:rsidRPr="00BB30B9">
        <w:t xml:space="preserve">We have estimated the pay gap using the mid-point of the income range reported by individuals in </w:t>
      </w:r>
      <w:r w:rsidR="00FE6819" w:rsidRPr="00BB30B9">
        <w:t>C</w:t>
      </w:r>
      <w:r w:rsidRPr="00BB30B9">
        <w:t xml:space="preserve">ensus and then averaged for males and females in each cohort, </w:t>
      </w:r>
      <w:r w:rsidR="00270E41" w:rsidRPr="00BB30B9">
        <w:t>i.e.</w:t>
      </w:r>
      <w:r w:rsidRPr="00BB30B9">
        <w:t xml:space="preserve"> each taxonomy segment. We estimated the pay gap in two ways: without considering the hours worked by individuals (i.e. using income for all employed people regardless of full-time/part-time status) for an overall figure and separately for both the full-time and part-time cohorts. We acknowledge the impacts hours worked has on pay gaps and that </w:t>
      </w:r>
      <w:r w:rsidR="00FE6819" w:rsidRPr="00BB30B9">
        <w:t>C</w:t>
      </w:r>
      <w:r w:rsidRPr="00BB30B9">
        <w:t>ensus measure is on income, rather than earnings so may include some non-work-related income. However, for most of the workforce, income closely reflects job earnings and wages. In recognition of these methodological issues, we acknowledge this pay gap is an estimate only and one with considerable limitations.</w:t>
      </w:r>
    </w:p>
    <w:p w14:paraId="5FCD658A" w14:textId="2107C6B8" w:rsidR="004B7B3E" w:rsidRPr="004B7B3E" w:rsidRDefault="004B7B3E">
      <w:pPr>
        <w:pStyle w:val="FootnoteText"/>
        <w:rPr>
          <w:lang w:val="en-AU"/>
        </w:rPr>
      </w:pPr>
    </w:p>
  </w:footnote>
  <w:footnote w:id="10">
    <w:p w14:paraId="0AB4C1D6" w14:textId="0A543F03" w:rsidR="00FF698B" w:rsidRPr="00581DBE" w:rsidRDefault="00FF698B" w:rsidP="002723D0">
      <w:pPr>
        <w:pStyle w:val="EndnoteText"/>
      </w:pPr>
      <w:r w:rsidRPr="00581DBE">
        <w:rPr>
          <w:rStyle w:val="FootnoteReference"/>
          <w:vertAlign w:val="baseline"/>
        </w:rPr>
        <w:footnoteRef/>
      </w:r>
      <w:r w:rsidR="00C26AD1">
        <w:t xml:space="preserve"> </w:t>
      </w:r>
      <w:r w:rsidRPr="00581DBE">
        <w:t xml:space="preserve">Through stakeholder consultation, various LLN organisations such have reported this issue for their workforce. </w:t>
      </w:r>
    </w:p>
  </w:footnote>
  <w:footnote w:id="11">
    <w:p w14:paraId="537CE43D" w14:textId="286D2174" w:rsidR="00FF698B" w:rsidRPr="00581DBE" w:rsidRDefault="00FF698B" w:rsidP="002723D0">
      <w:pPr>
        <w:pStyle w:val="EndnoteText"/>
      </w:pPr>
      <w:r w:rsidRPr="00581DBE">
        <w:rPr>
          <w:rStyle w:val="FootnoteReference"/>
          <w:vertAlign w:val="baseline"/>
        </w:rPr>
        <w:footnoteRef/>
      </w:r>
      <w:r w:rsidR="002B1B26">
        <w:t xml:space="preserve"> </w:t>
      </w:r>
      <w:r w:rsidRPr="00581DBE">
        <w:t>7.6% were unemployed and 1.4% did not state where they were working.</w:t>
      </w:r>
    </w:p>
  </w:footnote>
  <w:footnote w:id="12">
    <w:p w14:paraId="36AA1A06" w14:textId="77777777" w:rsidR="00386683" w:rsidRDefault="00386683" w:rsidP="002723D0">
      <w:pPr>
        <w:pStyle w:val="EndnoteText"/>
      </w:pPr>
      <w:r w:rsidRPr="00A728B1">
        <w:footnoteRef/>
      </w:r>
      <w:r w:rsidRPr="00A728B1">
        <w:t xml:space="preserve"> Data are held for</w:t>
      </w:r>
      <w:r w:rsidRPr="43BF1CBB">
        <w:t xml:space="preserve"> the years 2015-2022 inclusive, however 2015 commencements data are unreliably high (because commencements are based on presence or absence in the previous year’s enrolments and 2015 is the earliest year of full data, many 2015 enrolments are incorrectly categorized as commencements) and 2022 completions data are preliminary and low (they will increase when final 2022 commencements are published in 2023 data, released in August 2024). 2016-2021 data are therefore chosen here for comparability and accuracy.</w:t>
      </w:r>
    </w:p>
  </w:footnote>
  <w:footnote w:id="13">
    <w:p w14:paraId="36B52B20" w14:textId="77777777" w:rsidR="00386683" w:rsidRPr="00A10F27" w:rsidRDefault="00386683" w:rsidP="002723D0">
      <w:pPr>
        <w:pStyle w:val="EndnoteText"/>
      </w:pPr>
      <w:r w:rsidRPr="00A10F27">
        <w:footnoteRef/>
      </w:r>
      <w:r w:rsidRPr="00A10F27">
        <w:t xml:space="preserve"> All proportions of VET students who are First Nations or with Disability are under-counts. In VET, the number of students whose First Nations status is unknown (430,560 in 2022) is three times higher than the number who are identified as First Nations people (161,655 in 2022). This is also the case for students with disability (518,580 of unknown status in 2022 compared to 178,620 identified as with disability) </w:t>
      </w:r>
      <w:hyperlink r:id="rId2">
        <w:r w:rsidRPr="00A10F27">
          <w:rPr>
            <w:rStyle w:val="Hyperlink"/>
            <w:szCs w:val="18"/>
          </w:rPr>
          <w:t>https://www.ncver.edu.au/research-and-statistics/data/databuilder</w:t>
        </w:r>
      </w:hyperlink>
      <w:r w:rsidRPr="00A10F27">
        <w:t>.</w:t>
      </w:r>
    </w:p>
  </w:footnote>
  <w:footnote w:id="14">
    <w:p w14:paraId="3C0204A6" w14:textId="37927431" w:rsidR="006B297A" w:rsidRPr="00A87CDD" w:rsidRDefault="006B297A" w:rsidP="006B297A">
      <w:pPr>
        <w:pStyle w:val="EndnoteText"/>
      </w:pPr>
      <w:r w:rsidRPr="00117D1C">
        <w:footnoteRef/>
      </w:r>
      <w:r w:rsidRPr="00117D1C">
        <w:t xml:space="preserve"> But note that in </w:t>
      </w:r>
      <w:r w:rsidRPr="75B2B5FC">
        <w:t>DOM data, there are also categories for occupation unknown and no income tax return submitted</w:t>
      </w:r>
      <w:r w:rsidRPr="051E3530">
        <w:t xml:space="preserve"> which </w:t>
      </w:r>
      <w:r w:rsidRPr="2A146DC5">
        <w:t>make</w:t>
      </w:r>
      <w:r w:rsidRPr="0461BB25">
        <w:t xml:space="preserve"> up almost half of the </w:t>
      </w:r>
      <w:r w:rsidRPr="7EC6ED18">
        <w:t>inflows and over half of the outflow</w:t>
      </w:r>
      <w:r>
        <w:t>s.</w:t>
      </w:r>
    </w:p>
  </w:footnote>
  <w:footnote w:id="15">
    <w:p w14:paraId="597375DB" w14:textId="44956FA7" w:rsidR="00386683" w:rsidRDefault="00386683" w:rsidP="00386683">
      <w:pPr>
        <w:pStyle w:val="FootnoteText"/>
        <w:rPr>
          <w:lang w:val="en-AU"/>
        </w:rPr>
      </w:pPr>
      <w:r w:rsidRPr="002B1B26">
        <w:rPr>
          <w:rStyle w:val="FootnoteReference"/>
          <w:sz w:val="22"/>
          <w:szCs w:val="22"/>
          <w:vertAlign w:val="baseline"/>
        </w:rPr>
        <w:footnoteRef/>
      </w:r>
      <w:r w:rsidRPr="002B1B26">
        <w:rPr>
          <w:sz w:val="22"/>
          <w:szCs w:val="22"/>
          <w:lang w:val="en-AU"/>
        </w:rPr>
        <w:t xml:space="preserve"> </w:t>
      </w:r>
      <w:r w:rsidRPr="10621F33">
        <w:rPr>
          <w:lang w:val="en-AU"/>
        </w:rPr>
        <w:t xml:space="preserve">Percentage difference in year-to-year average wage for </w:t>
      </w:r>
      <w:r w:rsidR="00CC6D50">
        <w:rPr>
          <w:lang w:val="en-AU"/>
        </w:rPr>
        <w:t>VET teachers</w:t>
      </w:r>
      <w:r w:rsidRPr="10621F33">
        <w:rPr>
          <w:lang w:val="en-AU"/>
        </w:rPr>
        <w:t xml:space="preserve"> who were not </w:t>
      </w:r>
      <w:r w:rsidR="00CC6D50">
        <w:rPr>
          <w:lang w:val="en-AU"/>
        </w:rPr>
        <w:t>VET teachers</w:t>
      </w:r>
      <w:r w:rsidRPr="10621F33">
        <w:rPr>
          <w:lang w:val="en-AU"/>
        </w:rPr>
        <w:t xml:space="preserve"> in the previous financial year, adjusted for wage price index – PLIDA</w:t>
      </w:r>
      <w:r w:rsidR="00422759">
        <w:rPr>
          <w:lang w:val="en-AU"/>
        </w:rPr>
        <w:t>.</w:t>
      </w:r>
      <w:r w:rsidRPr="10621F33">
        <w:rPr>
          <w:lang w:val="en-AU"/>
        </w:rPr>
        <w:t xml:space="preserve"> </w:t>
      </w:r>
    </w:p>
  </w:footnote>
  <w:footnote w:id="16">
    <w:p w14:paraId="3CE852DD" w14:textId="77777777" w:rsidR="00E17A15" w:rsidRPr="00746847" w:rsidRDefault="00E17A15" w:rsidP="00E17A15">
      <w:pPr>
        <w:pStyle w:val="FootnoteText"/>
        <w:rPr>
          <w:lang w:val="en-AU"/>
        </w:rPr>
      </w:pPr>
      <w:r>
        <w:rPr>
          <w:rStyle w:val="FootnoteReference"/>
        </w:rPr>
        <w:footnoteRef/>
      </w:r>
      <w:r>
        <w:t xml:space="preserve"> </w:t>
      </w:r>
      <w:r>
        <w:rPr>
          <w:lang w:val="en-AU"/>
        </w:rPr>
        <w:t>Bendigo TAFE and Kangan TAFE merged in 2014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3B69F9" w14:paraId="1C817775" w14:textId="77777777">
      <w:trPr>
        <w:trHeight w:val="300"/>
      </w:trPr>
      <w:tc>
        <w:tcPr>
          <w:tcW w:w="3005" w:type="dxa"/>
        </w:tcPr>
        <w:p w14:paraId="440BAB03" w14:textId="77777777" w:rsidR="003B69F9" w:rsidRDefault="003B69F9">
          <w:pPr>
            <w:pStyle w:val="Header"/>
            <w:ind w:left="-115"/>
          </w:pPr>
        </w:p>
      </w:tc>
      <w:tc>
        <w:tcPr>
          <w:tcW w:w="3005" w:type="dxa"/>
        </w:tcPr>
        <w:p w14:paraId="0EAC6497" w14:textId="77777777" w:rsidR="003B69F9" w:rsidRDefault="003B69F9">
          <w:pPr>
            <w:pStyle w:val="Header"/>
            <w:jc w:val="center"/>
          </w:pPr>
        </w:p>
      </w:tc>
      <w:tc>
        <w:tcPr>
          <w:tcW w:w="3005" w:type="dxa"/>
        </w:tcPr>
        <w:p w14:paraId="069BA7CF" w14:textId="77777777" w:rsidR="003B69F9" w:rsidRDefault="003B69F9">
          <w:pPr>
            <w:pStyle w:val="Header"/>
            <w:ind w:right="-115"/>
            <w:jc w:val="right"/>
          </w:pPr>
        </w:p>
      </w:tc>
    </w:tr>
  </w:tbl>
  <w:p w14:paraId="2DD09361" w14:textId="77777777" w:rsidR="003B69F9" w:rsidRDefault="003B69F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3B69F9" w14:paraId="417666DA" w14:textId="77777777">
      <w:trPr>
        <w:trHeight w:val="300"/>
      </w:trPr>
      <w:tc>
        <w:tcPr>
          <w:tcW w:w="3005" w:type="dxa"/>
        </w:tcPr>
        <w:p w14:paraId="1C634778" w14:textId="77777777" w:rsidR="003B69F9" w:rsidRDefault="003B69F9">
          <w:pPr>
            <w:pStyle w:val="Header"/>
            <w:ind w:left="-115"/>
          </w:pPr>
        </w:p>
      </w:tc>
      <w:tc>
        <w:tcPr>
          <w:tcW w:w="3005" w:type="dxa"/>
        </w:tcPr>
        <w:p w14:paraId="27B97CEB" w14:textId="77777777" w:rsidR="003B69F9" w:rsidRDefault="003B69F9">
          <w:pPr>
            <w:pStyle w:val="Header"/>
            <w:jc w:val="center"/>
          </w:pPr>
        </w:p>
      </w:tc>
      <w:tc>
        <w:tcPr>
          <w:tcW w:w="3005" w:type="dxa"/>
        </w:tcPr>
        <w:p w14:paraId="11FA114D" w14:textId="77777777" w:rsidR="003B69F9" w:rsidRDefault="003B69F9">
          <w:pPr>
            <w:pStyle w:val="Header"/>
            <w:ind w:right="-115"/>
            <w:jc w:val="right"/>
          </w:pPr>
        </w:p>
      </w:tc>
    </w:tr>
  </w:tbl>
  <w:p w14:paraId="765495A7" w14:textId="77777777" w:rsidR="003B69F9" w:rsidRDefault="003B69F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2C01A4" w14:textId="77777777" w:rsidR="00D04724" w:rsidRDefault="00D04724">
    <w:pPr>
      <w:pStyle w:val="Header"/>
    </w:pPr>
    <w:r>
      <w:rPr>
        <w:noProof/>
      </w:rPr>
      <mc:AlternateContent>
        <mc:Choice Requires="wps">
          <w:drawing>
            <wp:anchor distT="0" distB="0" distL="114300" distR="114300" simplePos="0" relativeHeight="251658241" behindDoc="1" locked="0" layoutInCell="0" allowOverlap="1" wp14:anchorId="7BC45FDF" wp14:editId="379EF422">
              <wp:simplePos x="0" y="0"/>
              <wp:positionH relativeFrom="margin">
                <wp:align>center</wp:align>
              </wp:positionH>
              <wp:positionV relativeFrom="margin">
                <wp:align>center</wp:align>
              </wp:positionV>
              <wp:extent cx="5772150" cy="2308860"/>
              <wp:effectExtent l="0" t="0" r="0" b="0"/>
              <wp:wrapNone/>
              <wp:docPr id="3" name="Text Box 3"/>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txBox="1">
                      <a:spLocks noGrp="1" noRot="1" noChangeAspect="1" noResize="1" noEditPoints="1" noAdjustHandles="1" noChangeArrowheads="1" noChangeShapeType="1" noTextEdit="1"/>
                    </wps:cNvSpPr>
                    <wps:spPr bwMode="auto">
                      <a:xfrm rot="18900000">
                        <a:off x="0" y="0"/>
                        <a:ext cx="5772150" cy="23088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2DB26DF" w14:textId="77777777" w:rsidR="00D04724" w:rsidRDefault="00D04724" w:rsidP="0099489F">
                          <w:pPr>
                            <w:jc w:val="center"/>
                            <w:rPr>
                              <w:rFonts w:cs="Arial"/>
                              <w:color w:val="C0C0C0"/>
                              <w:sz w:val="16"/>
                              <w:szCs w:val="16"/>
                              <w:lang w:val="en-GB"/>
                              <w14:textFill>
                                <w14:solidFill>
                                  <w14:srgbClr w14:val="C0C0C0">
                                    <w14:alpha w14:val="50000"/>
                                  </w14:srgbClr>
                                </w14:solidFill>
                              </w14:textFill>
                            </w:rPr>
                          </w:pPr>
                          <w:r>
                            <w:rPr>
                              <w:rFonts w:cs="Arial"/>
                              <w:color w:val="C0C0C0"/>
                              <w:sz w:val="16"/>
                              <w:szCs w:val="16"/>
                              <w:lang w:val="en-GB"/>
                              <w14:textFill>
                                <w14:solidFill>
                                  <w14:srgbClr w14:val="C0C0C0">
                                    <w14:alpha w14:val="50000"/>
                                  </w14:srgbClr>
                                </w14:solidFill>
                              </w14:textFill>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7BC45FDF" id="_x0000_t202" coordsize="21600,21600" o:spt="202" path="m,l,21600r21600,l21600,xe">
              <v:stroke joinstyle="miter"/>
              <v:path gradientshapeok="t" o:connecttype="rect"/>
            </v:shapetype>
            <v:shape id="Text Box 3" o:spid="_x0000_s1027" type="#_x0000_t202" style="position:absolute;margin-left:0;margin-top:0;width:454.5pt;height:181.8pt;rotation:-45;z-index:-251658239;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" o:allowincell="f" filled="f" stroked="f">
              <v:stroke joinstyle="round"/>
              <o:lock v:ext="edit" rotation="t" aspectratio="t" verticies="t" adjusthandles="t" grouping="t" shapetype="t"/>
              <v:textbox>
                <w:txbxContent>
                  <w:p w14:paraId="22DB26DF" w14:textId="77777777" w:rsidR="00D04724" w:rsidRDefault="00D04724" w:rsidP="0099489F">
                    <w:pPr>
                      <w:jc w:val="center"/>
                      <w:rPr>
                        <w:rFonts w:cs="Arial"/>
                        <w:color w:val="C0C0C0"/>
                        <w:sz w:val="16"/>
                        <w:szCs w:val="16"/>
                        <w:lang w:val="en-GB"/>
                        <w14:textFill>
                          <w14:solidFill>
                            <w14:srgbClr w14:val="C0C0C0">
                              <w14:alpha w14:val="50000"/>
                            </w14:srgbClr>
                          </w14:solidFill>
                        </w14:textFill>
                      </w:rPr>
                    </w:pPr>
                    <w:r>
                      <w:rPr>
                        <w:rFonts w:cs="Arial"/>
                        <w:color w:val="C0C0C0"/>
                        <w:sz w:val="16"/>
                        <w:szCs w:val="16"/>
                        <w:lang w:val="en-GB"/>
                        <w14:textFill>
                          <w14:solidFill>
                            <w14:srgbClr w14:val="C0C0C0">
                              <w14:alpha w14:val="50000"/>
                            </w14:srgbClr>
                          </w14:solidFill>
                        </w14:textFill>
                      </w:rPr>
                      <w:t>DRAFT</w:t>
                    </w:r>
                  </w:p>
                </w:txbxContent>
              </v:textbox>
              <w10:wrap anchorx="margin" anchory="margin"/>
            </v:shape>
          </w:pict>
        </mc:Fallback>
      </mc:AlternateContent>
    </w:r>
  </w:p>
  <w:p w14:paraId="07F00222" w14:textId="77777777" w:rsidR="00401CE6" w:rsidRDefault="00401CE6"/>
  <w:p w14:paraId="351102E5" w14:textId="77777777" w:rsidR="00401CE6" w:rsidRDefault="00401CE6"/>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12FAB5" w14:textId="77777777" w:rsidR="00D04724" w:rsidRDefault="00D04724">
    <w:pPr>
      <w:pStyle w:val="Header"/>
    </w:pPr>
    <w:r>
      <w:rPr>
        <w:noProof/>
      </w:rPr>
      <mc:AlternateContent>
        <mc:Choice Requires="wps">
          <w:drawing>
            <wp:anchor distT="0" distB="0" distL="114300" distR="114300" simplePos="0" relativeHeight="251658240" behindDoc="1" locked="0" layoutInCell="0" allowOverlap="1" wp14:anchorId="62D16E79" wp14:editId="17880129">
              <wp:simplePos x="0" y="0"/>
              <wp:positionH relativeFrom="margin">
                <wp:align>center</wp:align>
              </wp:positionH>
              <wp:positionV relativeFrom="margin">
                <wp:align>center</wp:align>
              </wp:positionV>
              <wp:extent cx="5772150" cy="2308860"/>
              <wp:effectExtent l="0" t="0" r="0" b="0"/>
              <wp:wrapNone/>
              <wp:docPr id="1" name="Text Box 1"/>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txBox="1">
                      <a:spLocks noGrp="1" noRot="1" noChangeAspect="1" noResize="1" noEditPoints="1" noAdjustHandles="1" noChangeArrowheads="1" noChangeShapeType="1" noTextEdit="1"/>
                    </wps:cNvSpPr>
                    <wps:spPr bwMode="auto">
                      <a:xfrm rot="18900000">
                        <a:off x="0" y="0"/>
                        <a:ext cx="5772150" cy="23088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4F06B67" w14:textId="77777777" w:rsidR="00D04724" w:rsidRDefault="00D04724" w:rsidP="0099489F">
                          <w:pPr>
                            <w:jc w:val="center"/>
                            <w:rPr>
                              <w:rFonts w:cs="Arial"/>
                              <w:color w:val="C0C0C0"/>
                              <w:sz w:val="16"/>
                              <w:szCs w:val="16"/>
                              <w:lang w:val="en-GB"/>
                              <w14:textFill>
                                <w14:solidFill>
                                  <w14:srgbClr w14:val="C0C0C0">
                                    <w14:alpha w14:val="50000"/>
                                  </w14:srgbClr>
                                </w14:solidFill>
                              </w14:textFill>
                            </w:rPr>
                          </w:pPr>
                          <w:r>
                            <w:rPr>
                              <w:rFonts w:cs="Arial"/>
                              <w:color w:val="C0C0C0"/>
                              <w:sz w:val="16"/>
                              <w:szCs w:val="16"/>
                              <w:lang w:val="en-GB"/>
                              <w14:textFill>
                                <w14:solidFill>
                                  <w14:srgbClr w14:val="C0C0C0">
                                    <w14:alpha w14:val="50000"/>
                                  </w14:srgbClr>
                                </w14:solidFill>
                              </w14:textFill>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62D16E79" id="_x0000_t202" coordsize="21600,21600" o:spt="202" path="m,l,21600r21600,l21600,xe">
              <v:stroke joinstyle="miter"/>
              <v:path gradientshapeok="t" o:connecttype="rect"/>
            </v:shapetype>
            <v:shape id="Text Box 1" o:spid="_x0000_s1028" type="#_x0000_t202" style="position:absolute;margin-left:0;margin-top:0;width:454.5pt;height:181.8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" o:allowincell="f" filled="f" stroked="f">
              <v:stroke joinstyle="round"/>
              <o:lock v:ext="edit" rotation="t" aspectratio="t" verticies="t" adjusthandles="t" grouping="t" shapetype="t"/>
              <v:textbox>
                <w:txbxContent>
                  <w:p w14:paraId="64F06B67" w14:textId="77777777" w:rsidR="00D04724" w:rsidRDefault="00D04724" w:rsidP="0099489F">
                    <w:pPr>
                      <w:jc w:val="center"/>
                      <w:rPr>
                        <w:rFonts w:cs="Arial"/>
                        <w:color w:val="C0C0C0"/>
                        <w:sz w:val="16"/>
                        <w:szCs w:val="16"/>
                        <w:lang w:val="en-GB"/>
                        <w14:textFill>
                          <w14:solidFill>
                            <w14:srgbClr w14:val="C0C0C0">
                              <w14:alpha w14:val="50000"/>
                            </w14:srgbClr>
                          </w14:solidFill>
                        </w14:textFill>
                      </w:rPr>
                    </w:pPr>
                    <w:r>
                      <w:rPr>
                        <w:rFonts w:cs="Arial"/>
                        <w:color w:val="C0C0C0"/>
                        <w:sz w:val="16"/>
                        <w:szCs w:val="16"/>
                        <w:lang w:val="en-GB"/>
                        <w14:textFill>
                          <w14:solidFill>
                            <w14:srgbClr w14:val="C0C0C0">
                              <w14:alpha w14:val="50000"/>
                            </w14:srgbClr>
                          </w14:solidFill>
                        </w14:textFill>
                      </w:rPr>
                      <w:t>DRAFT</w:t>
                    </w:r>
                  </w:p>
                </w:txbxContent>
              </v:textbox>
              <w10:wrap anchorx="margin"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B99103" w14:textId="3EB3B9AC" w:rsidR="0025749C" w:rsidRDefault="0025749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50BD9C" w14:textId="0FE6D34E" w:rsidR="0025749C" w:rsidRDefault="0025749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92E58C" w14:textId="3A934465" w:rsidR="0025749C" w:rsidRDefault="0025749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C712A28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DBE150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E972598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45AE7D9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215C180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005E3D7A"/>
    <w:multiLevelType w:val="hybridMultilevel"/>
    <w:tmpl w:val="4D8C8002"/>
    <w:lvl w:ilvl="0" w:tplc="44802D8E">
      <w:start w:val="1"/>
      <w:numFmt w:val="bullet"/>
      <w:lvlText w:val="•"/>
      <w:lvlJc w:val="left"/>
      <w:pPr>
        <w:tabs>
          <w:tab w:val="num" w:pos="720"/>
        </w:tabs>
        <w:ind w:left="720" w:hanging="360"/>
      </w:pPr>
      <w:rPr>
        <w:rFonts w:ascii="Arial" w:hAnsi="Arial" w:hint="default"/>
      </w:rPr>
    </w:lvl>
    <w:lvl w:ilvl="1" w:tplc="EDB0F9E8">
      <w:numFmt w:val="bullet"/>
      <w:lvlText w:val="•"/>
      <w:lvlJc w:val="left"/>
      <w:pPr>
        <w:tabs>
          <w:tab w:val="num" w:pos="1440"/>
        </w:tabs>
        <w:ind w:left="1440" w:hanging="360"/>
      </w:pPr>
      <w:rPr>
        <w:rFonts w:ascii="Arial" w:hAnsi="Arial" w:hint="default"/>
      </w:rPr>
    </w:lvl>
    <w:lvl w:ilvl="2" w:tplc="CD3CFC94">
      <w:numFmt w:val="bullet"/>
      <w:lvlText w:val="•"/>
      <w:lvlJc w:val="left"/>
      <w:pPr>
        <w:tabs>
          <w:tab w:val="num" w:pos="2160"/>
        </w:tabs>
        <w:ind w:left="2160" w:hanging="360"/>
      </w:pPr>
      <w:rPr>
        <w:rFonts w:ascii="Arial" w:hAnsi="Arial" w:hint="default"/>
      </w:rPr>
    </w:lvl>
    <w:lvl w:ilvl="3" w:tplc="716E0D78" w:tentative="1">
      <w:start w:val="1"/>
      <w:numFmt w:val="bullet"/>
      <w:lvlText w:val="•"/>
      <w:lvlJc w:val="left"/>
      <w:pPr>
        <w:tabs>
          <w:tab w:val="num" w:pos="2880"/>
        </w:tabs>
        <w:ind w:left="2880" w:hanging="360"/>
      </w:pPr>
      <w:rPr>
        <w:rFonts w:ascii="Arial" w:hAnsi="Arial" w:hint="default"/>
      </w:rPr>
    </w:lvl>
    <w:lvl w:ilvl="4" w:tplc="0312241E" w:tentative="1">
      <w:start w:val="1"/>
      <w:numFmt w:val="bullet"/>
      <w:lvlText w:val="•"/>
      <w:lvlJc w:val="left"/>
      <w:pPr>
        <w:tabs>
          <w:tab w:val="num" w:pos="3600"/>
        </w:tabs>
        <w:ind w:left="3600" w:hanging="360"/>
      </w:pPr>
      <w:rPr>
        <w:rFonts w:ascii="Arial" w:hAnsi="Arial" w:hint="default"/>
      </w:rPr>
    </w:lvl>
    <w:lvl w:ilvl="5" w:tplc="0748C7D4" w:tentative="1">
      <w:start w:val="1"/>
      <w:numFmt w:val="bullet"/>
      <w:lvlText w:val="•"/>
      <w:lvlJc w:val="left"/>
      <w:pPr>
        <w:tabs>
          <w:tab w:val="num" w:pos="4320"/>
        </w:tabs>
        <w:ind w:left="4320" w:hanging="360"/>
      </w:pPr>
      <w:rPr>
        <w:rFonts w:ascii="Arial" w:hAnsi="Arial" w:hint="default"/>
      </w:rPr>
    </w:lvl>
    <w:lvl w:ilvl="6" w:tplc="BBE866BA" w:tentative="1">
      <w:start w:val="1"/>
      <w:numFmt w:val="bullet"/>
      <w:lvlText w:val="•"/>
      <w:lvlJc w:val="left"/>
      <w:pPr>
        <w:tabs>
          <w:tab w:val="num" w:pos="5040"/>
        </w:tabs>
        <w:ind w:left="5040" w:hanging="360"/>
      </w:pPr>
      <w:rPr>
        <w:rFonts w:ascii="Arial" w:hAnsi="Arial" w:hint="default"/>
      </w:rPr>
    </w:lvl>
    <w:lvl w:ilvl="7" w:tplc="55784C22" w:tentative="1">
      <w:start w:val="1"/>
      <w:numFmt w:val="bullet"/>
      <w:lvlText w:val="•"/>
      <w:lvlJc w:val="left"/>
      <w:pPr>
        <w:tabs>
          <w:tab w:val="num" w:pos="5760"/>
        </w:tabs>
        <w:ind w:left="5760" w:hanging="360"/>
      </w:pPr>
      <w:rPr>
        <w:rFonts w:ascii="Arial" w:hAnsi="Arial" w:hint="default"/>
      </w:rPr>
    </w:lvl>
    <w:lvl w:ilvl="8" w:tplc="3D0A341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1565798"/>
    <w:multiLevelType w:val="hybridMultilevel"/>
    <w:tmpl w:val="8FE4AA06"/>
    <w:lvl w:ilvl="0" w:tplc="5448D032">
      <w:start w:val="1"/>
      <w:numFmt w:val="decimal"/>
      <w:lvlText w:val="%1."/>
      <w:lvlJc w:val="left"/>
      <w:pPr>
        <w:ind w:left="1440" w:hanging="360"/>
      </w:pPr>
    </w:lvl>
    <w:lvl w:ilvl="1" w:tplc="BEB83CEE">
      <w:start w:val="1"/>
      <w:numFmt w:val="lowerLetter"/>
      <w:lvlText w:val="%2."/>
      <w:lvlJc w:val="left"/>
      <w:pPr>
        <w:ind w:left="2160" w:hanging="360"/>
      </w:pPr>
    </w:lvl>
    <w:lvl w:ilvl="2" w:tplc="E7183ED8">
      <w:start w:val="1"/>
      <w:numFmt w:val="lowerRoman"/>
      <w:lvlText w:val="%3."/>
      <w:lvlJc w:val="right"/>
      <w:pPr>
        <w:ind w:left="2880" w:hanging="180"/>
      </w:pPr>
    </w:lvl>
    <w:lvl w:ilvl="3" w:tplc="6E12287A">
      <w:start w:val="1"/>
      <w:numFmt w:val="decimal"/>
      <w:lvlText w:val="%4."/>
      <w:lvlJc w:val="left"/>
      <w:pPr>
        <w:ind w:left="3600" w:hanging="360"/>
      </w:pPr>
    </w:lvl>
    <w:lvl w:ilvl="4" w:tplc="4106F5B6">
      <w:start w:val="1"/>
      <w:numFmt w:val="lowerLetter"/>
      <w:lvlText w:val="%5."/>
      <w:lvlJc w:val="left"/>
      <w:pPr>
        <w:ind w:left="4320" w:hanging="360"/>
      </w:pPr>
    </w:lvl>
    <w:lvl w:ilvl="5" w:tplc="F516CD50">
      <w:start w:val="1"/>
      <w:numFmt w:val="lowerRoman"/>
      <w:lvlText w:val="%6."/>
      <w:lvlJc w:val="right"/>
      <w:pPr>
        <w:ind w:left="5040" w:hanging="180"/>
      </w:pPr>
    </w:lvl>
    <w:lvl w:ilvl="6" w:tplc="3236BC28">
      <w:start w:val="1"/>
      <w:numFmt w:val="decimal"/>
      <w:lvlText w:val="%7."/>
      <w:lvlJc w:val="left"/>
      <w:pPr>
        <w:ind w:left="5760" w:hanging="360"/>
      </w:pPr>
    </w:lvl>
    <w:lvl w:ilvl="7" w:tplc="DC5AFB46">
      <w:start w:val="1"/>
      <w:numFmt w:val="lowerLetter"/>
      <w:lvlText w:val="%8."/>
      <w:lvlJc w:val="left"/>
      <w:pPr>
        <w:ind w:left="6480" w:hanging="360"/>
      </w:pPr>
    </w:lvl>
    <w:lvl w:ilvl="8" w:tplc="70421278">
      <w:start w:val="1"/>
      <w:numFmt w:val="lowerRoman"/>
      <w:lvlText w:val="%9."/>
      <w:lvlJc w:val="right"/>
      <w:pPr>
        <w:ind w:left="7200" w:hanging="180"/>
      </w:pPr>
    </w:lvl>
  </w:abstractNum>
  <w:abstractNum w:abstractNumId="7" w15:restartNumberingAfterBreak="0">
    <w:nsid w:val="017801E8"/>
    <w:multiLevelType w:val="multilevel"/>
    <w:tmpl w:val="5F28D78A"/>
    <w:lvl w:ilvl="0">
      <w:start w:val="1"/>
      <w:numFmt w:val="decimal"/>
      <w:lvlText w:val="Chapter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06D67EF4"/>
    <w:multiLevelType w:val="hybridMultilevel"/>
    <w:tmpl w:val="5024EE80"/>
    <w:lvl w:ilvl="0" w:tplc="45702768">
      <w:start w:val="1"/>
      <w:numFmt w:val="bullet"/>
      <w:lvlText w:val="•"/>
      <w:lvlJc w:val="left"/>
      <w:pPr>
        <w:tabs>
          <w:tab w:val="num" w:pos="720"/>
        </w:tabs>
        <w:ind w:left="720" w:hanging="360"/>
      </w:pPr>
      <w:rPr>
        <w:rFonts w:ascii="Arial" w:hAnsi="Arial" w:hint="default"/>
      </w:rPr>
    </w:lvl>
    <w:lvl w:ilvl="1" w:tplc="2E3611DC">
      <w:start w:val="1"/>
      <w:numFmt w:val="bullet"/>
      <w:lvlText w:val="•"/>
      <w:lvlJc w:val="left"/>
      <w:pPr>
        <w:tabs>
          <w:tab w:val="num" w:pos="1440"/>
        </w:tabs>
        <w:ind w:left="1440" w:hanging="360"/>
      </w:pPr>
      <w:rPr>
        <w:rFonts w:ascii="Arial" w:hAnsi="Arial" w:hint="default"/>
      </w:rPr>
    </w:lvl>
    <w:lvl w:ilvl="2" w:tplc="A1AA8A9E">
      <w:numFmt w:val="bullet"/>
      <w:lvlText w:val="•"/>
      <w:lvlJc w:val="left"/>
      <w:pPr>
        <w:tabs>
          <w:tab w:val="num" w:pos="2160"/>
        </w:tabs>
        <w:ind w:left="2160" w:hanging="360"/>
      </w:pPr>
      <w:rPr>
        <w:rFonts w:ascii="Arial" w:hAnsi="Arial" w:hint="default"/>
      </w:rPr>
    </w:lvl>
    <w:lvl w:ilvl="3" w:tplc="4CC69816" w:tentative="1">
      <w:start w:val="1"/>
      <w:numFmt w:val="bullet"/>
      <w:lvlText w:val="•"/>
      <w:lvlJc w:val="left"/>
      <w:pPr>
        <w:tabs>
          <w:tab w:val="num" w:pos="2880"/>
        </w:tabs>
        <w:ind w:left="2880" w:hanging="360"/>
      </w:pPr>
      <w:rPr>
        <w:rFonts w:ascii="Arial" w:hAnsi="Arial" w:hint="default"/>
      </w:rPr>
    </w:lvl>
    <w:lvl w:ilvl="4" w:tplc="253845A4" w:tentative="1">
      <w:start w:val="1"/>
      <w:numFmt w:val="bullet"/>
      <w:lvlText w:val="•"/>
      <w:lvlJc w:val="left"/>
      <w:pPr>
        <w:tabs>
          <w:tab w:val="num" w:pos="3600"/>
        </w:tabs>
        <w:ind w:left="3600" w:hanging="360"/>
      </w:pPr>
      <w:rPr>
        <w:rFonts w:ascii="Arial" w:hAnsi="Arial" w:hint="default"/>
      </w:rPr>
    </w:lvl>
    <w:lvl w:ilvl="5" w:tplc="1A6C1018" w:tentative="1">
      <w:start w:val="1"/>
      <w:numFmt w:val="bullet"/>
      <w:lvlText w:val="•"/>
      <w:lvlJc w:val="left"/>
      <w:pPr>
        <w:tabs>
          <w:tab w:val="num" w:pos="4320"/>
        </w:tabs>
        <w:ind w:left="4320" w:hanging="360"/>
      </w:pPr>
      <w:rPr>
        <w:rFonts w:ascii="Arial" w:hAnsi="Arial" w:hint="default"/>
      </w:rPr>
    </w:lvl>
    <w:lvl w:ilvl="6" w:tplc="A3D2505C" w:tentative="1">
      <w:start w:val="1"/>
      <w:numFmt w:val="bullet"/>
      <w:lvlText w:val="•"/>
      <w:lvlJc w:val="left"/>
      <w:pPr>
        <w:tabs>
          <w:tab w:val="num" w:pos="5040"/>
        </w:tabs>
        <w:ind w:left="5040" w:hanging="360"/>
      </w:pPr>
      <w:rPr>
        <w:rFonts w:ascii="Arial" w:hAnsi="Arial" w:hint="default"/>
      </w:rPr>
    </w:lvl>
    <w:lvl w:ilvl="7" w:tplc="31A024F4" w:tentative="1">
      <w:start w:val="1"/>
      <w:numFmt w:val="bullet"/>
      <w:lvlText w:val="•"/>
      <w:lvlJc w:val="left"/>
      <w:pPr>
        <w:tabs>
          <w:tab w:val="num" w:pos="5760"/>
        </w:tabs>
        <w:ind w:left="5760" w:hanging="360"/>
      </w:pPr>
      <w:rPr>
        <w:rFonts w:ascii="Arial" w:hAnsi="Arial" w:hint="default"/>
      </w:rPr>
    </w:lvl>
    <w:lvl w:ilvl="8" w:tplc="F77A887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955313A"/>
    <w:multiLevelType w:val="hybridMultilevel"/>
    <w:tmpl w:val="5C524B8E"/>
    <w:lvl w:ilvl="0" w:tplc="0C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0" w15:restartNumberingAfterBreak="0">
    <w:nsid w:val="0CEE2FC1"/>
    <w:multiLevelType w:val="hybridMultilevel"/>
    <w:tmpl w:val="97C2553A"/>
    <w:lvl w:ilvl="0" w:tplc="F86289F0">
      <w:start w:val="1"/>
      <w:numFmt w:val="bullet"/>
      <w:lvlText w:val="•"/>
      <w:lvlJc w:val="left"/>
      <w:pPr>
        <w:tabs>
          <w:tab w:val="num" w:pos="720"/>
        </w:tabs>
        <w:ind w:left="720" w:hanging="360"/>
      </w:pPr>
      <w:rPr>
        <w:rFonts w:ascii="Arial" w:hAnsi="Arial" w:hint="default"/>
      </w:rPr>
    </w:lvl>
    <w:lvl w:ilvl="1" w:tplc="3C669E02">
      <w:numFmt w:val="bullet"/>
      <w:lvlText w:val="•"/>
      <w:lvlJc w:val="left"/>
      <w:pPr>
        <w:tabs>
          <w:tab w:val="num" w:pos="1440"/>
        </w:tabs>
        <w:ind w:left="1440" w:hanging="360"/>
      </w:pPr>
      <w:rPr>
        <w:rFonts w:ascii="Arial" w:hAnsi="Arial" w:hint="default"/>
      </w:rPr>
    </w:lvl>
    <w:lvl w:ilvl="2" w:tplc="45740722">
      <w:numFmt w:val="bullet"/>
      <w:lvlText w:val="•"/>
      <w:lvlJc w:val="left"/>
      <w:pPr>
        <w:tabs>
          <w:tab w:val="num" w:pos="2160"/>
        </w:tabs>
        <w:ind w:left="2160" w:hanging="360"/>
      </w:pPr>
      <w:rPr>
        <w:rFonts w:ascii="Arial" w:hAnsi="Arial" w:hint="default"/>
      </w:rPr>
    </w:lvl>
    <w:lvl w:ilvl="3" w:tplc="E124A8F8">
      <w:numFmt w:val="bullet"/>
      <w:lvlText w:val="•"/>
      <w:lvlJc w:val="left"/>
      <w:pPr>
        <w:tabs>
          <w:tab w:val="num" w:pos="2880"/>
        </w:tabs>
        <w:ind w:left="2880" w:hanging="360"/>
      </w:pPr>
      <w:rPr>
        <w:rFonts w:ascii="Arial" w:hAnsi="Arial" w:hint="default"/>
      </w:rPr>
    </w:lvl>
    <w:lvl w:ilvl="4" w:tplc="C1A4568A">
      <w:numFmt w:val="bullet"/>
      <w:lvlText w:val="•"/>
      <w:lvlJc w:val="left"/>
      <w:pPr>
        <w:tabs>
          <w:tab w:val="num" w:pos="3600"/>
        </w:tabs>
        <w:ind w:left="3600" w:hanging="360"/>
      </w:pPr>
      <w:rPr>
        <w:rFonts w:ascii="Arial" w:hAnsi="Arial" w:hint="default"/>
      </w:rPr>
    </w:lvl>
    <w:lvl w:ilvl="5" w:tplc="561A94A0" w:tentative="1">
      <w:start w:val="1"/>
      <w:numFmt w:val="bullet"/>
      <w:lvlText w:val="•"/>
      <w:lvlJc w:val="left"/>
      <w:pPr>
        <w:tabs>
          <w:tab w:val="num" w:pos="4320"/>
        </w:tabs>
        <w:ind w:left="4320" w:hanging="360"/>
      </w:pPr>
      <w:rPr>
        <w:rFonts w:ascii="Arial" w:hAnsi="Arial" w:hint="default"/>
      </w:rPr>
    </w:lvl>
    <w:lvl w:ilvl="6" w:tplc="262A6D1C" w:tentative="1">
      <w:start w:val="1"/>
      <w:numFmt w:val="bullet"/>
      <w:lvlText w:val="•"/>
      <w:lvlJc w:val="left"/>
      <w:pPr>
        <w:tabs>
          <w:tab w:val="num" w:pos="5040"/>
        </w:tabs>
        <w:ind w:left="5040" w:hanging="360"/>
      </w:pPr>
      <w:rPr>
        <w:rFonts w:ascii="Arial" w:hAnsi="Arial" w:hint="default"/>
      </w:rPr>
    </w:lvl>
    <w:lvl w:ilvl="7" w:tplc="6B400D4C" w:tentative="1">
      <w:start w:val="1"/>
      <w:numFmt w:val="bullet"/>
      <w:lvlText w:val="•"/>
      <w:lvlJc w:val="left"/>
      <w:pPr>
        <w:tabs>
          <w:tab w:val="num" w:pos="5760"/>
        </w:tabs>
        <w:ind w:left="5760" w:hanging="360"/>
      </w:pPr>
      <w:rPr>
        <w:rFonts w:ascii="Arial" w:hAnsi="Arial" w:hint="default"/>
      </w:rPr>
    </w:lvl>
    <w:lvl w:ilvl="8" w:tplc="56F8EC2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0D1E5F7D"/>
    <w:multiLevelType w:val="hybridMultilevel"/>
    <w:tmpl w:val="0400CE12"/>
    <w:lvl w:ilvl="0" w:tplc="EC24DFE6">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83B3CE3"/>
    <w:multiLevelType w:val="multilevel"/>
    <w:tmpl w:val="19FE82CC"/>
    <w:lvl w:ilvl="0">
      <w:start w:val="4"/>
      <w:numFmt w:val="decimal"/>
      <w:lvlText w:val="Chapter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18B51A2F"/>
    <w:multiLevelType w:val="multilevel"/>
    <w:tmpl w:val="40BCE488"/>
    <w:lvl w:ilvl="0">
      <w:start w:val="3"/>
      <w:numFmt w:val="decimal"/>
      <w:lvlText w:val="Chapter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1A4A33AF"/>
    <w:multiLevelType w:val="hybridMultilevel"/>
    <w:tmpl w:val="0FBABB40"/>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D585F53"/>
    <w:multiLevelType w:val="multilevel"/>
    <w:tmpl w:val="3DD44284"/>
    <w:name w:val="ListBullets"/>
    <w:lvl w:ilvl="0">
      <w:start w:val="1"/>
      <w:numFmt w:val="bullet"/>
      <w:lvlText w:val="•"/>
      <w:lvlJc w:val="left"/>
      <w:pPr>
        <w:ind w:left="340" w:hanging="340"/>
      </w:pPr>
      <w:rPr>
        <w:rFonts w:ascii="Calibri" w:hAnsi="Calibri" w:hint="default"/>
        <w:color w:val="auto"/>
      </w:rPr>
    </w:lvl>
    <w:lvl w:ilvl="1">
      <w:start w:val="1"/>
      <w:numFmt w:val="bullet"/>
      <w:pStyle w:val="ListBullet2"/>
      <w:lvlText w:val="–"/>
      <w:lvlJc w:val="left"/>
      <w:pPr>
        <w:ind w:left="680" w:hanging="340"/>
      </w:pPr>
      <w:rPr>
        <w:rFonts w:ascii="Arial" w:hAnsi="Arial" w:hint="default"/>
        <w:color w:val="auto"/>
      </w:rPr>
    </w:lvl>
    <w:lvl w:ilvl="2">
      <w:start w:val="1"/>
      <w:numFmt w:val="bullet"/>
      <w:pStyle w:val="ListBullet3"/>
      <w:lvlText w:val="○"/>
      <w:lvlJc w:val="left"/>
      <w:pPr>
        <w:ind w:left="1020" w:hanging="340"/>
      </w:pPr>
      <w:rPr>
        <w:rFonts w:ascii="Times New Roman" w:hAnsi="Times New Roman" w:cs="Times New Roman" w:hint="default"/>
        <w:color w:val="auto"/>
      </w:rPr>
    </w:lvl>
    <w:lvl w:ilvl="3">
      <w:start w:val="1"/>
      <w:numFmt w:val="bullet"/>
      <w:pStyle w:val="ListBullet4"/>
      <w:lvlText w:val="•"/>
      <w:lvlJc w:val="left"/>
      <w:pPr>
        <w:ind w:left="1360" w:hanging="340"/>
      </w:pPr>
      <w:rPr>
        <w:rFonts w:ascii="Arial" w:hAnsi="Arial" w:hint="default"/>
        <w:color w:val="auto"/>
      </w:rPr>
    </w:lvl>
    <w:lvl w:ilvl="4">
      <w:start w:val="1"/>
      <w:numFmt w:val="none"/>
      <w:lvlText w:val=""/>
      <w:lvlJc w:val="left"/>
      <w:pPr>
        <w:tabs>
          <w:tab w:val="num" w:pos="1712"/>
        </w:tabs>
        <w:ind w:left="1700" w:hanging="340"/>
      </w:pPr>
      <w:rPr>
        <w:rFonts w:hint="default"/>
      </w:rPr>
    </w:lvl>
    <w:lvl w:ilvl="5">
      <w:start w:val="1"/>
      <w:numFmt w:val="none"/>
      <w:lvlText w:val=""/>
      <w:lvlJc w:val="left"/>
      <w:pPr>
        <w:tabs>
          <w:tab w:val="num" w:pos="2069"/>
        </w:tabs>
        <w:ind w:left="2040" w:hanging="340"/>
      </w:pPr>
      <w:rPr>
        <w:rFonts w:hint="default"/>
      </w:rPr>
    </w:lvl>
    <w:lvl w:ilvl="6">
      <w:start w:val="1"/>
      <w:numFmt w:val="none"/>
      <w:lvlText w:val=""/>
      <w:lvlJc w:val="left"/>
      <w:pPr>
        <w:tabs>
          <w:tab w:val="num" w:pos="2426"/>
        </w:tabs>
        <w:ind w:left="2380" w:hanging="340"/>
      </w:pPr>
      <w:rPr>
        <w:rFonts w:hint="default"/>
      </w:rPr>
    </w:lvl>
    <w:lvl w:ilvl="7">
      <w:start w:val="1"/>
      <w:numFmt w:val="none"/>
      <w:lvlText w:val=""/>
      <w:lvlJc w:val="left"/>
      <w:pPr>
        <w:tabs>
          <w:tab w:val="num" w:pos="2783"/>
        </w:tabs>
        <w:ind w:left="2720" w:hanging="340"/>
      </w:pPr>
      <w:rPr>
        <w:rFonts w:hint="default"/>
      </w:rPr>
    </w:lvl>
    <w:lvl w:ilvl="8">
      <w:start w:val="1"/>
      <w:numFmt w:val="none"/>
      <w:lvlText w:val=""/>
      <w:lvlJc w:val="left"/>
      <w:pPr>
        <w:tabs>
          <w:tab w:val="num" w:pos="3140"/>
        </w:tabs>
        <w:ind w:left="3060" w:hanging="340"/>
      </w:pPr>
      <w:rPr>
        <w:rFonts w:hint="default"/>
      </w:rPr>
    </w:lvl>
  </w:abstractNum>
  <w:abstractNum w:abstractNumId="16" w15:restartNumberingAfterBreak="0">
    <w:nsid w:val="217D0084"/>
    <w:multiLevelType w:val="hybridMultilevel"/>
    <w:tmpl w:val="D758C1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68453BD"/>
    <w:multiLevelType w:val="multilevel"/>
    <w:tmpl w:val="EFA8C30A"/>
    <w:lvl w:ilvl="0">
      <w:start w:val="2"/>
      <w:numFmt w:val="decimal"/>
      <w:lvlText w:val="Chapter %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2A1E03A0"/>
    <w:multiLevelType w:val="multilevel"/>
    <w:tmpl w:val="61CA1AE8"/>
    <w:lvl w:ilvl="0">
      <w:start w:val="1"/>
      <w:numFmt w:val="upperLetter"/>
      <w:lvlText w:val="Appendix %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300A3713"/>
    <w:multiLevelType w:val="hybridMultilevel"/>
    <w:tmpl w:val="1370F2FE"/>
    <w:lvl w:ilvl="0" w:tplc="C1CC5154">
      <w:start w:val="1"/>
      <w:numFmt w:val="decimal"/>
      <w:pStyle w:val="ListBullet6"/>
      <w:lvlText w:val="%1."/>
      <w:lvlJc w:val="left"/>
      <w:pPr>
        <w:ind w:left="360" w:hanging="360"/>
      </w:pPr>
      <w:rPr>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0765964"/>
    <w:multiLevelType w:val="multilevel"/>
    <w:tmpl w:val="61CA1AE8"/>
    <w:lvl w:ilvl="0">
      <w:start w:val="1"/>
      <w:numFmt w:val="upperLetter"/>
      <w:lvlText w:val="Appendix %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6AC00A13"/>
    <w:multiLevelType w:val="hybridMultilevel"/>
    <w:tmpl w:val="21F2C84C"/>
    <w:lvl w:ilvl="0" w:tplc="12383B24">
      <w:start w:val="1"/>
      <w:numFmt w:val="bullet"/>
      <w:lvlText w:val="-"/>
      <w:lvlJc w:val="left"/>
      <w:pPr>
        <w:ind w:left="1004" w:hanging="360"/>
      </w:pPr>
      <w:rPr>
        <w:rFonts w:ascii="Courier New" w:hAnsi="Courier New" w:hint="default"/>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22" w15:restartNumberingAfterBreak="0">
    <w:nsid w:val="6E6568BB"/>
    <w:multiLevelType w:val="hybridMultilevel"/>
    <w:tmpl w:val="93E07882"/>
    <w:lvl w:ilvl="0" w:tplc="FB20ABCA">
      <w:start w:val="1"/>
      <w:numFmt w:val="bullet"/>
      <w:pStyle w:val="Dotpoint1"/>
      <w:lvlText w:val=""/>
      <w:lvlJc w:val="left"/>
      <w:pPr>
        <w:ind w:left="360" w:hanging="360"/>
      </w:pPr>
      <w:rPr>
        <w:rFonts w:ascii="Wingdings" w:hAnsi="Wingdings" w:hint="default"/>
      </w:rPr>
    </w:lvl>
    <w:lvl w:ilvl="1" w:tplc="4410AFD6">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3" w15:restartNumberingAfterBreak="0">
    <w:nsid w:val="711A5012"/>
    <w:multiLevelType w:val="hybridMultilevel"/>
    <w:tmpl w:val="1340E3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25200B7"/>
    <w:multiLevelType w:val="hybridMultilevel"/>
    <w:tmpl w:val="439AB91C"/>
    <w:lvl w:ilvl="0" w:tplc="FBD81D50">
      <w:start w:val="1"/>
      <w:numFmt w:val="bullet"/>
      <w:pStyle w:val="hiddentextbody"/>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7316B80"/>
    <w:multiLevelType w:val="hybridMultilevel"/>
    <w:tmpl w:val="B04A85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79026E9"/>
    <w:multiLevelType w:val="hybridMultilevel"/>
    <w:tmpl w:val="C6949DCA"/>
    <w:lvl w:ilvl="0" w:tplc="0C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7CD0DA7F"/>
    <w:multiLevelType w:val="hybridMultilevel"/>
    <w:tmpl w:val="A0FA02AA"/>
    <w:lvl w:ilvl="0" w:tplc="A0D814C8">
      <w:start w:val="1"/>
      <w:numFmt w:val="bullet"/>
      <w:pStyle w:val="ListBullet"/>
      <w:lvlText w:val=""/>
      <w:lvlJc w:val="left"/>
      <w:pPr>
        <w:ind w:left="720" w:hanging="360"/>
      </w:pPr>
      <w:rPr>
        <w:rFonts w:ascii="Symbol" w:hAnsi="Symbol" w:hint="default"/>
      </w:rPr>
    </w:lvl>
    <w:lvl w:ilvl="1" w:tplc="B476C210">
      <w:start w:val="1"/>
      <w:numFmt w:val="bullet"/>
      <w:lvlText w:val="o"/>
      <w:lvlJc w:val="left"/>
      <w:pPr>
        <w:ind w:left="1440" w:hanging="360"/>
      </w:pPr>
      <w:rPr>
        <w:rFonts w:ascii="Courier New" w:hAnsi="Courier New" w:hint="default"/>
      </w:rPr>
    </w:lvl>
    <w:lvl w:ilvl="2" w:tplc="884AE3F8">
      <w:start w:val="1"/>
      <w:numFmt w:val="bullet"/>
      <w:lvlText w:val=""/>
      <w:lvlJc w:val="left"/>
      <w:pPr>
        <w:ind w:left="2160" w:hanging="360"/>
      </w:pPr>
      <w:rPr>
        <w:rFonts w:ascii="Wingdings" w:hAnsi="Wingdings" w:hint="default"/>
      </w:rPr>
    </w:lvl>
    <w:lvl w:ilvl="3" w:tplc="2C4E20C2">
      <w:start w:val="1"/>
      <w:numFmt w:val="bullet"/>
      <w:lvlText w:val=""/>
      <w:lvlJc w:val="left"/>
      <w:pPr>
        <w:ind w:left="2880" w:hanging="360"/>
      </w:pPr>
      <w:rPr>
        <w:rFonts w:ascii="Symbol" w:hAnsi="Symbol" w:hint="default"/>
      </w:rPr>
    </w:lvl>
    <w:lvl w:ilvl="4" w:tplc="3C6C54C8">
      <w:start w:val="1"/>
      <w:numFmt w:val="bullet"/>
      <w:lvlText w:val="o"/>
      <w:lvlJc w:val="left"/>
      <w:pPr>
        <w:ind w:left="3600" w:hanging="360"/>
      </w:pPr>
      <w:rPr>
        <w:rFonts w:ascii="Courier New" w:hAnsi="Courier New" w:hint="default"/>
      </w:rPr>
    </w:lvl>
    <w:lvl w:ilvl="5" w:tplc="03FAF93C">
      <w:start w:val="1"/>
      <w:numFmt w:val="bullet"/>
      <w:lvlText w:val=""/>
      <w:lvlJc w:val="left"/>
      <w:pPr>
        <w:ind w:left="4320" w:hanging="360"/>
      </w:pPr>
      <w:rPr>
        <w:rFonts w:ascii="Wingdings" w:hAnsi="Wingdings" w:hint="default"/>
      </w:rPr>
    </w:lvl>
    <w:lvl w:ilvl="6" w:tplc="0FCA1CFE">
      <w:start w:val="1"/>
      <w:numFmt w:val="bullet"/>
      <w:lvlText w:val=""/>
      <w:lvlJc w:val="left"/>
      <w:pPr>
        <w:ind w:left="5040" w:hanging="360"/>
      </w:pPr>
      <w:rPr>
        <w:rFonts w:ascii="Symbol" w:hAnsi="Symbol" w:hint="default"/>
      </w:rPr>
    </w:lvl>
    <w:lvl w:ilvl="7" w:tplc="92DC7402">
      <w:start w:val="1"/>
      <w:numFmt w:val="bullet"/>
      <w:lvlText w:val="o"/>
      <w:lvlJc w:val="left"/>
      <w:pPr>
        <w:ind w:left="5760" w:hanging="360"/>
      </w:pPr>
      <w:rPr>
        <w:rFonts w:ascii="Courier New" w:hAnsi="Courier New" w:hint="default"/>
      </w:rPr>
    </w:lvl>
    <w:lvl w:ilvl="8" w:tplc="EFB21816">
      <w:start w:val="1"/>
      <w:numFmt w:val="bullet"/>
      <w:lvlText w:val=""/>
      <w:lvlJc w:val="left"/>
      <w:pPr>
        <w:ind w:left="6480" w:hanging="360"/>
      </w:pPr>
      <w:rPr>
        <w:rFonts w:ascii="Wingdings" w:hAnsi="Wingdings" w:hint="default"/>
      </w:rPr>
    </w:lvl>
  </w:abstractNum>
  <w:num w:numId="1" w16cid:durableId="414713084">
    <w:abstractNumId w:val="27"/>
  </w:num>
  <w:num w:numId="2" w16cid:durableId="1680892593">
    <w:abstractNumId w:val="6"/>
  </w:num>
  <w:num w:numId="3" w16cid:durableId="2121145846">
    <w:abstractNumId w:val="15"/>
  </w:num>
  <w:num w:numId="4" w16cid:durableId="867571646">
    <w:abstractNumId w:val="22"/>
  </w:num>
  <w:num w:numId="5" w16cid:durableId="1840925263">
    <w:abstractNumId w:val="7"/>
  </w:num>
  <w:num w:numId="6" w16cid:durableId="412629783">
    <w:abstractNumId w:val="17"/>
  </w:num>
  <w:num w:numId="7" w16cid:durableId="747071151">
    <w:abstractNumId w:val="12"/>
  </w:num>
  <w:num w:numId="8" w16cid:durableId="1765295575">
    <w:abstractNumId w:val="13"/>
  </w:num>
  <w:num w:numId="9" w16cid:durableId="1813329722">
    <w:abstractNumId w:val="25"/>
  </w:num>
  <w:num w:numId="10" w16cid:durableId="109008575">
    <w:abstractNumId w:val="16"/>
  </w:num>
  <w:num w:numId="11" w16cid:durableId="1892227506">
    <w:abstractNumId w:val="23"/>
  </w:num>
  <w:num w:numId="12" w16cid:durableId="1820076043">
    <w:abstractNumId w:val="10"/>
  </w:num>
  <w:num w:numId="13" w16cid:durableId="339242645">
    <w:abstractNumId w:val="5"/>
  </w:num>
  <w:num w:numId="14" w16cid:durableId="645016901">
    <w:abstractNumId w:val="8"/>
  </w:num>
  <w:num w:numId="15" w16cid:durableId="1289121263">
    <w:abstractNumId w:val="19"/>
  </w:num>
  <w:num w:numId="16" w16cid:durableId="1458834035">
    <w:abstractNumId w:val="14"/>
  </w:num>
  <w:num w:numId="17" w16cid:durableId="1083642264">
    <w:abstractNumId w:val="9"/>
  </w:num>
  <w:num w:numId="18" w16cid:durableId="2031444117">
    <w:abstractNumId w:val="24"/>
  </w:num>
  <w:num w:numId="19" w16cid:durableId="1920868936">
    <w:abstractNumId w:val="26"/>
  </w:num>
  <w:num w:numId="20" w16cid:durableId="869336747">
    <w:abstractNumId w:val="21"/>
  </w:num>
  <w:num w:numId="21" w16cid:durableId="1421675729">
    <w:abstractNumId w:val="20"/>
    <w:lvlOverride w:ilvl="0">
      <w:startOverride w:val="2"/>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218660638">
    <w:abstractNumId w:val="18"/>
  </w:num>
  <w:num w:numId="23" w16cid:durableId="780756938">
    <w:abstractNumId w:val="4"/>
  </w:num>
  <w:num w:numId="24" w16cid:durableId="1074090610">
    <w:abstractNumId w:val="3"/>
  </w:num>
  <w:num w:numId="25" w16cid:durableId="608124547">
    <w:abstractNumId w:val="2"/>
  </w:num>
  <w:num w:numId="26" w16cid:durableId="1623226895">
    <w:abstractNumId w:val="1"/>
  </w:num>
  <w:num w:numId="27" w16cid:durableId="220991541">
    <w:abstractNumId w:val="0"/>
  </w:num>
  <w:num w:numId="28" w16cid:durableId="945501547">
    <w:abstractNumId w:val="1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writeProtection w:recommended="1"/>
  <w:zoom w:percent="100"/>
  <w:removePersonalInformation/>
  <w:removeDateAndTime/>
  <w:displayBackgroundShape/>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1218"/>
    <w:rsid w:val="00000312"/>
    <w:rsid w:val="0000074D"/>
    <w:rsid w:val="00000D43"/>
    <w:rsid w:val="00000DE3"/>
    <w:rsid w:val="00000FDC"/>
    <w:rsid w:val="000012DD"/>
    <w:rsid w:val="00001622"/>
    <w:rsid w:val="000016A2"/>
    <w:rsid w:val="000020E8"/>
    <w:rsid w:val="0000242B"/>
    <w:rsid w:val="000024D3"/>
    <w:rsid w:val="0000395E"/>
    <w:rsid w:val="00003DCA"/>
    <w:rsid w:val="00004042"/>
    <w:rsid w:val="0000473B"/>
    <w:rsid w:val="000047E4"/>
    <w:rsid w:val="0000486E"/>
    <w:rsid w:val="00004AFB"/>
    <w:rsid w:val="0000514E"/>
    <w:rsid w:val="0000551A"/>
    <w:rsid w:val="000056FB"/>
    <w:rsid w:val="000056FC"/>
    <w:rsid w:val="00005C02"/>
    <w:rsid w:val="00006254"/>
    <w:rsid w:val="0000629B"/>
    <w:rsid w:val="00006A79"/>
    <w:rsid w:val="00006BD5"/>
    <w:rsid w:val="00006DCA"/>
    <w:rsid w:val="00006E30"/>
    <w:rsid w:val="00006E75"/>
    <w:rsid w:val="00007658"/>
    <w:rsid w:val="000078DA"/>
    <w:rsid w:val="00007B4C"/>
    <w:rsid w:val="00007B74"/>
    <w:rsid w:val="00007BC7"/>
    <w:rsid w:val="000103A7"/>
    <w:rsid w:val="00010522"/>
    <w:rsid w:val="00010630"/>
    <w:rsid w:val="0001139B"/>
    <w:rsid w:val="000119AA"/>
    <w:rsid w:val="00012236"/>
    <w:rsid w:val="000123E8"/>
    <w:rsid w:val="000127AD"/>
    <w:rsid w:val="00012B61"/>
    <w:rsid w:val="00012D39"/>
    <w:rsid w:val="00012F31"/>
    <w:rsid w:val="00013CB0"/>
    <w:rsid w:val="00013ED2"/>
    <w:rsid w:val="00013EFA"/>
    <w:rsid w:val="0001408D"/>
    <w:rsid w:val="00014114"/>
    <w:rsid w:val="00014861"/>
    <w:rsid w:val="00014B0D"/>
    <w:rsid w:val="00014E85"/>
    <w:rsid w:val="0001556D"/>
    <w:rsid w:val="000156A7"/>
    <w:rsid w:val="00015958"/>
    <w:rsid w:val="00015B0A"/>
    <w:rsid w:val="000163DC"/>
    <w:rsid w:val="00016840"/>
    <w:rsid w:val="00016C18"/>
    <w:rsid w:val="00016C68"/>
    <w:rsid w:val="00016F0F"/>
    <w:rsid w:val="00017302"/>
    <w:rsid w:val="000176C9"/>
    <w:rsid w:val="0001785D"/>
    <w:rsid w:val="000179B5"/>
    <w:rsid w:val="00017DC3"/>
    <w:rsid w:val="0002059D"/>
    <w:rsid w:val="000206EA"/>
    <w:rsid w:val="00020796"/>
    <w:rsid w:val="0002090A"/>
    <w:rsid w:val="00020C9B"/>
    <w:rsid w:val="00020E89"/>
    <w:rsid w:val="000211D4"/>
    <w:rsid w:val="0002186C"/>
    <w:rsid w:val="00021D59"/>
    <w:rsid w:val="00022086"/>
    <w:rsid w:val="0002216F"/>
    <w:rsid w:val="000223A2"/>
    <w:rsid w:val="00022A63"/>
    <w:rsid w:val="00022E68"/>
    <w:rsid w:val="000234EC"/>
    <w:rsid w:val="0002367F"/>
    <w:rsid w:val="00023815"/>
    <w:rsid w:val="00023E56"/>
    <w:rsid w:val="00023F51"/>
    <w:rsid w:val="000249B1"/>
    <w:rsid w:val="00024D6A"/>
    <w:rsid w:val="00024FF5"/>
    <w:rsid w:val="00025016"/>
    <w:rsid w:val="00025102"/>
    <w:rsid w:val="00025689"/>
    <w:rsid w:val="00026408"/>
    <w:rsid w:val="0002655D"/>
    <w:rsid w:val="00026686"/>
    <w:rsid w:val="00026B74"/>
    <w:rsid w:val="00026BFA"/>
    <w:rsid w:val="00026C64"/>
    <w:rsid w:val="00026E90"/>
    <w:rsid w:val="0002714E"/>
    <w:rsid w:val="00027BA5"/>
    <w:rsid w:val="000304E6"/>
    <w:rsid w:val="0003077D"/>
    <w:rsid w:val="00031208"/>
    <w:rsid w:val="0003181F"/>
    <w:rsid w:val="00031CDB"/>
    <w:rsid w:val="00031DE6"/>
    <w:rsid w:val="00032245"/>
    <w:rsid w:val="000329CB"/>
    <w:rsid w:val="00032F13"/>
    <w:rsid w:val="000331B6"/>
    <w:rsid w:val="00033DA6"/>
    <w:rsid w:val="00033ED9"/>
    <w:rsid w:val="0003415E"/>
    <w:rsid w:val="00034406"/>
    <w:rsid w:val="00034B90"/>
    <w:rsid w:val="00034BAA"/>
    <w:rsid w:val="0003503F"/>
    <w:rsid w:val="00035477"/>
    <w:rsid w:val="000361FC"/>
    <w:rsid w:val="000367B8"/>
    <w:rsid w:val="000367E0"/>
    <w:rsid w:val="00036867"/>
    <w:rsid w:val="00036B92"/>
    <w:rsid w:val="000370CA"/>
    <w:rsid w:val="00037238"/>
    <w:rsid w:val="000377AB"/>
    <w:rsid w:val="00037AB1"/>
    <w:rsid w:val="00037E30"/>
    <w:rsid w:val="00037EB9"/>
    <w:rsid w:val="000400D9"/>
    <w:rsid w:val="000402A2"/>
    <w:rsid w:val="00040308"/>
    <w:rsid w:val="000404CE"/>
    <w:rsid w:val="000406D1"/>
    <w:rsid w:val="00040941"/>
    <w:rsid w:val="00040CCD"/>
    <w:rsid w:val="00040EBF"/>
    <w:rsid w:val="0004103D"/>
    <w:rsid w:val="00041094"/>
    <w:rsid w:val="000410F0"/>
    <w:rsid w:val="000411DA"/>
    <w:rsid w:val="00041252"/>
    <w:rsid w:val="00041F31"/>
    <w:rsid w:val="00042611"/>
    <w:rsid w:val="000429D5"/>
    <w:rsid w:val="00043309"/>
    <w:rsid w:val="00044406"/>
    <w:rsid w:val="00044C67"/>
    <w:rsid w:val="000452D8"/>
    <w:rsid w:val="00045A04"/>
    <w:rsid w:val="000461B0"/>
    <w:rsid w:val="000462CC"/>
    <w:rsid w:val="0004630E"/>
    <w:rsid w:val="00046641"/>
    <w:rsid w:val="000467BD"/>
    <w:rsid w:val="00046F80"/>
    <w:rsid w:val="0004716C"/>
    <w:rsid w:val="0004762E"/>
    <w:rsid w:val="000477BB"/>
    <w:rsid w:val="00047F44"/>
    <w:rsid w:val="00047FB4"/>
    <w:rsid w:val="000506DB"/>
    <w:rsid w:val="00050724"/>
    <w:rsid w:val="000509A4"/>
    <w:rsid w:val="00050C8A"/>
    <w:rsid w:val="00050DF7"/>
    <w:rsid w:val="00050E85"/>
    <w:rsid w:val="00051DAA"/>
    <w:rsid w:val="00052076"/>
    <w:rsid w:val="00052446"/>
    <w:rsid w:val="0005283C"/>
    <w:rsid w:val="0005370A"/>
    <w:rsid w:val="00054260"/>
    <w:rsid w:val="000543BA"/>
    <w:rsid w:val="00054798"/>
    <w:rsid w:val="000548BD"/>
    <w:rsid w:val="00054911"/>
    <w:rsid w:val="00054A9A"/>
    <w:rsid w:val="00054E14"/>
    <w:rsid w:val="00054E96"/>
    <w:rsid w:val="00054EAA"/>
    <w:rsid w:val="00055A3F"/>
    <w:rsid w:val="00055F3E"/>
    <w:rsid w:val="00055F80"/>
    <w:rsid w:val="00055FD1"/>
    <w:rsid w:val="00057239"/>
    <w:rsid w:val="00057CDE"/>
    <w:rsid w:val="0006021F"/>
    <w:rsid w:val="0006045C"/>
    <w:rsid w:val="00060A67"/>
    <w:rsid w:val="00060D46"/>
    <w:rsid w:val="00060E7C"/>
    <w:rsid w:val="000614D1"/>
    <w:rsid w:val="0006199A"/>
    <w:rsid w:val="00061B05"/>
    <w:rsid w:val="00061B6A"/>
    <w:rsid w:val="00061D65"/>
    <w:rsid w:val="00062133"/>
    <w:rsid w:val="0006240C"/>
    <w:rsid w:val="00062655"/>
    <w:rsid w:val="00062E0F"/>
    <w:rsid w:val="0006367B"/>
    <w:rsid w:val="0006371D"/>
    <w:rsid w:val="00063D5A"/>
    <w:rsid w:val="0006426B"/>
    <w:rsid w:val="0006452D"/>
    <w:rsid w:val="000646BD"/>
    <w:rsid w:val="000646E6"/>
    <w:rsid w:val="00064A97"/>
    <w:rsid w:val="00064F96"/>
    <w:rsid w:val="000651A2"/>
    <w:rsid w:val="000651EA"/>
    <w:rsid w:val="00065353"/>
    <w:rsid w:val="000656D3"/>
    <w:rsid w:val="000659C4"/>
    <w:rsid w:val="00065A89"/>
    <w:rsid w:val="000660A6"/>
    <w:rsid w:val="000660DD"/>
    <w:rsid w:val="000665D9"/>
    <w:rsid w:val="00066DE4"/>
    <w:rsid w:val="00067081"/>
    <w:rsid w:val="000671EE"/>
    <w:rsid w:val="00067D04"/>
    <w:rsid w:val="00070143"/>
    <w:rsid w:val="0007023E"/>
    <w:rsid w:val="0007043F"/>
    <w:rsid w:val="000704F3"/>
    <w:rsid w:val="000709DF"/>
    <w:rsid w:val="00070CD4"/>
    <w:rsid w:val="00070ECF"/>
    <w:rsid w:val="000711CE"/>
    <w:rsid w:val="00071A4C"/>
    <w:rsid w:val="00071B41"/>
    <w:rsid w:val="00071B8E"/>
    <w:rsid w:val="00071F29"/>
    <w:rsid w:val="00071FD2"/>
    <w:rsid w:val="00072407"/>
    <w:rsid w:val="00072795"/>
    <w:rsid w:val="00073479"/>
    <w:rsid w:val="000734DF"/>
    <w:rsid w:val="00073D81"/>
    <w:rsid w:val="0007444D"/>
    <w:rsid w:val="00075527"/>
    <w:rsid w:val="0007552B"/>
    <w:rsid w:val="00075E2D"/>
    <w:rsid w:val="00075EB7"/>
    <w:rsid w:val="00075FB4"/>
    <w:rsid w:val="00076427"/>
    <w:rsid w:val="000767D3"/>
    <w:rsid w:val="000768C4"/>
    <w:rsid w:val="00076C66"/>
    <w:rsid w:val="00076F9B"/>
    <w:rsid w:val="0007717E"/>
    <w:rsid w:val="000771F6"/>
    <w:rsid w:val="000772F2"/>
    <w:rsid w:val="00077A99"/>
    <w:rsid w:val="00077D8B"/>
    <w:rsid w:val="0008059E"/>
    <w:rsid w:val="00080653"/>
    <w:rsid w:val="00080AA7"/>
    <w:rsid w:val="000811EB"/>
    <w:rsid w:val="000819A3"/>
    <w:rsid w:val="00081F1D"/>
    <w:rsid w:val="00081FC3"/>
    <w:rsid w:val="00081FD8"/>
    <w:rsid w:val="00082102"/>
    <w:rsid w:val="00082164"/>
    <w:rsid w:val="00082AA6"/>
    <w:rsid w:val="000830BF"/>
    <w:rsid w:val="00083703"/>
    <w:rsid w:val="0008472C"/>
    <w:rsid w:val="00084F33"/>
    <w:rsid w:val="0008545D"/>
    <w:rsid w:val="00085A8E"/>
    <w:rsid w:val="00085B71"/>
    <w:rsid w:val="00086264"/>
    <w:rsid w:val="00086A9D"/>
    <w:rsid w:val="000870D3"/>
    <w:rsid w:val="00087470"/>
    <w:rsid w:val="00087605"/>
    <w:rsid w:val="0009030C"/>
    <w:rsid w:val="00090B1B"/>
    <w:rsid w:val="000910FD"/>
    <w:rsid w:val="000911A6"/>
    <w:rsid w:val="000918D0"/>
    <w:rsid w:val="00091EDE"/>
    <w:rsid w:val="00092333"/>
    <w:rsid w:val="000927B3"/>
    <w:rsid w:val="00092B17"/>
    <w:rsid w:val="00092BAA"/>
    <w:rsid w:val="00092C8B"/>
    <w:rsid w:val="00093B39"/>
    <w:rsid w:val="00093F2F"/>
    <w:rsid w:val="000943D7"/>
    <w:rsid w:val="00094B12"/>
    <w:rsid w:val="00094B47"/>
    <w:rsid w:val="000952B8"/>
    <w:rsid w:val="00095ADC"/>
    <w:rsid w:val="00095B98"/>
    <w:rsid w:val="00095D91"/>
    <w:rsid w:val="00095E11"/>
    <w:rsid w:val="00096161"/>
    <w:rsid w:val="00096505"/>
    <w:rsid w:val="00096D65"/>
    <w:rsid w:val="0009763A"/>
    <w:rsid w:val="00097ADA"/>
    <w:rsid w:val="000A0973"/>
    <w:rsid w:val="000A1105"/>
    <w:rsid w:val="000A11E9"/>
    <w:rsid w:val="000A145A"/>
    <w:rsid w:val="000A181A"/>
    <w:rsid w:val="000A1C4C"/>
    <w:rsid w:val="000A1DC9"/>
    <w:rsid w:val="000A2513"/>
    <w:rsid w:val="000A25C6"/>
    <w:rsid w:val="000A2B02"/>
    <w:rsid w:val="000A3181"/>
    <w:rsid w:val="000A39C8"/>
    <w:rsid w:val="000A3D99"/>
    <w:rsid w:val="000A3F9B"/>
    <w:rsid w:val="000A4142"/>
    <w:rsid w:val="000A42A9"/>
    <w:rsid w:val="000A491C"/>
    <w:rsid w:val="000A4A89"/>
    <w:rsid w:val="000A4E46"/>
    <w:rsid w:val="000A744D"/>
    <w:rsid w:val="000A7F1E"/>
    <w:rsid w:val="000B0091"/>
    <w:rsid w:val="000B0573"/>
    <w:rsid w:val="000B0926"/>
    <w:rsid w:val="000B0D7F"/>
    <w:rsid w:val="000B0EF5"/>
    <w:rsid w:val="000B1094"/>
    <w:rsid w:val="000B19D4"/>
    <w:rsid w:val="000B1C5C"/>
    <w:rsid w:val="000B1F9E"/>
    <w:rsid w:val="000B23BA"/>
    <w:rsid w:val="000B2509"/>
    <w:rsid w:val="000B2B1C"/>
    <w:rsid w:val="000B2D57"/>
    <w:rsid w:val="000B32D8"/>
    <w:rsid w:val="000B36C2"/>
    <w:rsid w:val="000B36E4"/>
    <w:rsid w:val="000B388A"/>
    <w:rsid w:val="000B3976"/>
    <w:rsid w:val="000B3E5D"/>
    <w:rsid w:val="000B3EE6"/>
    <w:rsid w:val="000B4154"/>
    <w:rsid w:val="000B4237"/>
    <w:rsid w:val="000B44D4"/>
    <w:rsid w:val="000B4555"/>
    <w:rsid w:val="000B4684"/>
    <w:rsid w:val="000B49B5"/>
    <w:rsid w:val="000B4FA3"/>
    <w:rsid w:val="000B53D6"/>
    <w:rsid w:val="000B5853"/>
    <w:rsid w:val="000B5C72"/>
    <w:rsid w:val="000B5E49"/>
    <w:rsid w:val="000B60AE"/>
    <w:rsid w:val="000B61B5"/>
    <w:rsid w:val="000B6324"/>
    <w:rsid w:val="000B6732"/>
    <w:rsid w:val="000B7561"/>
    <w:rsid w:val="000B7564"/>
    <w:rsid w:val="000B7617"/>
    <w:rsid w:val="000B767D"/>
    <w:rsid w:val="000B78DC"/>
    <w:rsid w:val="000B795F"/>
    <w:rsid w:val="000B7ACC"/>
    <w:rsid w:val="000C0009"/>
    <w:rsid w:val="000C051B"/>
    <w:rsid w:val="000C08CC"/>
    <w:rsid w:val="000C0959"/>
    <w:rsid w:val="000C0F3B"/>
    <w:rsid w:val="000C0F4C"/>
    <w:rsid w:val="000C1254"/>
    <w:rsid w:val="000C2138"/>
    <w:rsid w:val="000C2954"/>
    <w:rsid w:val="000C3906"/>
    <w:rsid w:val="000C3E94"/>
    <w:rsid w:val="000C4097"/>
    <w:rsid w:val="000C4299"/>
    <w:rsid w:val="000C431E"/>
    <w:rsid w:val="000C466F"/>
    <w:rsid w:val="000C46A4"/>
    <w:rsid w:val="000C478B"/>
    <w:rsid w:val="000C48A7"/>
    <w:rsid w:val="000C4A9E"/>
    <w:rsid w:val="000C4B62"/>
    <w:rsid w:val="000C639A"/>
    <w:rsid w:val="000C680C"/>
    <w:rsid w:val="000C6D15"/>
    <w:rsid w:val="000C6D37"/>
    <w:rsid w:val="000C739E"/>
    <w:rsid w:val="000C7AA2"/>
    <w:rsid w:val="000C7CFF"/>
    <w:rsid w:val="000D037E"/>
    <w:rsid w:val="000D0992"/>
    <w:rsid w:val="000D11CC"/>
    <w:rsid w:val="000D17D2"/>
    <w:rsid w:val="000D2254"/>
    <w:rsid w:val="000D2260"/>
    <w:rsid w:val="000D2601"/>
    <w:rsid w:val="000D2FD8"/>
    <w:rsid w:val="000D32AF"/>
    <w:rsid w:val="000D3B27"/>
    <w:rsid w:val="000D3B3A"/>
    <w:rsid w:val="000D4DDF"/>
    <w:rsid w:val="000D4E15"/>
    <w:rsid w:val="000D52E8"/>
    <w:rsid w:val="000D5C04"/>
    <w:rsid w:val="000D5EF9"/>
    <w:rsid w:val="000D6745"/>
    <w:rsid w:val="000D6FFD"/>
    <w:rsid w:val="000D724C"/>
    <w:rsid w:val="000D73FA"/>
    <w:rsid w:val="000D7610"/>
    <w:rsid w:val="000D7627"/>
    <w:rsid w:val="000D76C8"/>
    <w:rsid w:val="000D78E9"/>
    <w:rsid w:val="000D7E28"/>
    <w:rsid w:val="000E100E"/>
    <w:rsid w:val="000E1641"/>
    <w:rsid w:val="000E171D"/>
    <w:rsid w:val="000E1819"/>
    <w:rsid w:val="000E19EC"/>
    <w:rsid w:val="000E1D6E"/>
    <w:rsid w:val="000E2838"/>
    <w:rsid w:val="000E297D"/>
    <w:rsid w:val="000E2CDC"/>
    <w:rsid w:val="000E2F48"/>
    <w:rsid w:val="000E33E4"/>
    <w:rsid w:val="000E3485"/>
    <w:rsid w:val="000E3613"/>
    <w:rsid w:val="000E38BA"/>
    <w:rsid w:val="000E38F8"/>
    <w:rsid w:val="000E3923"/>
    <w:rsid w:val="000E3E95"/>
    <w:rsid w:val="000E47D3"/>
    <w:rsid w:val="000E49E6"/>
    <w:rsid w:val="000E4EB3"/>
    <w:rsid w:val="000E54FE"/>
    <w:rsid w:val="000E571D"/>
    <w:rsid w:val="000E621F"/>
    <w:rsid w:val="000E65A7"/>
    <w:rsid w:val="000E65EB"/>
    <w:rsid w:val="000E6D7B"/>
    <w:rsid w:val="000E6D9D"/>
    <w:rsid w:val="000E7042"/>
    <w:rsid w:val="000E7109"/>
    <w:rsid w:val="000E740C"/>
    <w:rsid w:val="000E7534"/>
    <w:rsid w:val="000F0023"/>
    <w:rsid w:val="000F046C"/>
    <w:rsid w:val="000F0AB2"/>
    <w:rsid w:val="000F1789"/>
    <w:rsid w:val="000F1957"/>
    <w:rsid w:val="000F1C03"/>
    <w:rsid w:val="000F1E09"/>
    <w:rsid w:val="000F1F15"/>
    <w:rsid w:val="000F23B0"/>
    <w:rsid w:val="000F28BD"/>
    <w:rsid w:val="000F3917"/>
    <w:rsid w:val="000F3B1A"/>
    <w:rsid w:val="000F4266"/>
    <w:rsid w:val="000F4E4C"/>
    <w:rsid w:val="000F58D2"/>
    <w:rsid w:val="000F5ACE"/>
    <w:rsid w:val="000F5B01"/>
    <w:rsid w:val="000F5D10"/>
    <w:rsid w:val="000F5D4E"/>
    <w:rsid w:val="000F5DBB"/>
    <w:rsid w:val="000F6164"/>
    <w:rsid w:val="000F65D7"/>
    <w:rsid w:val="000F7131"/>
    <w:rsid w:val="000F7F66"/>
    <w:rsid w:val="001000C8"/>
    <w:rsid w:val="0010058B"/>
    <w:rsid w:val="00100A8B"/>
    <w:rsid w:val="00100B65"/>
    <w:rsid w:val="00100C1E"/>
    <w:rsid w:val="00100D0F"/>
    <w:rsid w:val="00100DA2"/>
    <w:rsid w:val="001014D4"/>
    <w:rsid w:val="001019E0"/>
    <w:rsid w:val="00101E97"/>
    <w:rsid w:val="00102686"/>
    <w:rsid w:val="00102A96"/>
    <w:rsid w:val="00102F01"/>
    <w:rsid w:val="0010394F"/>
    <w:rsid w:val="00103B0B"/>
    <w:rsid w:val="0010449F"/>
    <w:rsid w:val="00104CD4"/>
    <w:rsid w:val="00104DD5"/>
    <w:rsid w:val="00105231"/>
    <w:rsid w:val="00105C3E"/>
    <w:rsid w:val="00105DEB"/>
    <w:rsid w:val="0010613D"/>
    <w:rsid w:val="00106B77"/>
    <w:rsid w:val="00106BEC"/>
    <w:rsid w:val="00107189"/>
    <w:rsid w:val="001075B7"/>
    <w:rsid w:val="001076A6"/>
    <w:rsid w:val="001101CB"/>
    <w:rsid w:val="0011057E"/>
    <w:rsid w:val="00110C5D"/>
    <w:rsid w:val="00110F69"/>
    <w:rsid w:val="00111099"/>
    <w:rsid w:val="0011109D"/>
    <w:rsid w:val="001110DC"/>
    <w:rsid w:val="0011138E"/>
    <w:rsid w:val="0011179A"/>
    <w:rsid w:val="00111FFD"/>
    <w:rsid w:val="0011228C"/>
    <w:rsid w:val="001125C5"/>
    <w:rsid w:val="00112DEC"/>
    <w:rsid w:val="00112E82"/>
    <w:rsid w:val="00113006"/>
    <w:rsid w:val="00113575"/>
    <w:rsid w:val="00113642"/>
    <w:rsid w:val="00113870"/>
    <w:rsid w:val="00114185"/>
    <w:rsid w:val="00114D73"/>
    <w:rsid w:val="0011534F"/>
    <w:rsid w:val="001153FA"/>
    <w:rsid w:val="00115C00"/>
    <w:rsid w:val="00115CEB"/>
    <w:rsid w:val="0011727B"/>
    <w:rsid w:val="00117474"/>
    <w:rsid w:val="001174EB"/>
    <w:rsid w:val="0011768B"/>
    <w:rsid w:val="001176D8"/>
    <w:rsid w:val="00117C5E"/>
    <w:rsid w:val="00117D1C"/>
    <w:rsid w:val="0012081A"/>
    <w:rsid w:val="001214AC"/>
    <w:rsid w:val="00121979"/>
    <w:rsid w:val="0012223E"/>
    <w:rsid w:val="001223D9"/>
    <w:rsid w:val="001223FA"/>
    <w:rsid w:val="00122497"/>
    <w:rsid w:val="00122533"/>
    <w:rsid w:val="00122965"/>
    <w:rsid w:val="00122EAD"/>
    <w:rsid w:val="0012318E"/>
    <w:rsid w:val="00123787"/>
    <w:rsid w:val="001237F0"/>
    <w:rsid w:val="00123A90"/>
    <w:rsid w:val="00123DE4"/>
    <w:rsid w:val="00124088"/>
    <w:rsid w:val="001241E3"/>
    <w:rsid w:val="00124308"/>
    <w:rsid w:val="001244CD"/>
    <w:rsid w:val="00124CAA"/>
    <w:rsid w:val="001250DD"/>
    <w:rsid w:val="0012541F"/>
    <w:rsid w:val="00125C36"/>
    <w:rsid w:val="0012658A"/>
    <w:rsid w:val="0012671B"/>
    <w:rsid w:val="00126A27"/>
    <w:rsid w:val="00126ECA"/>
    <w:rsid w:val="0012717C"/>
    <w:rsid w:val="00127236"/>
    <w:rsid w:val="001273D9"/>
    <w:rsid w:val="001279BF"/>
    <w:rsid w:val="00127DC9"/>
    <w:rsid w:val="00130320"/>
    <w:rsid w:val="001303C1"/>
    <w:rsid w:val="001308CD"/>
    <w:rsid w:val="00130C44"/>
    <w:rsid w:val="00130EDC"/>
    <w:rsid w:val="001318F8"/>
    <w:rsid w:val="00131AD0"/>
    <w:rsid w:val="00131C93"/>
    <w:rsid w:val="00132591"/>
    <w:rsid w:val="0013273D"/>
    <w:rsid w:val="00132C19"/>
    <w:rsid w:val="00132D34"/>
    <w:rsid w:val="00132F07"/>
    <w:rsid w:val="00133831"/>
    <w:rsid w:val="00133C84"/>
    <w:rsid w:val="00133DF1"/>
    <w:rsid w:val="00134C9F"/>
    <w:rsid w:val="00134FD6"/>
    <w:rsid w:val="0013504A"/>
    <w:rsid w:val="001359DF"/>
    <w:rsid w:val="00135D02"/>
    <w:rsid w:val="00135DA7"/>
    <w:rsid w:val="00135FF5"/>
    <w:rsid w:val="001360DC"/>
    <w:rsid w:val="001360EC"/>
    <w:rsid w:val="001365B9"/>
    <w:rsid w:val="0013698D"/>
    <w:rsid w:val="001369AE"/>
    <w:rsid w:val="00136A44"/>
    <w:rsid w:val="00136AFC"/>
    <w:rsid w:val="00136D12"/>
    <w:rsid w:val="00136E87"/>
    <w:rsid w:val="00136EE4"/>
    <w:rsid w:val="001370F4"/>
    <w:rsid w:val="0013714B"/>
    <w:rsid w:val="0013732D"/>
    <w:rsid w:val="001378A2"/>
    <w:rsid w:val="00137C70"/>
    <w:rsid w:val="00140101"/>
    <w:rsid w:val="001402D0"/>
    <w:rsid w:val="00140F03"/>
    <w:rsid w:val="001410A9"/>
    <w:rsid w:val="00141330"/>
    <w:rsid w:val="00141357"/>
    <w:rsid w:val="001414F4"/>
    <w:rsid w:val="00141713"/>
    <w:rsid w:val="00141D71"/>
    <w:rsid w:val="00142529"/>
    <w:rsid w:val="00142C5D"/>
    <w:rsid w:val="00142CF9"/>
    <w:rsid w:val="00142F55"/>
    <w:rsid w:val="00143208"/>
    <w:rsid w:val="001435E0"/>
    <w:rsid w:val="0014379D"/>
    <w:rsid w:val="00143F83"/>
    <w:rsid w:val="00143FFD"/>
    <w:rsid w:val="0014400F"/>
    <w:rsid w:val="001440C0"/>
    <w:rsid w:val="00144539"/>
    <w:rsid w:val="00145417"/>
    <w:rsid w:val="0014582E"/>
    <w:rsid w:val="00145AA7"/>
    <w:rsid w:val="00145C38"/>
    <w:rsid w:val="00146291"/>
    <w:rsid w:val="001463FE"/>
    <w:rsid w:val="00146EB0"/>
    <w:rsid w:val="00146FC6"/>
    <w:rsid w:val="0014798D"/>
    <w:rsid w:val="00147E73"/>
    <w:rsid w:val="001506CE"/>
    <w:rsid w:val="001508F1"/>
    <w:rsid w:val="00150ADD"/>
    <w:rsid w:val="00150ED5"/>
    <w:rsid w:val="00150EFA"/>
    <w:rsid w:val="00151103"/>
    <w:rsid w:val="0015147E"/>
    <w:rsid w:val="00151797"/>
    <w:rsid w:val="00151B95"/>
    <w:rsid w:val="00151D9F"/>
    <w:rsid w:val="0015229E"/>
    <w:rsid w:val="00152567"/>
    <w:rsid w:val="0015266E"/>
    <w:rsid w:val="00152CC1"/>
    <w:rsid w:val="00152D1E"/>
    <w:rsid w:val="00153E5B"/>
    <w:rsid w:val="001541B6"/>
    <w:rsid w:val="0015456C"/>
    <w:rsid w:val="0015458F"/>
    <w:rsid w:val="001546C4"/>
    <w:rsid w:val="001554E1"/>
    <w:rsid w:val="00155F71"/>
    <w:rsid w:val="0015667E"/>
    <w:rsid w:val="0015673A"/>
    <w:rsid w:val="0015673F"/>
    <w:rsid w:val="00157841"/>
    <w:rsid w:val="001600D3"/>
    <w:rsid w:val="00160614"/>
    <w:rsid w:val="00160725"/>
    <w:rsid w:val="0016089A"/>
    <w:rsid w:val="00160EF9"/>
    <w:rsid w:val="00160FB0"/>
    <w:rsid w:val="001611D4"/>
    <w:rsid w:val="001615E6"/>
    <w:rsid w:val="00161615"/>
    <w:rsid w:val="00161891"/>
    <w:rsid w:val="0016204B"/>
    <w:rsid w:val="00162EF9"/>
    <w:rsid w:val="00163436"/>
    <w:rsid w:val="001638DC"/>
    <w:rsid w:val="00163940"/>
    <w:rsid w:val="00163A71"/>
    <w:rsid w:val="00163BD4"/>
    <w:rsid w:val="00164456"/>
    <w:rsid w:val="00164B0B"/>
    <w:rsid w:val="0016555B"/>
    <w:rsid w:val="0016556B"/>
    <w:rsid w:val="001657F9"/>
    <w:rsid w:val="00165BD8"/>
    <w:rsid w:val="00165F52"/>
    <w:rsid w:val="001667DF"/>
    <w:rsid w:val="0016698F"/>
    <w:rsid w:val="00166A51"/>
    <w:rsid w:val="00166CA5"/>
    <w:rsid w:val="00166CA7"/>
    <w:rsid w:val="00167058"/>
    <w:rsid w:val="001675D2"/>
    <w:rsid w:val="001677BA"/>
    <w:rsid w:val="00167D3F"/>
    <w:rsid w:val="00167FE1"/>
    <w:rsid w:val="00170019"/>
    <w:rsid w:val="0017023B"/>
    <w:rsid w:val="00170488"/>
    <w:rsid w:val="0017069D"/>
    <w:rsid w:val="001707D8"/>
    <w:rsid w:val="00170AD5"/>
    <w:rsid w:val="00171B81"/>
    <w:rsid w:val="00171C66"/>
    <w:rsid w:val="00172326"/>
    <w:rsid w:val="00172405"/>
    <w:rsid w:val="0017371A"/>
    <w:rsid w:val="0017449C"/>
    <w:rsid w:val="00174D2C"/>
    <w:rsid w:val="00175199"/>
    <w:rsid w:val="001756FE"/>
    <w:rsid w:val="00175E25"/>
    <w:rsid w:val="00175EEC"/>
    <w:rsid w:val="00175F00"/>
    <w:rsid w:val="001763D2"/>
    <w:rsid w:val="001768C4"/>
    <w:rsid w:val="00176A0E"/>
    <w:rsid w:val="00176A33"/>
    <w:rsid w:val="00176BE5"/>
    <w:rsid w:val="00177002"/>
    <w:rsid w:val="0017738F"/>
    <w:rsid w:val="00177A8B"/>
    <w:rsid w:val="00177F80"/>
    <w:rsid w:val="0018070A"/>
    <w:rsid w:val="001808FB"/>
    <w:rsid w:val="00180C92"/>
    <w:rsid w:val="00180D24"/>
    <w:rsid w:val="00180F0A"/>
    <w:rsid w:val="00180F3F"/>
    <w:rsid w:val="001812F9"/>
    <w:rsid w:val="001815EB"/>
    <w:rsid w:val="00181B06"/>
    <w:rsid w:val="00181EE9"/>
    <w:rsid w:val="00181FBC"/>
    <w:rsid w:val="0018235E"/>
    <w:rsid w:val="00182BC3"/>
    <w:rsid w:val="00182F0D"/>
    <w:rsid w:val="00183038"/>
    <w:rsid w:val="001838EB"/>
    <w:rsid w:val="0018401C"/>
    <w:rsid w:val="001841F8"/>
    <w:rsid w:val="00184292"/>
    <w:rsid w:val="001845DC"/>
    <w:rsid w:val="00184D94"/>
    <w:rsid w:val="00184F97"/>
    <w:rsid w:val="00185D86"/>
    <w:rsid w:val="00185F13"/>
    <w:rsid w:val="001861B4"/>
    <w:rsid w:val="0018694C"/>
    <w:rsid w:val="00186CDF"/>
    <w:rsid w:val="00186F3E"/>
    <w:rsid w:val="00187185"/>
    <w:rsid w:val="0018758D"/>
    <w:rsid w:val="0018759D"/>
    <w:rsid w:val="00187676"/>
    <w:rsid w:val="00187C05"/>
    <w:rsid w:val="0019009E"/>
    <w:rsid w:val="001903B4"/>
    <w:rsid w:val="00190424"/>
    <w:rsid w:val="00190B44"/>
    <w:rsid w:val="00190DA2"/>
    <w:rsid w:val="00190E8D"/>
    <w:rsid w:val="0019108F"/>
    <w:rsid w:val="00191595"/>
    <w:rsid w:val="0019183B"/>
    <w:rsid w:val="00191E65"/>
    <w:rsid w:val="00191E7E"/>
    <w:rsid w:val="00191ED1"/>
    <w:rsid w:val="00191FA8"/>
    <w:rsid w:val="00191FF2"/>
    <w:rsid w:val="0019217F"/>
    <w:rsid w:val="00192406"/>
    <w:rsid w:val="00192A59"/>
    <w:rsid w:val="00192B0F"/>
    <w:rsid w:val="00192BF3"/>
    <w:rsid w:val="00193054"/>
    <w:rsid w:val="0019329F"/>
    <w:rsid w:val="00193EB6"/>
    <w:rsid w:val="00193F29"/>
    <w:rsid w:val="0019412E"/>
    <w:rsid w:val="00194493"/>
    <w:rsid w:val="00194DEE"/>
    <w:rsid w:val="00195767"/>
    <w:rsid w:val="00195804"/>
    <w:rsid w:val="001958BB"/>
    <w:rsid w:val="0019597C"/>
    <w:rsid w:val="00195B78"/>
    <w:rsid w:val="00195C18"/>
    <w:rsid w:val="0019618A"/>
    <w:rsid w:val="001962CD"/>
    <w:rsid w:val="00196793"/>
    <w:rsid w:val="00196D6E"/>
    <w:rsid w:val="00196F98"/>
    <w:rsid w:val="00197D23"/>
    <w:rsid w:val="00197D2F"/>
    <w:rsid w:val="001A00F0"/>
    <w:rsid w:val="001A09CE"/>
    <w:rsid w:val="001A0A52"/>
    <w:rsid w:val="001A0FDB"/>
    <w:rsid w:val="001A1776"/>
    <w:rsid w:val="001A19C2"/>
    <w:rsid w:val="001A1B0B"/>
    <w:rsid w:val="001A1F9A"/>
    <w:rsid w:val="001A20DD"/>
    <w:rsid w:val="001A2107"/>
    <w:rsid w:val="001A21DE"/>
    <w:rsid w:val="001A23A4"/>
    <w:rsid w:val="001A25CA"/>
    <w:rsid w:val="001A2CBE"/>
    <w:rsid w:val="001A2D16"/>
    <w:rsid w:val="001A2D86"/>
    <w:rsid w:val="001A3031"/>
    <w:rsid w:val="001A3648"/>
    <w:rsid w:val="001A3E49"/>
    <w:rsid w:val="001A4377"/>
    <w:rsid w:val="001A44E7"/>
    <w:rsid w:val="001A48FC"/>
    <w:rsid w:val="001A4936"/>
    <w:rsid w:val="001A5839"/>
    <w:rsid w:val="001A5FF9"/>
    <w:rsid w:val="001A6491"/>
    <w:rsid w:val="001A666B"/>
    <w:rsid w:val="001A756E"/>
    <w:rsid w:val="001A7618"/>
    <w:rsid w:val="001A76CB"/>
    <w:rsid w:val="001A7A62"/>
    <w:rsid w:val="001B02A5"/>
    <w:rsid w:val="001B0418"/>
    <w:rsid w:val="001B0440"/>
    <w:rsid w:val="001B0E95"/>
    <w:rsid w:val="001B158E"/>
    <w:rsid w:val="001B17FE"/>
    <w:rsid w:val="001B3231"/>
    <w:rsid w:val="001B3506"/>
    <w:rsid w:val="001B3681"/>
    <w:rsid w:val="001B36AB"/>
    <w:rsid w:val="001B3F85"/>
    <w:rsid w:val="001B4201"/>
    <w:rsid w:val="001B456E"/>
    <w:rsid w:val="001B47F3"/>
    <w:rsid w:val="001B4A07"/>
    <w:rsid w:val="001B4B35"/>
    <w:rsid w:val="001B4BA9"/>
    <w:rsid w:val="001B4EE0"/>
    <w:rsid w:val="001B5255"/>
    <w:rsid w:val="001B55E6"/>
    <w:rsid w:val="001B578B"/>
    <w:rsid w:val="001B5CF3"/>
    <w:rsid w:val="001B702F"/>
    <w:rsid w:val="001B7131"/>
    <w:rsid w:val="001B73A2"/>
    <w:rsid w:val="001B7987"/>
    <w:rsid w:val="001B7D12"/>
    <w:rsid w:val="001C0823"/>
    <w:rsid w:val="001C0C46"/>
    <w:rsid w:val="001C0CB2"/>
    <w:rsid w:val="001C0CF2"/>
    <w:rsid w:val="001C0D00"/>
    <w:rsid w:val="001C0D18"/>
    <w:rsid w:val="001C126E"/>
    <w:rsid w:val="001C1536"/>
    <w:rsid w:val="001C1DC7"/>
    <w:rsid w:val="001C2992"/>
    <w:rsid w:val="001C2BE3"/>
    <w:rsid w:val="001C2C75"/>
    <w:rsid w:val="001C33A4"/>
    <w:rsid w:val="001C33CB"/>
    <w:rsid w:val="001C350B"/>
    <w:rsid w:val="001C3788"/>
    <w:rsid w:val="001C37CD"/>
    <w:rsid w:val="001C381D"/>
    <w:rsid w:val="001C3A84"/>
    <w:rsid w:val="001C3A88"/>
    <w:rsid w:val="001C4667"/>
    <w:rsid w:val="001C4F9F"/>
    <w:rsid w:val="001C5410"/>
    <w:rsid w:val="001C555A"/>
    <w:rsid w:val="001C562C"/>
    <w:rsid w:val="001C5B7D"/>
    <w:rsid w:val="001C62FC"/>
    <w:rsid w:val="001C651F"/>
    <w:rsid w:val="001C655B"/>
    <w:rsid w:val="001C6610"/>
    <w:rsid w:val="001C72EB"/>
    <w:rsid w:val="001C793C"/>
    <w:rsid w:val="001C7B20"/>
    <w:rsid w:val="001C7BD8"/>
    <w:rsid w:val="001C7CD9"/>
    <w:rsid w:val="001C7F27"/>
    <w:rsid w:val="001C7F53"/>
    <w:rsid w:val="001D01ED"/>
    <w:rsid w:val="001D0314"/>
    <w:rsid w:val="001D03D9"/>
    <w:rsid w:val="001D0AEC"/>
    <w:rsid w:val="001D0FBD"/>
    <w:rsid w:val="001D16E9"/>
    <w:rsid w:val="001D172B"/>
    <w:rsid w:val="001D18EE"/>
    <w:rsid w:val="001D1C11"/>
    <w:rsid w:val="001D2173"/>
    <w:rsid w:val="001D23B7"/>
    <w:rsid w:val="001D27BE"/>
    <w:rsid w:val="001D332D"/>
    <w:rsid w:val="001D39CE"/>
    <w:rsid w:val="001D3F75"/>
    <w:rsid w:val="001D4530"/>
    <w:rsid w:val="001D486A"/>
    <w:rsid w:val="001D48FD"/>
    <w:rsid w:val="001D4C32"/>
    <w:rsid w:val="001D5067"/>
    <w:rsid w:val="001D5522"/>
    <w:rsid w:val="001D5C63"/>
    <w:rsid w:val="001D61E8"/>
    <w:rsid w:val="001D729B"/>
    <w:rsid w:val="001D7626"/>
    <w:rsid w:val="001D7C74"/>
    <w:rsid w:val="001D7D92"/>
    <w:rsid w:val="001E0026"/>
    <w:rsid w:val="001E014D"/>
    <w:rsid w:val="001E102F"/>
    <w:rsid w:val="001E165A"/>
    <w:rsid w:val="001E22E9"/>
    <w:rsid w:val="001E2A26"/>
    <w:rsid w:val="001E2A83"/>
    <w:rsid w:val="001E2C15"/>
    <w:rsid w:val="001E2D5B"/>
    <w:rsid w:val="001E3CAE"/>
    <w:rsid w:val="001E4423"/>
    <w:rsid w:val="001E4958"/>
    <w:rsid w:val="001E53A4"/>
    <w:rsid w:val="001E59B7"/>
    <w:rsid w:val="001E5B54"/>
    <w:rsid w:val="001E5F3A"/>
    <w:rsid w:val="001E6102"/>
    <w:rsid w:val="001E63E4"/>
    <w:rsid w:val="001E67BC"/>
    <w:rsid w:val="001E6884"/>
    <w:rsid w:val="001E69EA"/>
    <w:rsid w:val="001E6A39"/>
    <w:rsid w:val="001E6C05"/>
    <w:rsid w:val="001E6CB6"/>
    <w:rsid w:val="001E6DED"/>
    <w:rsid w:val="001E73F3"/>
    <w:rsid w:val="001E7DB4"/>
    <w:rsid w:val="001F016E"/>
    <w:rsid w:val="001F0B1D"/>
    <w:rsid w:val="001F0FD8"/>
    <w:rsid w:val="001F109E"/>
    <w:rsid w:val="001F11E4"/>
    <w:rsid w:val="001F1493"/>
    <w:rsid w:val="001F19F6"/>
    <w:rsid w:val="001F1A53"/>
    <w:rsid w:val="001F1E1B"/>
    <w:rsid w:val="001F2204"/>
    <w:rsid w:val="001F2712"/>
    <w:rsid w:val="001F27FE"/>
    <w:rsid w:val="001F2FC2"/>
    <w:rsid w:val="001F2FD1"/>
    <w:rsid w:val="001F318A"/>
    <w:rsid w:val="001F3463"/>
    <w:rsid w:val="001F376A"/>
    <w:rsid w:val="001F384F"/>
    <w:rsid w:val="001F397D"/>
    <w:rsid w:val="001F3F56"/>
    <w:rsid w:val="001F3FEF"/>
    <w:rsid w:val="001F41FB"/>
    <w:rsid w:val="001F472F"/>
    <w:rsid w:val="001F48A9"/>
    <w:rsid w:val="001F4CDD"/>
    <w:rsid w:val="001F4D6F"/>
    <w:rsid w:val="001F50C2"/>
    <w:rsid w:val="001F5122"/>
    <w:rsid w:val="001F51BC"/>
    <w:rsid w:val="001F5399"/>
    <w:rsid w:val="001F59D3"/>
    <w:rsid w:val="001F5C46"/>
    <w:rsid w:val="001F5F37"/>
    <w:rsid w:val="001F66D6"/>
    <w:rsid w:val="001F7432"/>
    <w:rsid w:val="0020010D"/>
    <w:rsid w:val="0020016D"/>
    <w:rsid w:val="002001CC"/>
    <w:rsid w:val="00200E6B"/>
    <w:rsid w:val="002011CF"/>
    <w:rsid w:val="002012CA"/>
    <w:rsid w:val="002013B5"/>
    <w:rsid w:val="0020184D"/>
    <w:rsid w:val="00201873"/>
    <w:rsid w:val="0020199B"/>
    <w:rsid w:val="0020202F"/>
    <w:rsid w:val="002020D8"/>
    <w:rsid w:val="002025CF"/>
    <w:rsid w:val="00202AD9"/>
    <w:rsid w:val="00202B8D"/>
    <w:rsid w:val="00202C3A"/>
    <w:rsid w:val="00203019"/>
    <w:rsid w:val="0020377D"/>
    <w:rsid w:val="00203AA9"/>
    <w:rsid w:val="00203C07"/>
    <w:rsid w:val="0020408D"/>
    <w:rsid w:val="002040B1"/>
    <w:rsid w:val="00204200"/>
    <w:rsid w:val="00204452"/>
    <w:rsid w:val="00204642"/>
    <w:rsid w:val="002046C3"/>
    <w:rsid w:val="0020473D"/>
    <w:rsid w:val="00205143"/>
    <w:rsid w:val="00205205"/>
    <w:rsid w:val="00205245"/>
    <w:rsid w:val="00205505"/>
    <w:rsid w:val="002061FC"/>
    <w:rsid w:val="00206249"/>
    <w:rsid w:val="00206625"/>
    <w:rsid w:val="002066A9"/>
    <w:rsid w:val="00206B3D"/>
    <w:rsid w:val="00206E73"/>
    <w:rsid w:val="002071D7"/>
    <w:rsid w:val="0020756F"/>
    <w:rsid w:val="002075A4"/>
    <w:rsid w:val="002075D8"/>
    <w:rsid w:val="00207618"/>
    <w:rsid w:val="00207D96"/>
    <w:rsid w:val="0021017E"/>
    <w:rsid w:val="002102BB"/>
    <w:rsid w:val="002105C4"/>
    <w:rsid w:val="00210AF5"/>
    <w:rsid w:val="00210D2D"/>
    <w:rsid w:val="00210E6D"/>
    <w:rsid w:val="002110B2"/>
    <w:rsid w:val="002115E7"/>
    <w:rsid w:val="002116D0"/>
    <w:rsid w:val="00211D0B"/>
    <w:rsid w:val="002122FA"/>
    <w:rsid w:val="0021245A"/>
    <w:rsid w:val="00212820"/>
    <w:rsid w:val="00212A50"/>
    <w:rsid w:val="00212D91"/>
    <w:rsid w:val="002134E1"/>
    <w:rsid w:val="00213B06"/>
    <w:rsid w:val="00213D82"/>
    <w:rsid w:val="00214015"/>
    <w:rsid w:val="00214586"/>
    <w:rsid w:val="00214782"/>
    <w:rsid w:val="00214F48"/>
    <w:rsid w:val="00215E6B"/>
    <w:rsid w:val="00215F1A"/>
    <w:rsid w:val="00216882"/>
    <w:rsid w:val="00216979"/>
    <w:rsid w:val="00216DAB"/>
    <w:rsid w:val="002170FA"/>
    <w:rsid w:val="002176F1"/>
    <w:rsid w:val="002203E8"/>
    <w:rsid w:val="0022040A"/>
    <w:rsid w:val="00220520"/>
    <w:rsid w:val="002206A9"/>
    <w:rsid w:val="00220BEA"/>
    <w:rsid w:val="00220E77"/>
    <w:rsid w:val="00220F5F"/>
    <w:rsid w:val="00220FDB"/>
    <w:rsid w:val="00221326"/>
    <w:rsid w:val="0022153E"/>
    <w:rsid w:val="0022162C"/>
    <w:rsid w:val="002218B7"/>
    <w:rsid w:val="00221DBA"/>
    <w:rsid w:val="00221E7D"/>
    <w:rsid w:val="0022250E"/>
    <w:rsid w:val="00222641"/>
    <w:rsid w:val="002227D8"/>
    <w:rsid w:val="00222838"/>
    <w:rsid w:val="00222E89"/>
    <w:rsid w:val="002235A4"/>
    <w:rsid w:val="002237EE"/>
    <w:rsid w:val="00223976"/>
    <w:rsid w:val="00223AA0"/>
    <w:rsid w:val="00223D40"/>
    <w:rsid w:val="002243C8"/>
    <w:rsid w:val="002246F9"/>
    <w:rsid w:val="00224942"/>
    <w:rsid w:val="00224BD2"/>
    <w:rsid w:val="00225C6B"/>
    <w:rsid w:val="00225F0D"/>
    <w:rsid w:val="00226768"/>
    <w:rsid w:val="00226C07"/>
    <w:rsid w:val="00226D23"/>
    <w:rsid w:val="002279B3"/>
    <w:rsid w:val="002301BA"/>
    <w:rsid w:val="002302E3"/>
    <w:rsid w:val="00230A29"/>
    <w:rsid w:val="00230FA2"/>
    <w:rsid w:val="0023115D"/>
    <w:rsid w:val="002312F4"/>
    <w:rsid w:val="00231342"/>
    <w:rsid w:val="00231343"/>
    <w:rsid w:val="00231553"/>
    <w:rsid w:val="002318EA"/>
    <w:rsid w:val="0023202F"/>
    <w:rsid w:val="0023297B"/>
    <w:rsid w:val="00232E33"/>
    <w:rsid w:val="002330FB"/>
    <w:rsid w:val="0023339B"/>
    <w:rsid w:val="002335E0"/>
    <w:rsid w:val="00233917"/>
    <w:rsid w:val="00234442"/>
    <w:rsid w:val="00234538"/>
    <w:rsid w:val="00234769"/>
    <w:rsid w:val="00234A91"/>
    <w:rsid w:val="00234B27"/>
    <w:rsid w:val="00234DBD"/>
    <w:rsid w:val="00235137"/>
    <w:rsid w:val="00236274"/>
    <w:rsid w:val="00236574"/>
    <w:rsid w:val="0023668C"/>
    <w:rsid w:val="00236707"/>
    <w:rsid w:val="0023703F"/>
    <w:rsid w:val="0023762F"/>
    <w:rsid w:val="00237E27"/>
    <w:rsid w:val="00240416"/>
    <w:rsid w:val="002407B3"/>
    <w:rsid w:val="00240917"/>
    <w:rsid w:val="00240921"/>
    <w:rsid w:val="00240F38"/>
    <w:rsid w:val="0024109B"/>
    <w:rsid w:val="002410BC"/>
    <w:rsid w:val="002410E8"/>
    <w:rsid w:val="0024144F"/>
    <w:rsid w:val="00241A40"/>
    <w:rsid w:val="00241C0A"/>
    <w:rsid w:val="00241C1A"/>
    <w:rsid w:val="00241C3D"/>
    <w:rsid w:val="00241D7F"/>
    <w:rsid w:val="00242233"/>
    <w:rsid w:val="00242A58"/>
    <w:rsid w:val="00242BC1"/>
    <w:rsid w:val="00242BEB"/>
    <w:rsid w:val="00242C1A"/>
    <w:rsid w:val="00242EE6"/>
    <w:rsid w:val="00243653"/>
    <w:rsid w:val="00243726"/>
    <w:rsid w:val="0024392D"/>
    <w:rsid w:val="00243F5D"/>
    <w:rsid w:val="002442F7"/>
    <w:rsid w:val="002445FE"/>
    <w:rsid w:val="00244813"/>
    <w:rsid w:val="00244B55"/>
    <w:rsid w:val="00244B97"/>
    <w:rsid w:val="00245498"/>
    <w:rsid w:val="00245752"/>
    <w:rsid w:val="00245D6B"/>
    <w:rsid w:val="00245D8A"/>
    <w:rsid w:val="002463E4"/>
    <w:rsid w:val="0024649B"/>
    <w:rsid w:val="002464A9"/>
    <w:rsid w:val="0024652E"/>
    <w:rsid w:val="00246701"/>
    <w:rsid w:val="0024672F"/>
    <w:rsid w:val="00246C95"/>
    <w:rsid w:val="00247554"/>
    <w:rsid w:val="00247765"/>
    <w:rsid w:val="00247771"/>
    <w:rsid w:val="00247B56"/>
    <w:rsid w:val="0025093F"/>
    <w:rsid w:val="0025100A"/>
    <w:rsid w:val="0025102B"/>
    <w:rsid w:val="00251523"/>
    <w:rsid w:val="0025189E"/>
    <w:rsid w:val="00252119"/>
    <w:rsid w:val="00252734"/>
    <w:rsid w:val="00252943"/>
    <w:rsid w:val="002529FC"/>
    <w:rsid w:val="00252A24"/>
    <w:rsid w:val="00252D80"/>
    <w:rsid w:val="002531C6"/>
    <w:rsid w:val="002533C2"/>
    <w:rsid w:val="002544FA"/>
    <w:rsid w:val="002548E1"/>
    <w:rsid w:val="00254D81"/>
    <w:rsid w:val="00254DBA"/>
    <w:rsid w:val="0025520C"/>
    <w:rsid w:val="00255259"/>
    <w:rsid w:val="00255391"/>
    <w:rsid w:val="002554AC"/>
    <w:rsid w:val="00256103"/>
    <w:rsid w:val="0025643D"/>
    <w:rsid w:val="00256782"/>
    <w:rsid w:val="00256784"/>
    <w:rsid w:val="002569EC"/>
    <w:rsid w:val="0025749C"/>
    <w:rsid w:val="00257A2B"/>
    <w:rsid w:val="00257C1A"/>
    <w:rsid w:val="00257C6A"/>
    <w:rsid w:val="00260098"/>
    <w:rsid w:val="002601E8"/>
    <w:rsid w:val="002602EE"/>
    <w:rsid w:val="002604CE"/>
    <w:rsid w:val="00261341"/>
    <w:rsid w:val="002613C9"/>
    <w:rsid w:val="00261646"/>
    <w:rsid w:val="002618DF"/>
    <w:rsid w:val="00261D00"/>
    <w:rsid w:val="00261DAF"/>
    <w:rsid w:val="00262150"/>
    <w:rsid w:val="00262737"/>
    <w:rsid w:val="002629F0"/>
    <w:rsid w:val="00262A5C"/>
    <w:rsid w:val="00262CE5"/>
    <w:rsid w:val="00263357"/>
    <w:rsid w:val="002633D9"/>
    <w:rsid w:val="00263569"/>
    <w:rsid w:val="0026363B"/>
    <w:rsid w:val="002639D4"/>
    <w:rsid w:val="00263D2D"/>
    <w:rsid w:val="00264254"/>
    <w:rsid w:val="00264663"/>
    <w:rsid w:val="00264CCF"/>
    <w:rsid w:val="002656D7"/>
    <w:rsid w:val="0026595D"/>
    <w:rsid w:val="002661B9"/>
    <w:rsid w:val="0026647C"/>
    <w:rsid w:val="002665BE"/>
    <w:rsid w:val="002668DE"/>
    <w:rsid w:val="00267A21"/>
    <w:rsid w:val="00267A55"/>
    <w:rsid w:val="00267C97"/>
    <w:rsid w:val="00267DA7"/>
    <w:rsid w:val="00267F5D"/>
    <w:rsid w:val="002704C8"/>
    <w:rsid w:val="00270B64"/>
    <w:rsid w:val="00270E41"/>
    <w:rsid w:val="00270EF4"/>
    <w:rsid w:val="002714DB"/>
    <w:rsid w:val="00271C05"/>
    <w:rsid w:val="002723D0"/>
    <w:rsid w:val="00272805"/>
    <w:rsid w:val="002728A8"/>
    <w:rsid w:val="00272D71"/>
    <w:rsid w:val="00272D9A"/>
    <w:rsid w:val="00272F44"/>
    <w:rsid w:val="002735A8"/>
    <w:rsid w:val="002737A7"/>
    <w:rsid w:val="00273849"/>
    <w:rsid w:val="00273AF5"/>
    <w:rsid w:val="00273BE8"/>
    <w:rsid w:val="00273FAE"/>
    <w:rsid w:val="0027416C"/>
    <w:rsid w:val="0027435A"/>
    <w:rsid w:val="002744A2"/>
    <w:rsid w:val="0027453B"/>
    <w:rsid w:val="00274B04"/>
    <w:rsid w:val="00274F52"/>
    <w:rsid w:val="00275080"/>
    <w:rsid w:val="002751EF"/>
    <w:rsid w:val="00275B74"/>
    <w:rsid w:val="00275C77"/>
    <w:rsid w:val="002762C9"/>
    <w:rsid w:val="002766D5"/>
    <w:rsid w:val="00276D85"/>
    <w:rsid w:val="002776F8"/>
    <w:rsid w:val="002779B3"/>
    <w:rsid w:val="00277B5A"/>
    <w:rsid w:val="00277CDE"/>
    <w:rsid w:val="00277FD5"/>
    <w:rsid w:val="00280386"/>
    <w:rsid w:val="00280AC6"/>
    <w:rsid w:val="00280B0B"/>
    <w:rsid w:val="00280C65"/>
    <w:rsid w:val="00280F07"/>
    <w:rsid w:val="002811C5"/>
    <w:rsid w:val="002811F9"/>
    <w:rsid w:val="002812CB"/>
    <w:rsid w:val="0028188C"/>
    <w:rsid w:val="00281ACB"/>
    <w:rsid w:val="00281F7C"/>
    <w:rsid w:val="00282433"/>
    <w:rsid w:val="002824C3"/>
    <w:rsid w:val="00282838"/>
    <w:rsid w:val="00282A5D"/>
    <w:rsid w:val="00282B1A"/>
    <w:rsid w:val="00282B27"/>
    <w:rsid w:val="0028363F"/>
    <w:rsid w:val="002836AE"/>
    <w:rsid w:val="0028450E"/>
    <w:rsid w:val="002845A3"/>
    <w:rsid w:val="00284655"/>
    <w:rsid w:val="0028472F"/>
    <w:rsid w:val="00284A4A"/>
    <w:rsid w:val="00284AD5"/>
    <w:rsid w:val="0028500D"/>
    <w:rsid w:val="00285193"/>
    <w:rsid w:val="00285EB7"/>
    <w:rsid w:val="002873C2"/>
    <w:rsid w:val="002875EB"/>
    <w:rsid w:val="00287F2D"/>
    <w:rsid w:val="00287F3B"/>
    <w:rsid w:val="0029038F"/>
    <w:rsid w:val="002907BB"/>
    <w:rsid w:val="00290CFB"/>
    <w:rsid w:val="00290E17"/>
    <w:rsid w:val="00290F10"/>
    <w:rsid w:val="002910F4"/>
    <w:rsid w:val="0029136C"/>
    <w:rsid w:val="00291429"/>
    <w:rsid w:val="00291FAB"/>
    <w:rsid w:val="002920FF"/>
    <w:rsid w:val="00292F56"/>
    <w:rsid w:val="00292FDE"/>
    <w:rsid w:val="0029386A"/>
    <w:rsid w:val="00293A80"/>
    <w:rsid w:val="00293D85"/>
    <w:rsid w:val="00293E86"/>
    <w:rsid w:val="00294093"/>
    <w:rsid w:val="002945A0"/>
    <w:rsid w:val="00294A9A"/>
    <w:rsid w:val="002950ED"/>
    <w:rsid w:val="002955A3"/>
    <w:rsid w:val="00295766"/>
    <w:rsid w:val="00295B8A"/>
    <w:rsid w:val="00296383"/>
    <w:rsid w:val="002963B2"/>
    <w:rsid w:val="0029661A"/>
    <w:rsid w:val="00297013"/>
    <w:rsid w:val="00297067"/>
    <w:rsid w:val="002976FF"/>
    <w:rsid w:val="00297AC7"/>
    <w:rsid w:val="002A0D7E"/>
    <w:rsid w:val="002A0EE6"/>
    <w:rsid w:val="002A1061"/>
    <w:rsid w:val="002A13B4"/>
    <w:rsid w:val="002A15A5"/>
    <w:rsid w:val="002A213B"/>
    <w:rsid w:val="002A23A2"/>
    <w:rsid w:val="002A24C7"/>
    <w:rsid w:val="002A29AE"/>
    <w:rsid w:val="002A2C81"/>
    <w:rsid w:val="002A2E08"/>
    <w:rsid w:val="002A2F98"/>
    <w:rsid w:val="002A319D"/>
    <w:rsid w:val="002A3318"/>
    <w:rsid w:val="002A33D6"/>
    <w:rsid w:val="002A3F62"/>
    <w:rsid w:val="002A4172"/>
    <w:rsid w:val="002A46C9"/>
    <w:rsid w:val="002A47BA"/>
    <w:rsid w:val="002A4B17"/>
    <w:rsid w:val="002A5638"/>
    <w:rsid w:val="002A5CBC"/>
    <w:rsid w:val="002A6239"/>
    <w:rsid w:val="002A681F"/>
    <w:rsid w:val="002A6F9C"/>
    <w:rsid w:val="002A74AE"/>
    <w:rsid w:val="002B0248"/>
    <w:rsid w:val="002B04D2"/>
    <w:rsid w:val="002B05BB"/>
    <w:rsid w:val="002B0F9B"/>
    <w:rsid w:val="002B1339"/>
    <w:rsid w:val="002B162C"/>
    <w:rsid w:val="002B19FF"/>
    <w:rsid w:val="002B1B26"/>
    <w:rsid w:val="002B2C50"/>
    <w:rsid w:val="002B37F6"/>
    <w:rsid w:val="002B3F02"/>
    <w:rsid w:val="002B4509"/>
    <w:rsid w:val="002B458A"/>
    <w:rsid w:val="002B48D0"/>
    <w:rsid w:val="002B4FFC"/>
    <w:rsid w:val="002B53A6"/>
    <w:rsid w:val="002B57F0"/>
    <w:rsid w:val="002B5DF9"/>
    <w:rsid w:val="002B5FED"/>
    <w:rsid w:val="002B65C2"/>
    <w:rsid w:val="002B6C55"/>
    <w:rsid w:val="002B6D2F"/>
    <w:rsid w:val="002C05B5"/>
    <w:rsid w:val="002C06BB"/>
    <w:rsid w:val="002C0909"/>
    <w:rsid w:val="002C15F4"/>
    <w:rsid w:val="002C1800"/>
    <w:rsid w:val="002C247F"/>
    <w:rsid w:val="002C2737"/>
    <w:rsid w:val="002C286D"/>
    <w:rsid w:val="002C28BE"/>
    <w:rsid w:val="002C2CB0"/>
    <w:rsid w:val="002C2D57"/>
    <w:rsid w:val="002C2F7E"/>
    <w:rsid w:val="002C30CB"/>
    <w:rsid w:val="002C30E8"/>
    <w:rsid w:val="002C39CB"/>
    <w:rsid w:val="002C3B78"/>
    <w:rsid w:val="002C3EAC"/>
    <w:rsid w:val="002C3F6C"/>
    <w:rsid w:val="002C3F9F"/>
    <w:rsid w:val="002C4149"/>
    <w:rsid w:val="002C47BC"/>
    <w:rsid w:val="002C50A9"/>
    <w:rsid w:val="002C5909"/>
    <w:rsid w:val="002C5C3F"/>
    <w:rsid w:val="002C6D4B"/>
    <w:rsid w:val="002C6DA9"/>
    <w:rsid w:val="002C76AA"/>
    <w:rsid w:val="002C7795"/>
    <w:rsid w:val="002C7A66"/>
    <w:rsid w:val="002D00E1"/>
    <w:rsid w:val="002D02BA"/>
    <w:rsid w:val="002D0847"/>
    <w:rsid w:val="002D0849"/>
    <w:rsid w:val="002D0EDB"/>
    <w:rsid w:val="002D10FD"/>
    <w:rsid w:val="002D1213"/>
    <w:rsid w:val="002D1235"/>
    <w:rsid w:val="002D12D3"/>
    <w:rsid w:val="002D133A"/>
    <w:rsid w:val="002D13A4"/>
    <w:rsid w:val="002D1788"/>
    <w:rsid w:val="002D1B2F"/>
    <w:rsid w:val="002D1B98"/>
    <w:rsid w:val="002D2F04"/>
    <w:rsid w:val="002D2F5A"/>
    <w:rsid w:val="002D3011"/>
    <w:rsid w:val="002D330C"/>
    <w:rsid w:val="002D33C3"/>
    <w:rsid w:val="002D3B95"/>
    <w:rsid w:val="002D3C99"/>
    <w:rsid w:val="002D41D3"/>
    <w:rsid w:val="002D443C"/>
    <w:rsid w:val="002D4473"/>
    <w:rsid w:val="002D46A0"/>
    <w:rsid w:val="002D4813"/>
    <w:rsid w:val="002D4A6D"/>
    <w:rsid w:val="002D4CBB"/>
    <w:rsid w:val="002D4F03"/>
    <w:rsid w:val="002D53FF"/>
    <w:rsid w:val="002D5440"/>
    <w:rsid w:val="002D5A2C"/>
    <w:rsid w:val="002D5D1C"/>
    <w:rsid w:val="002D623C"/>
    <w:rsid w:val="002D6A49"/>
    <w:rsid w:val="002D6A51"/>
    <w:rsid w:val="002D71F5"/>
    <w:rsid w:val="002D722F"/>
    <w:rsid w:val="002E0043"/>
    <w:rsid w:val="002E0152"/>
    <w:rsid w:val="002E0B07"/>
    <w:rsid w:val="002E120A"/>
    <w:rsid w:val="002E1433"/>
    <w:rsid w:val="002E1EF4"/>
    <w:rsid w:val="002E23C7"/>
    <w:rsid w:val="002E2F46"/>
    <w:rsid w:val="002E33BB"/>
    <w:rsid w:val="002E352C"/>
    <w:rsid w:val="002E375A"/>
    <w:rsid w:val="002E3980"/>
    <w:rsid w:val="002E3CFD"/>
    <w:rsid w:val="002E489A"/>
    <w:rsid w:val="002E585E"/>
    <w:rsid w:val="002E6733"/>
    <w:rsid w:val="002E6A69"/>
    <w:rsid w:val="002E6B40"/>
    <w:rsid w:val="002E6E2F"/>
    <w:rsid w:val="002E70B2"/>
    <w:rsid w:val="002E7877"/>
    <w:rsid w:val="002E7F32"/>
    <w:rsid w:val="002F0087"/>
    <w:rsid w:val="002F016C"/>
    <w:rsid w:val="002F072F"/>
    <w:rsid w:val="002F075A"/>
    <w:rsid w:val="002F0E60"/>
    <w:rsid w:val="002F194B"/>
    <w:rsid w:val="002F1C5A"/>
    <w:rsid w:val="002F1FCA"/>
    <w:rsid w:val="002F21A0"/>
    <w:rsid w:val="002F2252"/>
    <w:rsid w:val="002F2875"/>
    <w:rsid w:val="002F2DFC"/>
    <w:rsid w:val="002F32B1"/>
    <w:rsid w:val="002F3381"/>
    <w:rsid w:val="002F3BD7"/>
    <w:rsid w:val="002F3E13"/>
    <w:rsid w:val="002F3EB5"/>
    <w:rsid w:val="002F4343"/>
    <w:rsid w:val="002F4C8F"/>
    <w:rsid w:val="002F4F73"/>
    <w:rsid w:val="002F4F9D"/>
    <w:rsid w:val="002F5075"/>
    <w:rsid w:val="002F5690"/>
    <w:rsid w:val="002F57E0"/>
    <w:rsid w:val="002F609A"/>
    <w:rsid w:val="002F61AC"/>
    <w:rsid w:val="002F6458"/>
    <w:rsid w:val="002F64B5"/>
    <w:rsid w:val="002F6898"/>
    <w:rsid w:val="002F6A0F"/>
    <w:rsid w:val="002F6B33"/>
    <w:rsid w:val="002F6C34"/>
    <w:rsid w:val="002F6EC8"/>
    <w:rsid w:val="002F6FFE"/>
    <w:rsid w:val="002F7427"/>
    <w:rsid w:val="002F757B"/>
    <w:rsid w:val="002F75DD"/>
    <w:rsid w:val="00300346"/>
    <w:rsid w:val="00300931"/>
    <w:rsid w:val="00300FB8"/>
    <w:rsid w:val="0030106D"/>
    <w:rsid w:val="00301C90"/>
    <w:rsid w:val="00301F2A"/>
    <w:rsid w:val="0030255D"/>
    <w:rsid w:val="003027E4"/>
    <w:rsid w:val="00302FC9"/>
    <w:rsid w:val="00303E45"/>
    <w:rsid w:val="003044F3"/>
    <w:rsid w:val="00304D4F"/>
    <w:rsid w:val="00304D50"/>
    <w:rsid w:val="003056C1"/>
    <w:rsid w:val="00305AA5"/>
    <w:rsid w:val="00305B15"/>
    <w:rsid w:val="00305ECF"/>
    <w:rsid w:val="003060CC"/>
    <w:rsid w:val="00306640"/>
    <w:rsid w:val="0030675A"/>
    <w:rsid w:val="0030689D"/>
    <w:rsid w:val="00306AB4"/>
    <w:rsid w:val="00306C97"/>
    <w:rsid w:val="0030725D"/>
    <w:rsid w:val="0030733E"/>
    <w:rsid w:val="003078C2"/>
    <w:rsid w:val="00307B94"/>
    <w:rsid w:val="00310144"/>
    <w:rsid w:val="00310443"/>
    <w:rsid w:val="003105F9"/>
    <w:rsid w:val="00310769"/>
    <w:rsid w:val="00310CA1"/>
    <w:rsid w:val="00310FF4"/>
    <w:rsid w:val="003110C9"/>
    <w:rsid w:val="0031132B"/>
    <w:rsid w:val="00311492"/>
    <w:rsid w:val="00311970"/>
    <w:rsid w:val="00311F2C"/>
    <w:rsid w:val="0031281A"/>
    <w:rsid w:val="00312EE7"/>
    <w:rsid w:val="0031302E"/>
    <w:rsid w:val="00313946"/>
    <w:rsid w:val="00313B29"/>
    <w:rsid w:val="00313BCB"/>
    <w:rsid w:val="00313CB1"/>
    <w:rsid w:val="00313F90"/>
    <w:rsid w:val="0031421E"/>
    <w:rsid w:val="003143C5"/>
    <w:rsid w:val="00314768"/>
    <w:rsid w:val="00314A34"/>
    <w:rsid w:val="00314D6E"/>
    <w:rsid w:val="00314E27"/>
    <w:rsid w:val="00315233"/>
    <w:rsid w:val="003153A2"/>
    <w:rsid w:val="003156F8"/>
    <w:rsid w:val="00315B30"/>
    <w:rsid w:val="00315F04"/>
    <w:rsid w:val="003160AC"/>
    <w:rsid w:val="003160AF"/>
    <w:rsid w:val="003162B3"/>
    <w:rsid w:val="00316583"/>
    <w:rsid w:val="00316BA0"/>
    <w:rsid w:val="00317EE9"/>
    <w:rsid w:val="00320108"/>
    <w:rsid w:val="00320584"/>
    <w:rsid w:val="003209E8"/>
    <w:rsid w:val="0032105B"/>
    <w:rsid w:val="003214D9"/>
    <w:rsid w:val="00321BAD"/>
    <w:rsid w:val="00321DEF"/>
    <w:rsid w:val="00321E7B"/>
    <w:rsid w:val="003220F0"/>
    <w:rsid w:val="00322E49"/>
    <w:rsid w:val="003233D5"/>
    <w:rsid w:val="003236A2"/>
    <w:rsid w:val="003237BF"/>
    <w:rsid w:val="00323B26"/>
    <w:rsid w:val="0032405A"/>
    <w:rsid w:val="0032415D"/>
    <w:rsid w:val="003249A7"/>
    <w:rsid w:val="00324B22"/>
    <w:rsid w:val="00324BDB"/>
    <w:rsid w:val="00325608"/>
    <w:rsid w:val="00325A42"/>
    <w:rsid w:val="003260C2"/>
    <w:rsid w:val="00326120"/>
    <w:rsid w:val="00326194"/>
    <w:rsid w:val="00326E6C"/>
    <w:rsid w:val="0032705C"/>
    <w:rsid w:val="003270D5"/>
    <w:rsid w:val="003277C3"/>
    <w:rsid w:val="00327993"/>
    <w:rsid w:val="00327AB4"/>
    <w:rsid w:val="0033002E"/>
    <w:rsid w:val="0033009D"/>
    <w:rsid w:val="00330792"/>
    <w:rsid w:val="003307D7"/>
    <w:rsid w:val="003307FD"/>
    <w:rsid w:val="00330AFF"/>
    <w:rsid w:val="003310AB"/>
    <w:rsid w:val="00331846"/>
    <w:rsid w:val="00331BB4"/>
    <w:rsid w:val="00332036"/>
    <w:rsid w:val="00332FE1"/>
    <w:rsid w:val="003330F9"/>
    <w:rsid w:val="00333136"/>
    <w:rsid w:val="00333A89"/>
    <w:rsid w:val="00333CFF"/>
    <w:rsid w:val="003347A1"/>
    <w:rsid w:val="0033481E"/>
    <w:rsid w:val="00334993"/>
    <w:rsid w:val="00334C2F"/>
    <w:rsid w:val="00334C3B"/>
    <w:rsid w:val="00335180"/>
    <w:rsid w:val="0033617E"/>
    <w:rsid w:val="003362C8"/>
    <w:rsid w:val="0033641B"/>
    <w:rsid w:val="003368C6"/>
    <w:rsid w:val="00336AF3"/>
    <w:rsid w:val="00337312"/>
    <w:rsid w:val="0033737C"/>
    <w:rsid w:val="003373C2"/>
    <w:rsid w:val="003374B7"/>
    <w:rsid w:val="00337801"/>
    <w:rsid w:val="00337887"/>
    <w:rsid w:val="00337BED"/>
    <w:rsid w:val="00340683"/>
    <w:rsid w:val="00340F0C"/>
    <w:rsid w:val="00340F8E"/>
    <w:rsid w:val="00341475"/>
    <w:rsid w:val="003417D6"/>
    <w:rsid w:val="003417F6"/>
    <w:rsid w:val="00341BFB"/>
    <w:rsid w:val="00341C34"/>
    <w:rsid w:val="003432D7"/>
    <w:rsid w:val="0034346B"/>
    <w:rsid w:val="00343E77"/>
    <w:rsid w:val="00344432"/>
    <w:rsid w:val="003445C5"/>
    <w:rsid w:val="003449EA"/>
    <w:rsid w:val="00344A7B"/>
    <w:rsid w:val="00344B9A"/>
    <w:rsid w:val="00344E2A"/>
    <w:rsid w:val="0034559F"/>
    <w:rsid w:val="003457B8"/>
    <w:rsid w:val="0034592B"/>
    <w:rsid w:val="0034623A"/>
    <w:rsid w:val="003463E1"/>
    <w:rsid w:val="00346ABC"/>
    <w:rsid w:val="00346F14"/>
    <w:rsid w:val="00347277"/>
    <w:rsid w:val="00347730"/>
    <w:rsid w:val="00350CCB"/>
    <w:rsid w:val="00350F5A"/>
    <w:rsid w:val="0035131B"/>
    <w:rsid w:val="003514EE"/>
    <w:rsid w:val="00351E28"/>
    <w:rsid w:val="00352450"/>
    <w:rsid w:val="00352799"/>
    <w:rsid w:val="003528D1"/>
    <w:rsid w:val="00352E93"/>
    <w:rsid w:val="00352E98"/>
    <w:rsid w:val="00353037"/>
    <w:rsid w:val="003533E7"/>
    <w:rsid w:val="00353446"/>
    <w:rsid w:val="00353ED7"/>
    <w:rsid w:val="00354330"/>
    <w:rsid w:val="0035451D"/>
    <w:rsid w:val="003549C5"/>
    <w:rsid w:val="00355364"/>
    <w:rsid w:val="00355628"/>
    <w:rsid w:val="0035576E"/>
    <w:rsid w:val="003557A9"/>
    <w:rsid w:val="00355C0B"/>
    <w:rsid w:val="00355D0C"/>
    <w:rsid w:val="00356173"/>
    <w:rsid w:val="00356539"/>
    <w:rsid w:val="0035735F"/>
    <w:rsid w:val="0035775E"/>
    <w:rsid w:val="003578CB"/>
    <w:rsid w:val="00360012"/>
    <w:rsid w:val="00360121"/>
    <w:rsid w:val="00360553"/>
    <w:rsid w:val="003605D8"/>
    <w:rsid w:val="003607D9"/>
    <w:rsid w:val="003609A0"/>
    <w:rsid w:val="00360D58"/>
    <w:rsid w:val="00361722"/>
    <w:rsid w:val="00361988"/>
    <w:rsid w:val="003619E7"/>
    <w:rsid w:val="00361B5B"/>
    <w:rsid w:val="00361D41"/>
    <w:rsid w:val="0036223A"/>
    <w:rsid w:val="0036284F"/>
    <w:rsid w:val="00362E34"/>
    <w:rsid w:val="00363404"/>
    <w:rsid w:val="00363490"/>
    <w:rsid w:val="003639E1"/>
    <w:rsid w:val="00363CF3"/>
    <w:rsid w:val="00363E4B"/>
    <w:rsid w:val="003640C2"/>
    <w:rsid w:val="00364193"/>
    <w:rsid w:val="00364221"/>
    <w:rsid w:val="003643C8"/>
    <w:rsid w:val="003647DD"/>
    <w:rsid w:val="00364AD2"/>
    <w:rsid w:val="00364B32"/>
    <w:rsid w:val="00364C11"/>
    <w:rsid w:val="00365E6B"/>
    <w:rsid w:val="00366528"/>
    <w:rsid w:val="003668D8"/>
    <w:rsid w:val="00366923"/>
    <w:rsid w:val="0036694E"/>
    <w:rsid w:val="00366B02"/>
    <w:rsid w:val="00366B0A"/>
    <w:rsid w:val="00366EAB"/>
    <w:rsid w:val="00367051"/>
    <w:rsid w:val="003700CE"/>
    <w:rsid w:val="003702EB"/>
    <w:rsid w:val="003704BD"/>
    <w:rsid w:val="00370745"/>
    <w:rsid w:val="003708A2"/>
    <w:rsid w:val="003708C1"/>
    <w:rsid w:val="00371013"/>
    <w:rsid w:val="00371075"/>
    <w:rsid w:val="0037116A"/>
    <w:rsid w:val="003711F4"/>
    <w:rsid w:val="0037161A"/>
    <w:rsid w:val="00371CB6"/>
    <w:rsid w:val="00372A42"/>
    <w:rsid w:val="003731D5"/>
    <w:rsid w:val="0037325F"/>
    <w:rsid w:val="003738DC"/>
    <w:rsid w:val="003739B3"/>
    <w:rsid w:val="0037442D"/>
    <w:rsid w:val="0037477B"/>
    <w:rsid w:val="003751CB"/>
    <w:rsid w:val="00375CBE"/>
    <w:rsid w:val="0037619F"/>
    <w:rsid w:val="003761BC"/>
    <w:rsid w:val="003767E6"/>
    <w:rsid w:val="00376938"/>
    <w:rsid w:val="00377787"/>
    <w:rsid w:val="00377BF4"/>
    <w:rsid w:val="00377F75"/>
    <w:rsid w:val="003808B7"/>
    <w:rsid w:val="00380B4D"/>
    <w:rsid w:val="00380E09"/>
    <w:rsid w:val="00380EEE"/>
    <w:rsid w:val="00380F72"/>
    <w:rsid w:val="00381232"/>
    <w:rsid w:val="00381477"/>
    <w:rsid w:val="00381503"/>
    <w:rsid w:val="0038187D"/>
    <w:rsid w:val="00381A95"/>
    <w:rsid w:val="00382197"/>
    <w:rsid w:val="00382D61"/>
    <w:rsid w:val="003833F3"/>
    <w:rsid w:val="00383BF3"/>
    <w:rsid w:val="00383DEA"/>
    <w:rsid w:val="00383FE0"/>
    <w:rsid w:val="003841F1"/>
    <w:rsid w:val="00384690"/>
    <w:rsid w:val="003847EA"/>
    <w:rsid w:val="003848DB"/>
    <w:rsid w:val="00384C8D"/>
    <w:rsid w:val="00384DE3"/>
    <w:rsid w:val="00385FAE"/>
    <w:rsid w:val="00385FB9"/>
    <w:rsid w:val="00386105"/>
    <w:rsid w:val="003862FA"/>
    <w:rsid w:val="00386683"/>
    <w:rsid w:val="003868E0"/>
    <w:rsid w:val="00386955"/>
    <w:rsid w:val="00386CE4"/>
    <w:rsid w:val="00387137"/>
    <w:rsid w:val="0038723D"/>
    <w:rsid w:val="0038747A"/>
    <w:rsid w:val="003879F7"/>
    <w:rsid w:val="00387EF2"/>
    <w:rsid w:val="00390124"/>
    <w:rsid w:val="003901EB"/>
    <w:rsid w:val="00390576"/>
    <w:rsid w:val="00390628"/>
    <w:rsid w:val="0039063D"/>
    <w:rsid w:val="003907A2"/>
    <w:rsid w:val="00390989"/>
    <w:rsid w:val="00390E2B"/>
    <w:rsid w:val="0039115D"/>
    <w:rsid w:val="00391666"/>
    <w:rsid w:val="00391669"/>
    <w:rsid w:val="00391693"/>
    <w:rsid w:val="00391A3A"/>
    <w:rsid w:val="00391AAF"/>
    <w:rsid w:val="00391C31"/>
    <w:rsid w:val="00391D6B"/>
    <w:rsid w:val="003926FD"/>
    <w:rsid w:val="00392AF0"/>
    <w:rsid w:val="00392C0D"/>
    <w:rsid w:val="00392FC4"/>
    <w:rsid w:val="003933E5"/>
    <w:rsid w:val="00393503"/>
    <w:rsid w:val="00393F00"/>
    <w:rsid w:val="00393FFA"/>
    <w:rsid w:val="00394B14"/>
    <w:rsid w:val="00394CBE"/>
    <w:rsid w:val="00395A2D"/>
    <w:rsid w:val="00395A3D"/>
    <w:rsid w:val="00395D7B"/>
    <w:rsid w:val="00396377"/>
    <w:rsid w:val="003966D0"/>
    <w:rsid w:val="0039692E"/>
    <w:rsid w:val="00396C7C"/>
    <w:rsid w:val="00397513"/>
    <w:rsid w:val="00397735"/>
    <w:rsid w:val="00397F06"/>
    <w:rsid w:val="00397F0F"/>
    <w:rsid w:val="003A05AA"/>
    <w:rsid w:val="003A0996"/>
    <w:rsid w:val="003A0E86"/>
    <w:rsid w:val="003A134F"/>
    <w:rsid w:val="003A1404"/>
    <w:rsid w:val="003A17CF"/>
    <w:rsid w:val="003A18B2"/>
    <w:rsid w:val="003A2094"/>
    <w:rsid w:val="003A2337"/>
    <w:rsid w:val="003A24E7"/>
    <w:rsid w:val="003A2522"/>
    <w:rsid w:val="003A25DF"/>
    <w:rsid w:val="003A2886"/>
    <w:rsid w:val="003A2E7F"/>
    <w:rsid w:val="003A3575"/>
    <w:rsid w:val="003A35D9"/>
    <w:rsid w:val="003A361D"/>
    <w:rsid w:val="003A3B64"/>
    <w:rsid w:val="003A3D6D"/>
    <w:rsid w:val="003A3F05"/>
    <w:rsid w:val="003A4167"/>
    <w:rsid w:val="003A453E"/>
    <w:rsid w:val="003A49BB"/>
    <w:rsid w:val="003A5703"/>
    <w:rsid w:val="003A57FD"/>
    <w:rsid w:val="003A59B4"/>
    <w:rsid w:val="003A5BA5"/>
    <w:rsid w:val="003A5EF4"/>
    <w:rsid w:val="003A604B"/>
    <w:rsid w:val="003A6E98"/>
    <w:rsid w:val="003A7860"/>
    <w:rsid w:val="003A7F27"/>
    <w:rsid w:val="003B0063"/>
    <w:rsid w:val="003B03C0"/>
    <w:rsid w:val="003B03EC"/>
    <w:rsid w:val="003B13AA"/>
    <w:rsid w:val="003B1844"/>
    <w:rsid w:val="003B1876"/>
    <w:rsid w:val="003B1929"/>
    <w:rsid w:val="003B1A20"/>
    <w:rsid w:val="003B20D3"/>
    <w:rsid w:val="003B24F0"/>
    <w:rsid w:val="003B27BA"/>
    <w:rsid w:val="003B28A9"/>
    <w:rsid w:val="003B2A90"/>
    <w:rsid w:val="003B3041"/>
    <w:rsid w:val="003B317F"/>
    <w:rsid w:val="003B325D"/>
    <w:rsid w:val="003B3580"/>
    <w:rsid w:val="003B36F2"/>
    <w:rsid w:val="003B377F"/>
    <w:rsid w:val="003B3946"/>
    <w:rsid w:val="003B474F"/>
    <w:rsid w:val="003B4DB9"/>
    <w:rsid w:val="003B4DE7"/>
    <w:rsid w:val="003B588E"/>
    <w:rsid w:val="003B5E95"/>
    <w:rsid w:val="003B5EBF"/>
    <w:rsid w:val="003B6468"/>
    <w:rsid w:val="003B6489"/>
    <w:rsid w:val="003B6780"/>
    <w:rsid w:val="003B69F9"/>
    <w:rsid w:val="003B6C4F"/>
    <w:rsid w:val="003B6EE3"/>
    <w:rsid w:val="003B71F2"/>
    <w:rsid w:val="003B7382"/>
    <w:rsid w:val="003B7A81"/>
    <w:rsid w:val="003B7F3E"/>
    <w:rsid w:val="003C0540"/>
    <w:rsid w:val="003C0979"/>
    <w:rsid w:val="003C0EF0"/>
    <w:rsid w:val="003C1522"/>
    <w:rsid w:val="003C23D7"/>
    <w:rsid w:val="003C2496"/>
    <w:rsid w:val="003C25CE"/>
    <w:rsid w:val="003C28EB"/>
    <w:rsid w:val="003C295F"/>
    <w:rsid w:val="003C2B8A"/>
    <w:rsid w:val="003C2C21"/>
    <w:rsid w:val="003C2E4F"/>
    <w:rsid w:val="003C2F2D"/>
    <w:rsid w:val="003C34D2"/>
    <w:rsid w:val="003C3677"/>
    <w:rsid w:val="003C379B"/>
    <w:rsid w:val="003C3816"/>
    <w:rsid w:val="003C419A"/>
    <w:rsid w:val="003C4634"/>
    <w:rsid w:val="003C49A1"/>
    <w:rsid w:val="003C4A85"/>
    <w:rsid w:val="003C4D4B"/>
    <w:rsid w:val="003C4D69"/>
    <w:rsid w:val="003C5B46"/>
    <w:rsid w:val="003C5BCF"/>
    <w:rsid w:val="003C5C01"/>
    <w:rsid w:val="003C5CC7"/>
    <w:rsid w:val="003C5CCF"/>
    <w:rsid w:val="003C6301"/>
    <w:rsid w:val="003C635E"/>
    <w:rsid w:val="003C66F4"/>
    <w:rsid w:val="003C7870"/>
    <w:rsid w:val="003C7EF9"/>
    <w:rsid w:val="003C7FED"/>
    <w:rsid w:val="003D0A9A"/>
    <w:rsid w:val="003D107F"/>
    <w:rsid w:val="003D142F"/>
    <w:rsid w:val="003D16BB"/>
    <w:rsid w:val="003D186B"/>
    <w:rsid w:val="003D1A45"/>
    <w:rsid w:val="003D1DBB"/>
    <w:rsid w:val="003D1E30"/>
    <w:rsid w:val="003D1F53"/>
    <w:rsid w:val="003D2439"/>
    <w:rsid w:val="003D302D"/>
    <w:rsid w:val="003D314B"/>
    <w:rsid w:val="003D31E2"/>
    <w:rsid w:val="003D36BA"/>
    <w:rsid w:val="003D39DB"/>
    <w:rsid w:val="003D3A28"/>
    <w:rsid w:val="003D41F5"/>
    <w:rsid w:val="003D433A"/>
    <w:rsid w:val="003D4340"/>
    <w:rsid w:val="003D4490"/>
    <w:rsid w:val="003D4551"/>
    <w:rsid w:val="003D47CC"/>
    <w:rsid w:val="003D4ED1"/>
    <w:rsid w:val="003D5481"/>
    <w:rsid w:val="003D584E"/>
    <w:rsid w:val="003D5A6C"/>
    <w:rsid w:val="003D60D7"/>
    <w:rsid w:val="003D618F"/>
    <w:rsid w:val="003D634A"/>
    <w:rsid w:val="003D64D4"/>
    <w:rsid w:val="003D6853"/>
    <w:rsid w:val="003D6BAD"/>
    <w:rsid w:val="003D6D5B"/>
    <w:rsid w:val="003D6DB1"/>
    <w:rsid w:val="003D7112"/>
    <w:rsid w:val="003D7BCB"/>
    <w:rsid w:val="003D7C61"/>
    <w:rsid w:val="003E00B6"/>
    <w:rsid w:val="003E016F"/>
    <w:rsid w:val="003E0232"/>
    <w:rsid w:val="003E04CB"/>
    <w:rsid w:val="003E05A6"/>
    <w:rsid w:val="003E0DAE"/>
    <w:rsid w:val="003E0E27"/>
    <w:rsid w:val="003E1A9A"/>
    <w:rsid w:val="003E1ADD"/>
    <w:rsid w:val="003E1F0D"/>
    <w:rsid w:val="003E2074"/>
    <w:rsid w:val="003E2BC9"/>
    <w:rsid w:val="003E2E40"/>
    <w:rsid w:val="003E2FC6"/>
    <w:rsid w:val="003E32DA"/>
    <w:rsid w:val="003E3395"/>
    <w:rsid w:val="003E33D6"/>
    <w:rsid w:val="003E395E"/>
    <w:rsid w:val="003E3975"/>
    <w:rsid w:val="003E3AE3"/>
    <w:rsid w:val="003E3F07"/>
    <w:rsid w:val="003E4960"/>
    <w:rsid w:val="003E500C"/>
    <w:rsid w:val="003E5F24"/>
    <w:rsid w:val="003E5FFC"/>
    <w:rsid w:val="003E62D7"/>
    <w:rsid w:val="003E67B0"/>
    <w:rsid w:val="003E6920"/>
    <w:rsid w:val="003E7086"/>
    <w:rsid w:val="003E71B3"/>
    <w:rsid w:val="003E75B1"/>
    <w:rsid w:val="003E77C6"/>
    <w:rsid w:val="003F0105"/>
    <w:rsid w:val="003F09B0"/>
    <w:rsid w:val="003F0B7E"/>
    <w:rsid w:val="003F1843"/>
    <w:rsid w:val="003F1B4A"/>
    <w:rsid w:val="003F1D5E"/>
    <w:rsid w:val="003F20DA"/>
    <w:rsid w:val="003F2212"/>
    <w:rsid w:val="003F29EC"/>
    <w:rsid w:val="003F2D6B"/>
    <w:rsid w:val="003F38BA"/>
    <w:rsid w:val="003F3DB6"/>
    <w:rsid w:val="003F482F"/>
    <w:rsid w:val="003F4C43"/>
    <w:rsid w:val="003F58E4"/>
    <w:rsid w:val="003F5D5B"/>
    <w:rsid w:val="003F5D6B"/>
    <w:rsid w:val="003F69B1"/>
    <w:rsid w:val="003F6AAF"/>
    <w:rsid w:val="003F736C"/>
    <w:rsid w:val="003F7581"/>
    <w:rsid w:val="003F7930"/>
    <w:rsid w:val="004002BB"/>
    <w:rsid w:val="004006D1"/>
    <w:rsid w:val="00400754"/>
    <w:rsid w:val="004009CB"/>
    <w:rsid w:val="00400DC0"/>
    <w:rsid w:val="00401958"/>
    <w:rsid w:val="00401CE6"/>
    <w:rsid w:val="00402B93"/>
    <w:rsid w:val="00402D27"/>
    <w:rsid w:val="00402EB6"/>
    <w:rsid w:val="004032CC"/>
    <w:rsid w:val="0040357C"/>
    <w:rsid w:val="004037DE"/>
    <w:rsid w:val="00403DAC"/>
    <w:rsid w:val="00404770"/>
    <w:rsid w:val="004049AF"/>
    <w:rsid w:val="00404C32"/>
    <w:rsid w:val="004051D2"/>
    <w:rsid w:val="00405C6C"/>
    <w:rsid w:val="00405CCC"/>
    <w:rsid w:val="00405FFE"/>
    <w:rsid w:val="00406B06"/>
    <w:rsid w:val="004071C1"/>
    <w:rsid w:val="0040751E"/>
    <w:rsid w:val="004079BE"/>
    <w:rsid w:val="00407E7B"/>
    <w:rsid w:val="00410882"/>
    <w:rsid w:val="0041164F"/>
    <w:rsid w:val="00411868"/>
    <w:rsid w:val="0041188C"/>
    <w:rsid w:val="004118B8"/>
    <w:rsid w:val="004119FB"/>
    <w:rsid w:val="00411F9E"/>
    <w:rsid w:val="004120FA"/>
    <w:rsid w:val="00412D54"/>
    <w:rsid w:val="004135C8"/>
    <w:rsid w:val="00413A65"/>
    <w:rsid w:val="00413E13"/>
    <w:rsid w:val="004141CF"/>
    <w:rsid w:val="00414603"/>
    <w:rsid w:val="00414A4A"/>
    <w:rsid w:val="004151F1"/>
    <w:rsid w:val="004157FA"/>
    <w:rsid w:val="00415C2F"/>
    <w:rsid w:val="0041622F"/>
    <w:rsid w:val="00416524"/>
    <w:rsid w:val="00416803"/>
    <w:rsid w:val="00416F32"/>
    <w:rsid w:val="00417A76"/>
    <w:rsid w:val="00417C9E"/>
    <w:rsid w:val="00420182"/>
    <w:rsid w:val="004201E3"/>
    <w:rsid w:val="00420236"/>
    <w:rsid w:val="00420415"/>
    <w:rsid w:val="00420566"/>
    <w:rsid w:val="00420686"/>
    <w:rsid w:val="00420A73"/>
    <w:rsid w:val="00420B29"/>
    <w:rsid w:val="00422674"/>
    <w:rsid w:val="00422759"/>
    <w:rsid w:val="004227A0"/>
    <w:rsid w:val="0042280D"/>
    <w:rsid w:val="00422AD4"/>
    <w:rsid w:val="00422AE1"/>
    <w:rsid w:val="00422D16"/>
    <w:rsid w:val="00423616"/>
    <w:rsid w:val="00423701"/>
    <w:rsid w:val="00423968"/>
    <w:rsid w:val="00424000"/>
    <w:rsid w:val="0042499C"/>
    <w:rsid w:val="00424E08"/>
    <w:rsid w:val="00424E35"/>
    <w:rsid w:val="00424FB5"/>
    <w:rsid w:val="004255E8"/>
    <w:rsid w:val="004257FC"/>
    <w:rsid w:val="0042589E"/>
    <w:rsid w:val="004258A2"/>
    <w:rsid w:val="00425DE6"/>
    <w:rsid w:val="00426193"/>
    <w:rsid w:val="004266F8"/>
    <w:rsid w:val="00426796"/>
    <w:rsid w:val="0042679D"/>
    <w:rsid w:val="004269AE"/>
    <w:rsid w:val="00426E84"/>
    <w:rsid w:val="004270D1"/>
    <w:rsid w:val="0042774C"/>
    <w:rsid w:val="00430E26"/>
    <w:rsid w:val="00430F18"/>
    <w:rsid w:val="00431199"/>
    <w:rsid w:val="00431372"/>
    <w:rsid w:val="00431406"/>
    <w:rsid w:val="004318B2"/>
    <w:rsid w:val="00431AD9"/>
    <w:rsid w:val="00431B8C"/>
    <w:rsid w:val="00431BE4"/>
    <w:rsid w:val="00431BFC"/>
    <w:rsid w:val="004327FA"/>
    <w:rsid w:val="004329E0"/>
    <w:rsid w:val="00432AEB"/>
    <w:rsid w:val="00432B73"/>
    <w:rsid w:val="004333D3"/>
    <w:rsid w:val="004334C3"/>
    <w:rsid w:val="00433949"/>
    <w:rsid w:val="00433C60"/>
    <w:rsid w:val="004340C4"/>
    <w:rsid w:val="00434113"/>
    <w:rsid w:val="004341F2"/>
    <w:rsid w:val="004341FF"/>
    <w:rsid w:val="0043470A"/>
    <w:rsid w:val="00434811"/>
    <w:rsid w:val="00434D88"/>
    <w:rsid w:val="00435045"/>
    <w:rsid w:val="004352A4"/>
    <w:rsid w:val="00435A89"/>
    <w:rsid w:val="00435AB7"/>
    <w:rsid w:val="004365EE"/>
    <w:rsid w:val="0043664B"/>
    <w:rsid w:val="00436838"/>
    <w:rsid w:val="004368E9"/>
    <w:rsid w:val="00436ADB"/>
    <w:rsid w:val="00436FDC"/>
    <w:rsid w:val="0043719C"/>
    <w:rsid w:val="00437852"/>
    <w:rsid w:val="00437921"/>
    <w:rsid w:val="00437953"/>
    <w:rsid w:val="00437B9E"/>
    <w:rsid w:val="00437BB4"/>
    <w:rsid w:val="004403F2"/>
    <w:rsid w:val="00440C82"/>
    <w:rsid w:val="00440E49"/>
    <w:rsid w:val="00440FC6"/>
    <w:rsid w:val="0044150F"/>
    <w:rsid w:val="004415B1"/>
    <w:rsid w:val="00441D53"/>
    <w:rsid w:val="00441E80"/>
    <w:rsid w:val="00442341"/>
    <w:rsid w:val="004425DF"/>
    <w:rsid w:val="004426B5"/>
    <w:rsid w:val="004429C4"/>
    <w:rsid w:val="004431D1"/>
    <w:rsid w:val="00443890"/>
    <w:rsid w:val="00443AC4"/>
    <w:rsid w:val="00443BA6"/>
    <w:rsid w:val="00443C70"/>
    <w:rsid w:val="004440ED"/>
    <w:rsid w:val="0044435D"/>
    <w:rsid w:val="00444904"/>
    <w:rsid w:val="00445149"/>
    <w:rsid w:val="00445322"/>
    <w:rsid w:val="00445324"/>
    <w:rsid w:val="00445388"/>
    <w:rsid w:val="00445F5C"/>
    <w:rsid w:val="00446751"/>
    <w:rsid w:val="0044771E"/>
    <w:rsid w:val="00447CF7"/>
    <w:rsid w:val="0045030B"/>
    <w:rsid w:val="004503F9"/>
    <w:rsid w:val="0045064F"/>
    <w:rsid w:val="00450A64"/>
    <w:rsid w:val="00450D13"/>
    <w:rsid w:val="00450DB2"/>
    <w:rsid w:val="0045109E"/>
    <w:rsid w:val="004510CA"/>
    <w:rsid w:val="0045148B"/>
    <w:rsid w:val="004515C1"/>
    <w:rsid w:val="00451D7D"/>
    <w:rsid w:val="00451F65"/>
    <w:rsid w:val="004520FA"/>
    <w:rsid w:val="004521EB"/>
    <w:rsid w:val="00452400"/>
    <w:rsid w:val="004529EA"/>
    <w:rsid w:val="00452B45"/>
    <w:rsid w:val="00453403"/>
    <w:rsid w:val="0045357B"/>
    <w:rsid w:val="00453A1B"/>
    <w:rsid w:val="00453B29"/>
    <w:rsid w:val="004542B5"/>
    <w:rsid w:val="004548EE"/>
    <w:rsid w:val="00454B1D"/>
    <w:rsid w:val="004552E3"/>
    <w:rsid w:val="00455396"/>
    <w:rsid w:val="00456652"/>
    <w:rsid w:val="00456D50"/>
    <w:rsid w:val="004576CD"/>
    <w:rsid w:val="00457BF4"/>
    <w:rsid w:val="00457FDF"/>
    <w:rsid w:val="00460716"/>
    <w:rsid w:val="00460810"/>
    <w:rsid w:val="00461790"/>
    <w:rsid w:val="004617C0"/>
    <w:rsid w:val="00461888"/>
    <w:rsid w:val="00461ACE"/>
    <w:rsid w:val="00461C1D"/>
    <w:rsid w:val="00461D33"/>
    <w:rsid w:val="00461DC2"/>
    <w:rsid w:val="00462071"/>
    <w:rsid w:val="00462257"/>
    <w:rsid w:val="00462290"/>
    <w:rsid w:val="0046248C"/>
    <w:rsid w:val="0046298C"/>
    <w:rsid w:val="00462BBB"/>
    <w:rsid w:val="00463332"/>
    <w:rsid w:val="00463A1B"/>
    <w:rsid w:val="00463B66"/>
    <w:rsid w:val="00463FB9"/>
    <w:rsid w:val="0046405C"/>
    <w:rsid w:val="00464B6E"/>
    <w:rsid w:val="00464E76"/>
    <w:rsid w:val="00464E88"/>
    <w:rsid w:val="00465736"/>
    <w:rsid w:val="00465F0A"/>
    <w:rsid w:val="004660FB"/>
    <w:rsid w:val="004663CF"/>
    <w:rsid w:val="00466CD1"/>
    <w:rsid w:val="00467420"/>
    <w:rsid w:val="004674E8"/>
    <w:rsid w:val="004679A9"/>
    <w:rsid w:val="00467AA1"/>
    <w:rsid w:val="0047020E"/>
    <w:rsid w:val="00470778"/>
    <w:rsid w:val="00470C82"/>
    <w:rsid w:val="00470DCE"/>
    <w:rsid w:val="004717CF"/>
    <w:rsid w:val="00471EEA"/>
    <w:rsid w:val="00472719"/>
    <w:rsid w:val="00472A3D"/>
    <w:rsid w:val="00472EA4"/>
    <w:rsid w:val="004731CD"/>
    <w:rsid w:val="004734B9"/>
    <w:rsid w:val="00473965"/>
    <w:rsid w:val="00473C6E"/>
    <w:rsid w:val="00473CC5"/>
    <w:rsid w:val="0047405F"/>
    <w:rsid w:val="004741BA"/>
    <w:rsid w:val="00474281"/>
    <w:rsid w:val="00474735"/>
    <w:rsid w:val="00474AF9"/>
    <w:rsid w:val="00474C79"/>
    <w:rsid w:val="00474E74"/>
    <w:rsid w:val="00475449"/>
    <w:rsid w:val="00475660"/>
    <w:rsid w:val="00475755"/>
    <w:rsid w:val="00475BF7"/>
    <w:rsid w:val="00476270"/>
    <w:rsid w:val="004762A6"/>
    <w:rsid w:val="00477340"/>
    <w:rsid w:val="004773D3"/>
    <w:rsid w:val="0047758D"/>
    <w:rsid w:val="00477B1E"/>
    <w:rsid w:val="00477B59"/>
    <w:rsid w:val="0048033F"/>
    <w:rsid w:val="00480CF3"/>
    <w:rsid w:val="004810BF"/>
    <w:rsid w:val="00481F47"/>
    <w:rsid w:val="00482D1B"/>
    <w:rsid w:val="00482FEF"/>
    <w:rsid w:val="0048333C"/>
    <w:rsid w:val="00483C83"/>
    <w:rsid w:val="00483F2A"/>
    <w:rsid w:val="004842EC"/>
    <w:rsid w:val="00484597"/>
    <w:rsid w:val="00484782"/>
    <w:rsid w:val="00484E42"/>
    <w:rsid w:val="00485595"/>
    <w:rsid w:val="00485A31"/>
    <w:rsid w:val="00485CFA"/>
    <w:rsid w:val="00485EDE"/>
    <w:rsid w:val="0048608D"/>
    <w:rsid w:val="004860C6"/>
    <w:rsid w:val="0048621F"/>
    <w:rsid w:val="004866A3"/>
    <w:rsid w:val="004874FA"/>
    <w:rsid w:val="00487C02"/>
    <w:rsid w:val="004904EE"/>
    <w:rsid w:val="00490DDF"/>
    <w:rsid w:val="00490E39"/>
    <w:rsid w:val="00491217"/>
    <w:rsid w:val="0049149B"/>
    <w:rsid w:val="00491BCC"/>
    <w:rsid w:val="00491C60"/>
    <w:rsid w:val="00492199"/>
    <w:rsid w:val="00492609"/>
    <w:rsid w:val="00492D17"/>
    <w:rsid w:val="00492E45"/>
    <w:rsid w:val="004932CA"/>
    <w:rsid w:val="00493CA3"/>
    <w:rsid w:val="00493ECD"/>
    <w:rsid w:val="00494016"/>
    <w:rsid w:val="0049443E"/>
    <w:rsid w:val="0049461C"/>
    <w:rsid w:val="00494779"/>
    <w:rsid w:val="00494812"/>
    <w:rsid w:val="00494DF4"/>
    <w:rsid w:val="0049509E"/>
    <w:rsid w:val="004952BB"/>
    <w:rsid w:val="004954F9"/>
    <w:rsid w:val="00495D3F"/>
    <w:rsid w:val="00495F38"/>
    <w:rsid w:val="004963EB"/>
    <w:rsid w:val="0049668D"/>
    <w:rsid w:val="00496EB4"/>
    <w:rsid w:val="004976EE"/>
    <w:rsid w:val="00497A9F"/>
    <w:rsid w:val="00497CCE"/>
    <w:rsid w:val="004A0BB1"/>
    <w:rsid w:val="004A0C5A"/>
    <w:rsid w:val="004A0C75"/>
    <w:rsid w:val="004A117D"/>
    <w:rsid w:val="004A11A6"/>
    <w:rsid w:val="004A13F8"/>
    <w:rsid w:val="004A1497"/>
    <w:rsid w:val="004A1850"/>
    <w:rsid w:val="004A1C22"/>
    <w:rsid w:val="004A1C4C"/>
    <w:rsid w:val="004A1F1F"/>
    <w:rsid w:val="004A2CEF"/>
    <w:rsid w:val="004A492F"/>
    <w:rsid w:val="004A493C"/>
    <w:rsid w:val="004A4C06"/>
    <w:rsid w:val="004A4E15"/>
    <w:rsid w:val="004A5145"/>
    <w:rsid w:val="004A5448"/>
    <w:rsid w:val="004A5833"/>
    <w:rsid w:val="004A676F"/>
    <w:rsid w:val="004A67A5"/>
    <w:rsid w:val="004A6A0D"/>
    <w:rsid w:val="004A6D8D"/>
    <w:rsid w:val="004A6DDF"/>
    <w:rsid w:val="004A79A8"/>
    <w:rsid w:val="004A7B6F"/>
    <w:rsid w:val="004A7F6A"/>
    <w:rsid w:val="004B0354"/>
    <w:rsid w:val="004B049E"/>
    <w:rsid w:val="004B07B5"/>
    <w:rsid w:val="004B0AF1"/>
    <w:rsid w:val="004B156A"/>
    <w:rsid w:val="004B19F2"/>
    <w:rsid w:val="004B1B8B"/>
    <w:rsid w:val="004B252D"/>
    <w:rsid w:val="004B31D0"/>
    <w:rsid w:val="004B326E"/>
    <w:rsid w:val="004B396A"/>
    <w:rsid w:val="004B3BB3"/>
    <w:rsid w:val="004B433D"/>
    <w:rsid w:val="004B4451"/>
    <w:rsid w:val="004B4634"/>
    <w:rsid w:val="004B4636"/>
    <w:rsid w:val="004B48F9"/>
    <w:rsid w:val="004B4DB4"/>
    <w:rsid w:val="004B52FB"/>
    <w:rsid w:val="004B563B"/>
    <w:rsid w:val="004B5692"/>
    <w:rsid w:val="004B56F0"/>
    <w:rsid w:val="004B5EBD"/>
    <w:rsid w:val="004B6403"/>
    <w:rsid w:val="004B67F4"/>
    <w:rsid w:val="004B692A"/>
    <w:rsid w:val="004B6F5B"/>
    <w:rsid w:val="004B7162"/>
    <w:rsid w:val="004B7A11"/>
    <w:rsid w:val="004B7B3E"/>
    <w:rsid w:val="004C006F"/>
    <w:rsid w:val="004C032F"/>
    <w:rsid w:val="004C0395"/>
    <w:rsid w:val="004C073B"/>
    <w:rsid w:val="004C0769"/>
    <w:rsid w:val="004C0B4A"/>
    <w:rsid w:val="004C0C1F"/>
    <w:rsid w:val="004C10B4"/>
    <w:rsid w:val="004C11E3"/>
    <w:rsid w:val="004C1277"/>
    <w:rsid w:val="004C16BE"/>
    <w:rsid w:val="004C1923"/>
    <w:rsid w:val="004C1FE2"/>
    <w:rsid w:val="004C2182"/>
    <w:rsid w:val="004C21B6"/>
    <w:rsid w:val="004C226E"/>
    <w:rsid w:val="004C2856"/>
    <w:rsid w:val="004C2C9B"/>
    <w:rsid w:val="004C3DF0"/>
    <w:rsid w:val="004C4377"/>
    <w:rsid w:val="004C455A"/>
    <w:rsid w:val="004C46E7"/>
    <w:rsid w:val="004C4E67"/>
    <w:rsid w:val="004C4ECD"/>
    <w:rsid w:val="004C530F"/>
    <w:rsid w:val="004C5B66"/>
    <w:rsid w:val="004C628E"/>
    <w:rsid w:val="004C639A"/>
    <w:rsid w:val="004C643B"/>
    <w:rsid w:val="004C6548"/>
    <w:rsid w:val="004C66BA"/>
    <w:rsid w:val="004C6A79"/>
    <w:rsid w:val="004C7048"/>
    <w:rsid w:val="004C705B"/>
    <w:rsid w:val="004C712F"/>
    <w:rsid w:val="004C7568"/>
    <w:rsid w:val="004D03FD"/>
    <w:rsid w:val="004D0764"/>
    <w:rsid w:val="004D0EFB"/>
    <w:rsid w:val="004D0F10"/>
    <w:rsid w:val="004D128D"/>
    <w:rsid w:val="004D1356"/>
    <w:rsid w:val="004D15D9"/>
    <w:rsid w:val="004D1CBD"/>
    <w:rsid w:val="004D1D59"/>
    <w:rsid w:val="004D20C1"/>
    <w:rsid w:val="004D22A5"/>
    <w:rsid w:val="004D2304"/>
    <w:rsid w:val="004D2835"/>
    <w:rsid w:val="004D2909"/>
    <w:rsid w:val="004D29D6"/>
    <w:rsid w:val="004D3224"/>
    <w:rsid w:val="004D36FD"/>
    <w:rsid w:val="004D3A08"/>
    <w:rsid w:val="004D3B2F"/>
    <w:rsid w:val="004D4458"/>
    <w:rsid w:val="004D4B3C"/>
    <w:rsid w:val="004D4CE6"/>
    <w:rsid w:val="004D4ECA"/>
    <w:rsid w:val="004D5129"/>
    <w:rsid w:val="004D52D5"/>
    <w:rsid w:val="004D54FA"/>
    <w:rsid w:val="004D57C4"/>
    <w:rsid w:val="004D5A88"/>
    <w:rsid w:val="004D5C9E"/>
    <w:rsid w:val="004D6184"/>
    <w:rsid w:val="004D62E2"/>
    <w:rsid w:val="004D6419"/>
    <w:rsid w:val="004D678F"/>
    <w:rsid w:val="004D67C0"/>
    <w:rsid w:val="004D6D30"/>
    <w:rsid w:val="004D744F"/>
    <w:rsid w:val="004D7912"/>
    <w:rsid w:val="004D7ADF"/>
    <w:rsid w:val="004D7B25"/>
    <w:rsid w:val="004D7D1D"/>
    <w:rsid w:val="004D7FFE"/>
    <w:rsid w:val="004E0CB2"/>
    <w:rsid w:val="004E135B"/>
    <w:rsid w:val="004E229E"/>
    <w:rsid w:val="004E2B93"/>
    <w:rsid w:val="004E2FCF"/>
    <w:rsid w:val="004E3032"/>
    <w:rsid w:val="004E305E"/>
    <w:rsid w:val="004E31E8"/>
    <w:rsid w:val="004E3BBE"/>
    <w:rsid w:val="004E44B5"/>
    <w:rsid w:val="004E488C"/>
    <w:rsid w:val="004E50CD"/>
    <w:rsid w:val="004E5784"/>
    <w:rsid w:val="004E5857"/>
    <w:rsid w:val="004E5A87"/>
    <w:rsid w:val="004E5CE2"/>
    <w:rsid w:val="004E5EE6"/>
    <w:rsid w:val="004E6764"/>
    <w:rsid w:val="004E6BF2"/>
    <w:rsid w:val="004E7215"/>
    <w:rsid w:val="004E796A"/>
    <w:rsid w:val="004E7B55"/>
    <w:rsid w:val="004E7B7C"/>
    <w:rsid w:val="004F011B"/>
    <w:rsid w:val="004F1404"/>
    <w:rsid w:val="004F146D"/>
    <w:rsid w:val="004F1C74"/>
    <w:rsid w:val="004F1F04"/>
    <w:rsid w:val="004F223F"/>
    <w:rsid w:val="004F2365"/>
    <w:rsid w:val="004F246D"/>
    <w:rsid w:val="004F2703"/>
    <w:rsid w:val="004F2C5C"/>
    <w:rsid w:val="004F3DDC"/>
    <w:rsid w:val="004F4518"/>
    <w:rsid w:val="004F470E"/>
    <w:rsid w:val="004F547F"/>
    <w:rsid w:val="004F5660"/>
    <w:rsid w:val="004F5C39"/>
    <w:rsid w:val="004F6455"/>
    <w:rsid w:val="004F6A2E"/>
    <w:rsid w:val="004F6AD2"/>
    <w:rsid w:val="004F6D88"/>
    <w:rsid w:val="004F707D"/>
    <w:rsid w:val="004F74B6"/>
    <w:rsid w:val="004F7A6A"/>
    <w:rsid w:val="004F7D35"/>
    <w:rsid w:val="004F7EE6"/>
    <w:rsid w:val="005001A7"/>
    <w:rsid w:val="0050036E"/>
    <w:rsid w:val="005003FD"/>
    <w:rsid w:val="005009F1"/>
    <w:rsid w:val="00500DBC"/>
    <w:rsid w:val="00501188"/>
    <w:rsid w:val="00501362"/>
    <w:rsid w:val="00501757"/>
    <w:rsid w:val="00502081"/>
    <w:rsid w:val="0050235E"/>
    <w:rsid w:val="005027B6"/>
    <w:rsid w:val="00502A4D"/>
    <w:rsid w:val="00502CE3"/>
    <w:rsid w:val="00503032"/>
    <w:rsid w:val="00503360"/>
    <w:rsid w:val="00503D41"/>
    <w:rsid w:val="00503E54"/>
    <w:rsid w:val="005040C2"/>
    <w:rsid w:val="00504693"/>
    <w:rsid w:val="0050488A"/>
    <w:rsid w:val="00504AD2"/>
    <w:rsid w:val="00504FF7"/>
    <w:rsid w:val="0050523F"/>
    <w:rsid w:val="005052BB"/>
    <w:rsid w:val="0050585D"/>
    <w:rsid w:val="0050593D"/>
    <w:rsid w:val="00505EBA"/>
    <w:rsid w:val="00505F1C"/>
    <w:rsid w:val="00505F60"/>
    <w:rsid w:val="0050614D"/>
    <w:rsid w:val="00506228"/>
    <w:rsid w:val="005069DB"/>
    <w:rsid w:val="00506E11"/>
    <w:rsid w:val="00506FDA"/>
    <w:rsid w:val="005070A9"/>
    <w:rsid w:val="005070F0"/>
    <w:rsid w:val="0050716C"/>
    <w:rsid w:val="00507684"/>
    <w:rsid w:val="00507721"/>
    <w:rsid w:val="0050778B"/>
    <w:rsid w:val="00507927"/>
    <w:rsid w:val="005079E8"/>
    <w:rsid w:val="005100E5"/>
    <w:rsid w:val="005104D0"/>
    <w:rsid w:val="00510615"/>
    <w:rsid w:val="005109B7"/>
    <w:rsid w:val="00510EBA"/>
    <w:rsid w:val="005110CD"/>
    <w:rsid w:val="00511CA4"/>
    <w:rsid w:val="0051247E"/>
    <w:rsid w:val="00513635"/>
    <w:rsid w:val="00513B88"/>
    <w:rsid w:val="00513BAF"/>
    <w:rsid w:val="00513C8F"/>
    <w:rsid w:val="00513F29"/>
    <w:rsid w:val="00514127"/>
    <w:rsid w:val="005142C6"/>
    <w:rsid w:val="00514672"/>
    <w:rsid w:val="005147DE"/>
    <w:rsid w:val="00514818"/>
    <w:rsid w:val="00514C03"/>
    <w:rsid w:val="00515BE3"/>
    <w:rsid w:val="00515D51"/>
    <w:rsid w:val="00515E81"/>
    <w:rsid w:val="005161A9"/>
    <w:rsid w:val="005169DA"/>
    <w:rsid w:val="00516C05"/>
    <w:rsid w:val="00516C35"/>
    <w:rsid w:val="00517E1A"/>
    <w:rsid w:val="00520032"/>
    <w:rsid w:val="0052052D"/>
    <w:rsid w:val="00520D5B"/>
    <w:rsid w:val="005218C8"/>
    <w:rsid w:val="005219F4"/>
    <w:rsid w:val="005220CD"/>
    <w:rsid w:val="00522456"/>
    <w:rsid w:val="0052297D"/>
    <w:rsid w:val="00522A7A"/>
    <w:rsid w:val="00522EE7"/>
    <w:rsid w:val="00523127"/>
    <w:rsid w:val="00523A10"/>
    <w:rsid w:val="00523E26"/>
    <w:rsid w:val="005243E3"/>
    <w:rsid w:val="0052441E"/>
    <w:rsid w:val="005246E9"/>
    <w:rsid w:val="00524873"/>
    <w:rsid w:val="00524E6A"/>
    <w:rsid w:val="005250D5"/>
    <w:rsid w:val="00525915"/>
    <w:rsid w:val="00525FD5"/>
    <w:rsid w:val="00526047"/>
    <w:rsid w:val="00526123"/>
    <w:rsid w:val="00526E3F"/>
    <w:rsid w:val="00527077"/>
    <w:rsid w:val="005270DB"/>
    <w:rsid w:val="00527518"/>
    <w:rsid w:val="00527A5C"/>
    <w:rsid w:val="00527C4C"/>
    <w:rsid w:val="00527D87"/>
    <w:rsid w:val="00527FB3"/>
    <w:rsid w:val="005304EC"/>
    <w:rsid w:val="0053056C"/>
    <w:rsid w:val="00530AF3"/>
    <w:rsid w:val="00530F6B"/>
    <w:rsid w:val="00531A34"/>
    <w:rsid w:val="00531B2A"/>
    <w:rsid w:val="0053204C"/>
    <w:rsid w:val="0053211D"/>
    <w:rsid w:val="005321DD"/>
    <w:rsid w:val="00532948"/>
    <w:rsid w:val="00532CEC"/>
    <w:rsid w:val="00532D93"/>
    <w:rsid w:val="00533F3C"/>
    <w:rsid w:val="0053442C"/>
    <w:rsid w:val="00534A0A"/>
    <w:rsid w:val="00534AB5"/>
    <w:rsid w:val="00534F69"/>
    <w:rsid w:val="00535A0B"/>
    <w:rsid w:val="00536097"/>
    <w:rsid w:val="0053627C"/>
    <w:rsid w:val="00536C23"/>
    <w:rsid w:val="0053726F"/>
    <w:rsid w:val="005372F2"/>
    <w:rsid w:val="00537554"/>
    <w:rsid w:val="005377F1"/>
    <w:rsid w:val="00537B13"/>
    <w:rsid w:val="00537B90"/>
    <w:rsid w:val="005405FA"/>
    <w:rsid w:val="0054075C"/>
    <w:rsid w:val="0054093E"/>
    <w:rsid w:val="005410DD"/>
    <w:rsid w:val="00541187"/>
    <w:rsid w:val="00541266"/>
    <w:rsid w:val="005412D8"/>
    <w:rsid w:val="00541AD2"/>
    <w:rsid w:val="00541AE5"/>
    <w:rsid w:val="00541F2E"/>
    <w:rsid w:val="00542033"/>
    <w:rsid w:val="005424B7"/>
    <w:rsid w:val="0054278F"/>
    <w:rsid w:val="00542F91"/>
    <w:rsid w:val="0054329E"/>
    <w:rsid w:val="0054331A"/>
    <w:rsid w:val="00543D06"/>
    <w:rsid w:val="00543E66"/>
    <w:rsid w:val="00544123"/>
    <w:rsid w:val="00544167"/>
    <w:rsid w:val="00544220"/>
    <w:rsid w:val="0054425D"/>
    <w:rsid w:val="00544918"/>
    <w:rsid w:val="00544A4A"/>
    <w:rsid w:val="00544DAF"/>
    <w:rsid w:val="00544E05"/>
    <w:rsid w:val="005450B7"/>
    <w:rsid w:val="005456C7"/>
    <w:rsid w:val="00545D65"/>
    <w:rsid w:val="00545E6B"/>
    <w:rsid w:val="00545EC8"/>
    <w:rsid w:val="0054609D"/>
    <w:rsid w:val="005461E3"/>
    <w:rsid w:val="005469DA"/>
    <w:rsid w:val="00546A82"/>
    <w:rsid w:val="00546B52"/>
    <w:rsid w:val="005474F8"/>
    <w:rsid w:val="005475DE"/>
    <w:rsid w:val="005479BC"/>
    <w:rsid w:val="00547CA4"/>
    <w:rsid w:val="00547FD5"/>
    <w:rsid w:val="00550DDC"/>
    <w:rsid w:val="00550E43"/>
    <w:rsid w:val="005518A6"/>
    <w:rsid w:val="00551985"/>
    <w:rsid w:val="00551AC5"/>
    <w:rsid w:val="00551BFC"/>
    <w:rsid w:val="00551C64"/>
    <w:rsid w:val="0055243A"/>
    <w:rsid w:val="00552446"/>
    <w:rsid w:val="005526B5"/>
    <w:rsid w:val="00552776"/>
    <w:rsid w:val="00552AC1"/>
    <w:rsid w:val="005532C4"/>
    <w:rsid w:val="00553B80"/>
    <w:rsid w:val="00553BFD"/>
    <w:rsid w:val="00553E21"/>
    <w:rsid w:val="00554538"/>
    <w:rsid w:val="005547B0"/>
    <w:rsid w:val="00554CB2"/>
    <w:rsid w:val="00554FA0"/>
    <w:rsid w:val="00555791"/>
    <w:rsid w:val="00556A6C"/>
    <w:rsid w:val="00556B3D"/>
    <w:rsid w:val="00556C3A"/>
    <w:rsid w:val="00556EA6"/>
    <w:rsid w:val="00557074"/>
    <w:rsid w:val="0055753C"/>
    <w:rsid w:val="005578FB"/>
    <w:rsid w:val="00557AAD"/>
    <w:rsid w:val="00557B66"/>
    <w:rsid w:val="0056051F"/>
    <w:rsid w:val="00560528"/>
    <w:rsid w:val="00560704"/>
    <w:rsid w:val="0056077F"/>
    <w:rsid w:val="00560890"/>
    <w:rsid w:val="00561082"/>
    <w:rsid w:val="005612B7"/>
    <w:rsid w:val="005613EC"/>
    <w:rsid w:val="005619FC"/>
    <w:rsid w:val="00561D83"/>
    <w:rsid w:val="00562076"/>
    <w:rsid w:val="005623F4"/>
    <w:rsid w:val="00562658"/>
    <w:rsid w:val="005628E6"/>
    <w:rsid w:val="00562E83"/>
    <w:rsid w:val="00562FE0"/>
    <w:rsid w:val="005633C5"/>
    <w:rsid w:val="00563D59"/>
    <w:rsid w:val="00563DDB"/>
    <w:rsid w:val="0056421F"/>
    <w:rsid w:val="00564816"/>
    <w:rsid w:val="00564C0B"/>
    <w:rsid w:val="00564E12"/>
    <w:rsid w:val="00565103"/>
    <w:rsid w:val="0056518A"/>
    <w:rsid w:val="00565206"/>
    <w:rsid w:val="005652E1"/>
    <w:rsid w:val="00565C30"/>
    <w:rsid w:val="00565E28"/>
    <w:rsid w:val="00565E53"/>
    <w:rsid w:val="0056612C"/>
    <w:rsid w:val="00566250"/>
    <w:rsid w:val="00566360"/>
    <w:rsid w:val="00566881"/>
    <w:rsid w:val="00566AE1"/>
    <w:rsid w:val="0056704C"/>
    <w:rsid w:val="005670A9"/>
    <w:rsid w:val="005671EF"/>
    <w:rsid w:val="00567905"/>
    <w:rsid w:val="00567923"/>
    <w:rsid w:val="00570107"/>
    <w:rsid w:val="00570147"/>
    <w:rsid w:val="005701A1"/>
    <w:rsid w:val="0057053E"/>
    <w:rsid w:val="00570602"/>
    <w:rsid w:val="00570AE0"/>
    <w:rsid w:val="00570D4C"/>
    <w:rsid w:val="00570E29"/>
    <w:rsid w:val="0057143D"/>
    <w:rsid w:val="0057148B"/>
    <w:rsid w:val="005715BA"/>
    <w:rsid w:val="00571AF1"/>
    <w:rsid w:val="00571EE3"/>
    <w:rsid w:val="00572133"/>
    <w:rsid w:val="0057244F"/>
    <w:rsid w:val="005727B2"/>
    <w:rsid w:val="00572957"/>
    <w:rsid w:val="00572C1C"/>
    <w:rsid w:val="005731EA"/>
    <w:rsid w:val="005736D6"/>
    <w:rsid w:val="00573791"/>
    <w:rsid w:val="00574082"/>
    <w:rsid w:val="00574C6B"/>
    <w:rsid w:val="00574DBF"/>
    <w:rsid w:val="00575037"/>
    <w:rsid w:val="00575314"/>
    <w:rsid w:val="00575750"/>
    <w:rsid w:val="00575792"/>
    <w:rsid w:val="00575D25"/>
    <w:rsid w:val="005762D5"/>
    <w:rsid w:val="00576300"/>
    <w:rsid w:val="005763CD"/>
    <w:rsid w:val="00577481"/>
    <w:rsid w:val="0058005A"/>
    <w:rsid w:val="005806C1"/>
    <w:rsid w:val="00580A3B"/>
    <w:rsid w:val="00580BF4"/>
    <w:rsid w:val="00580D55"/>
    <w:rsid w:val="005813D8"/>
    <w:rsid w:val="00581FA3"/>
    <w:rsid w:val="00582328"/>
    <w:rsid w:val="005828AF"/>
    <w:rsid w:val="005829AA"/>
    <w:rsid w:val="00583B47"/>
    <w:rsid w:val="00583BD3"/>
    <w:rsid w:val="00583C04"/>
    <w:rsid w:val="005840B6"/>
    <w:rsid w:val="005842A8"/>
    <w:rsid w:val="00584727"/>
    <w:rsid w:val="00584AA1"/>
    <w:rsid w:val="00584FC2"/>
    <w:rsid w:val="00585833"/>
    <w:rsid w:val="00585A14"/>
    <w:rsid w:val="00585B1B"/>
    <w:rsid w:val="00585E76"/>
    <w:rsid w:val="00585F79"/>
    <w:rsid w:val="00586154"/>
    <w:rsid w:val="005862F8"/>
    <w:rsid w:val="00586336"/>
    <w:rsid w:val="0058633B"/>
    <w:rsid w:val="00586474"/>
    <w:rsid w:val="0058671C"/>
    <w:rsid w:val="0058790D"/>
    <w:rsid w:val="005879AE"/>
    <w:rsid w:val="00587BC4"/>
    <w:rsid w:val="00587E2E"/>
    <w:rsid w:val="00587E65"/>
    <w:rsid w:val="00587FF0"/>
    <w:rsid w:val="00590432"/>
    <w:rsid w:val="00590B1F"/>
    <w:rsid w:val="00591158"/>
    <w:rsid w:val="0059147C"/>
    <w:rsid w:val="005915F0"/>
    <w:rsid w:val="00591DB1"/>
    <w:rsid w:val="00591FBB"/>
    <w:rsid w:val="0059350E"/>
    <w:rsid w:val="005935C1"/>
    <w:rsid w:val="0059365A"/>
    <w:rsid w:val="00593785"/>
    <w:rsid w:val="00593EFD"/>
    <w:rsid w:val="0059453D"/>
    <w:rsid w:val="005947A6"/>
    <w:rsid w:val="00594978"/>
    <w:rsid w:val="00594C61"/>
    <w:rsid w:val="00595119"/>
    <w:rsid w:val="00595226"/>
    <w:rsid w:val="00595762"/>
    <w:rsid w:val="005965B7"/>
    <w:rsid w:val="00596611"/>
    <w:rsid w:val="005967A1"/>
    <w:rsid w:val="00596BC0"/>
    <w:rsid w:val="00596C22"/>
    <w:rsid w:val="005970C5"/>
    <w:rsid w:val="005973B5"/>
    <w:rsid w:val="00597DB7"/>
    <w:rsid w:val="00597EF7"/>
    <w:rsid w:val="00597EF8"/>
    <w:rsid w:val="005A00CA"/>
    <w:rsid w:val="005A0256"/>
    <w:rsid w:val="005A0AE8"/>
    <w:rsid w:val="005A1147"/>
    <w:rsid w:val="005A1A23"/>
    <w:rsid w:val="005A1C79"/>
    <w:rsid w:val="005A2782"/>
    <w:rsid w:val="005A2862"/>
    <w:rsid w:val="005A3010"/>
    <w:rsid w:val="005A33AD"/>
    <w:rsid w:val="005A3613"/>
    <w:rsid w:val="005A37AB"/>
    <w:rsid w:val="005A3AD2"/>
    <w:rsid w:val="005A403F"/>
    <w:rsid w:val="005A472E"/>
    <w:rsid w:val="005A4805"/>
    <w:rsid w:val="005A5049"/>
    <w:rsid w:val="005A5534"/>
    <w:rsid w:val="005A5B5E"/>
    <w:rsid w:val="005A5E0F"/>
    <w:rsid w:val="005A5E31"/>
    <w:rsid w:val="005A605E"/>
    <w:rsid w:val="005A6607"/>
    <w:rsid w:val="005A6662"/>
    <w:rsid w:val="005A66C4"/>
    <w:rsid w:val="005A6B0B"/>
    <w:rsid w:val="005A6D19"/>
    <w:rsid w:val="005A6FFE"/>
    <w:rsid w:val="005A726B"/>
    <w:rsid w:val="005A7763"/>
    <w:rsid w:val="005B002D"/>
    <w:rsid w:val="005B0454"/>
    <w:rsid w:val="005B0903"/>
    <w:rsid w:val="005B1527"/>
    <w:rsid w:val="005B16D1"/>
    <w:rsid w:val="005B2318"/>
    <w:rsid w:val="005B2389"/>
    <w:rsid w:val="005B27BB"/>
    <w:rsid w:val="005B2B38"/>
    <w:rsid w:val="005B2BFB"/>
    <w:rsid w:val="005B32FE"/>
    <w:rsid w:val="005B3383"/>
    <w:rsid w:val="005B34B9"/>
    <w:rsid w:val="005B3602"/>
    <w:rsid w:val="005B365C"/>
    <w:rsid w:val="005B3B6B"/>
    <w:rsid w:val="005B3BB3"/>
    <w:rsid w:val="005B41E1"/>
    <w:rsid w:val="005B48A8"/>
    <w:rsid w:val="005B4A69"/>
    <w:rsid w:val="005B4FD4"/>
    <w:rsid w:val="005B5077"/>
    <w:rsid w:val="005B5425"/>
    <w:rsid w:val="005B54DD"/>
    <w:rsid w:val="005B5878"/>
    <w:rsid w:val="005B5A09"/>
    <w:rsid w:val="005B60AC"/>
    <w:rsid w:val="005B6768"/>
    <w:rsid w:val="005B6B06"/>
    <w:rsid w:val="005B6D21"/>
    <w:rsid w:val="005B7520"/>
    <w:rsid w:val="005B7526"/>
    <w:rsid w:val="005B756B"/>
    <w:rsid w:val="005B7713"/>
    <w:rsid w:val="005B7C5E"/>
    <w:rsid w:val="005B7D38"/>
    <w:rsid w:val="005B7EA4"/>
    <w:rsid w:val="005B7EE0"/>
    <w:rsid w:val="005B7F5D"/>
    <w:rsid w:val="005B7FDE"/>
    <w:rsid w:val="005C0ECB"/>
    <w:rsid w:val="005C1A22"/>
    <w:rsid w:val="005C1A58"/>
    <w:rsid w:val="005C1ACF"/>
    <w:rsid w:val="005C1DDB"/>
    <w:rsid w:val="005C2171"/>
    <w:rsid w:val="005C21B6"/>
    <w:rsid w:val="005C2E41"/>
    <w:rsid w:val="005C2F83"/>
    <w:rsid w:val="005C2F87"/>
    <w:rsid w:val="005C4205"/>
    <w:rsid w:val="005C4437"/>
    <w:rsid w:val="005C4D7D"/>
    <w:rsid w:val="005C52C4"/>
    <w:rsid w:val="005C531A"/>
    <w:rsid w:val="005C5D1C"/>
    <w:rsid w:val="005C5D2D"/>
    <w:rsid w:val="005C5DBA"/>
    <w:rsid w:val="005C619C"/>
    <w:rsid w:val="005C6347"/>
    <w:rsid w:val="005C6367"/>
    <w:rsid w:val="005C6471"/>
    <w:rsid w:val="005C648A"/>
    <w:rsid w:val="005C64C3"/>
    <w:rsid w:val="005C6AF9"/>
    <w:rsid w:val="005C6CE9"/>
    <w:rsid w:val="005C7F6A"/>
    <w:rsid w:val="005D0375"/>
    <w:rsid w:val="005D041C"/>
    <w:rsid w:val="005D0604"/>
    <w:rsid w:val="005D0F72"/>
    <w:rsid w:val="005D20F4"/>
    <w:rsid w:val="005D26F6"/>
    <w:rsid w:val="005D3052"/>
    <w:rsid w:val="005D31D4"/>
    <w:rsid w:val="005D3456"/>
    <w:rsid w:val="005D3DA3"/>
    <w:rsid w:val="005D3EE1"/>
    <w:rsid w:val="005D45C4"/>
    <w:rsid w:val="005D45CA"/>
    <w:rsid w:val="005D467D"/>
    <w:rsid w:val="005D46E3"/>
    <w:rsid w:val="005D4A33"/>
    <w:rsid w:val="005D5062"/>
    <w:rsid w:val="005D5757"/>
    <w:rsid w:val="005D59A8"/>
    <w:rsid w:val="005D5BB5"/>
    <w:rsid w:val="005D5F80"/>
    <w:rsid w:val="005D6285"/>
    <w:rsid w:val="005D6A89"/>
    <w:rsid w:val="005D6C3B"/>
    <w:rsid w:val="005D7180"/>
    <w:rsid w:val="005D71AD"/>
    <w:rsid w:val="005D79D4"/>
    <w:rsid w:val="005D7E84"/>
    <w:rsid w:val="005E019D"/>
    <w:rsid w:val="005E04FE"/>
    <w:rsid w:val="005E07AF"/>
    <w:rsid w:val="005E09E3"/>
    <w:rsid w:val="005E0C4C"/>
    <w:rsid w:val="005E0CEB"/>
    <w:rsid w:val="005E0D7C"/>
    <w:rsid w:val="005E0E19"/>
    <w:rsid w:val="005E0FDE"/>
    <w:rsid w:val="005E1300"/>
    <w:rsid w:val="005E1327"/>
    <w:rsid w:val="005E1517"/>
    <w:rsid w:val="005E1AEA"/>
    <w:rsid w:val="005E1B3F"/>
    <w:rsid w:val="005E1F44"/>
    <w:rsid w:val="005E2064"/>
    <w:rsid w:val="005E2173"/>
    <w:rsid w:val="005E24A7"/>
    <w:rsid w:val="005E27F1"/>
    <w:rsid w:val="005E29C7"/>
    <w:rsid w:val="005E3104"/>
    <w:rsid w:val="005E3B73"/>
    <w:rsid w:val="005E3FF9"/>
    <w:rsid w:val="005E4A7F"/>
    <w:rsid w:val="005E53A6"/>
    <w:rsid w:val="005E5561"/>
    <w:rsid w:val="005E583B"/>
    <w:rsid w:val="005E5E14"/>
    <w:rsid w:val="005E616B"/>
    <w:rsid w:val="005E7064"/>
    <w:rsid w:val="005E7145"/>
    <w:rsid w:val="005E7317"/>
    <w:rsid w:val="005E750D"/>
    <w:rsid w:val="005E79E3"/>
    <w:rsid w:val="005F0D04"/>
    <w:rsid w:val="005F0F92"/>
    <w:rsid w:val="005F1325"/>
    <w:rsid w:val="005F158B"/>
    <w:rsid w:val="005F17B3"/>
    <w:rsid w:val="005F17C7"/>
    <w:rsid w:val="005F1E8D"/>
    <w:rsid w:val="005F1FB3"/>
    <w:rsid w:val="005F2140"/>
    <w:rsid w:val="005F27B5"/>
    <w:rsid w:val="005F28D3"/>
    <w:rsid w:val="005F2F48"/>
    <w:rsid w:val="005F2FF8"/>
    <w:rsid w:val="005F31C9"/>
    <w:rsid w:val="005F3486"/>
    <w:rsid w:val="005F3608"/>
    <w:rsid w:val="005F3A25"/>
    <w:rsid w:val="005F3B78"/>
    <w:rsid w:val="005F4AF6"/>
    <w:rsid w:val="005F4CD7"/>
    <w:rsid w:val="005F4E65"/>
    <w:rsid w:val="005F522E"/>
    <w:rsid w:val="005F528C"/>
    <w:rsid w:val="005F52BF"/>
    <w:rsid w:val="005F540E"/>
    <w:rsid w:val="005F5C82"/>
    <w:rsid w:val="005F5FC3"/>
    <w:rsid w:val="005F649D"/>
    <w:rsid w:val="005F65C2"/>
    <w:rsid w:val="005F6913"/>
    <w:rsid w:val="005F6BE2"/>
    <w:rsid w:val="005F6EC5"/>
    <w:rsid w:val="005F70B6"/>
    <w:rsid w:val="005F70FC"/>
    <w:rsid w:val="005F71DD"/>
    <w:rsid w:val="005F7400"/>
    <w:rsid w:val="006002A5"/>
    <w:rsid w:val="00600656"/>
    <w:rsid w:val="00601194"/>
    <w:rsid w:val="00601389"/>
    <w:rsid w:val="00601F84"/>
    <w:rsid w:val="00602654"/>
    <w:rsid w:val="006029D6"/>
    <w:rsid w:val="00602A58"/>
    <w:rsid w:val="00602C94"/>
    <w:rsid w:val="0060349C"/>
    <w:rsid w:val="00603A83"/>
    <w:rsid w:val="00604464"/>
    <w:rsid w:val="00605360"/>
    <w:rsid w:val="00605441"/>
    <w:rsid w:val="006056CF"/>
    <w:rsid w:val="00605D18"/>
    <w:rsid w:val="00605D9A"/>
    <w:rsid w:val="00605DA7"/>
    <w:rsid w:val="006061D8"/>
    <w:rsid w:val="006066C4"/>
    <w:rsid w:val="00606728"/>
    <w:rsid w:val="00606A88"/>
    <w:rsid w:val="0060735F"/>
    <w:rsid w:val="00607691"/>
    <w:rsid w:val="0060784C"/>
    <w:rsid w:val="00607902"/>
    <w:rsid w:val="00607D22"/>
    <w:rsid w:val="006101E2"/>
    <w:rsid w:val="00610321"/>
    <w:rsid w:val="00610B4B"/>
    <w:rsid w:val="00610C9A"/>
    <w:rsid w:val="00610F54"/>
    <w:rsid w:val="00611B2E"/>
    <w:rsid w:val="00612380"/>
    <w:rsid w:val="00613397"/>
    <w:rsid w:val="00613404"/>
    <w:rsid w:val="0061357E"/>
    <w:rsid w:val="00613596"/>
    <w:rsid w:val="00613629"/>
    <w:rsid w:val="00613BD8"/>
    <w:rsid w:val="006142AE"/>
    <w:rsid w:val="00614425"/>
    <w:rsid w:val="00614785"/>
    <w:rsid w:val="006147D9"/>
    <w:rsid w:val="00614C9B"/>
    <w:rsid w:val="00614E00"/>
    <w:rsid w:val="00615134"/>
    <w:rsid w:val="0061573C"/>
    <w:rsid w:val="0061601B"/>
    <w:rsid w:val="00616050"/>
    <w:rsid w:val="00616148"/>
    <w:rsid w:val="00616357"/>
    <w:rsid w:val="00616492"/>
    <w:rsid w:val="00616559"/>
    <w:rsid w:val="00616689"/>
    <w:rsid w:val="00616741"/>
    <w:rsid w:val="0061676E"/>
    <w:rsid w:val="0061725E"/>
    <w:rsid w:val="00617287"/>
    <w:rsid w:val="006173F2"/>
    <w:rsid w:val="006176EA"/>
    <w:rsid w:val="00617CAD"/>
    <w:rsid w:val="00617D42"/>
    <w:rsid w:val="00617EEB"/>
    <w:rsid w:val="00620F7F"/>
    <w:rsid w:val="00621046"/>
    <w:rsid w:val="00621245"/>
    <w:rsid w:val="006215C5"/>
    <w:rsid w:val="006218A3"/>
    <w:rsid w:val="00621984"/>
    <w:rsid w:val="0062199C"/>
    <w:rsid w:val="006219D0"/>
    <w:rsid w:val="00621AB1"/>
    <w:rsid w:val="00621B69"/>
    <w:rsid w:val="00621E17"/>
    <w:rsid w:val="00622117"/>
    <w:rsid w:val="00622464"/>
    <w:rsid w:val="00622511"/>
    <w:rsid w:val="00622C4B"/>
    <w:rsid w:val="0062310D"/>
    <w:rsid w:val="00624041"/>
    <w:rsid w:val="006240D8"/>
    <w:rsid w:val="00624709"/>
    <w:rsid w:val="00624A8E"/>
    <w:rsid w:val="006251E9"/>
    <w:rsid w:val="006252B8"/>
    <w:rsid w:val="0062570E"/>
    <w:rsid w:val="00625C77"/>
    <w:rsid w:val="00625CB7"/>
    <w:rsid w:val="00625D73"/>
    <w:rsid w:val="00626218"/>
    <w:rsid w:val="00626240"/>
    <w:rsid w:val="00626358"/>
    <w:rsid w:val="006267F8"/>
    <w:rsid w:val="00626AE7"/>
    <w:rsid w:val="00626BBA"/>
    <w:rsid w:val="00626DE8"/>
    <w:rsid w:val="00627482"/>
    <w:rsid w:val="00627BEB"/>
    <w:rsid w:val="0063011C"/>
    <w:rsid w:val="006306AC"/>
    <w:rsid w:val="00630920"/>
    <w:rsid w:val="006309BC"/>
    <w:rsid w:val="00630B3A"/>
    <w:rsid w:val="00630C59"/>
    <w:rsid w:val="00630CA2"/>
    <w:rsid w:val="00630FE4"/>
    <w:rsid w:val="006315A7"/>
    <w:rsid w:val="006315E3"/>
    <w:rsid w:val="00631AE4"/>
    <w:rsid w:val="00632127"/>
    <w:rsid w:val="00632323"/>
    <w:rsid w:val="00632A51"/>
    <w:rsid w:val="00632CF2"/>
    <w:rsid w:val="00632D00"/>
    <w:rsid w:val="006330E9"/>
    <w:rsid w:val="00634286"/>
    <w:rsid w:val="0063442E"/>
    <w:rsid w:val="006346F8"/>
    <w:rsid w:val="00634743"/>
    <w:rsid w:val="006349BA"/>
    <w:rsid w:val="00634FBA"/>
    <w:rsid w:val="006350DB"/>
    <w:rsid w:val="006351C8"/>
    <w:rsid w:val="006351EC"/>
    <w:rsid w:val="00635D1B"/>
    <w:rsid w:val="0063656D"/>
    <w:rsid w:val="00636B7E"/>
    <w:rsid w:val="00636D44"/>
    <w:rsid w:val="00637A86"/>
    <w:rsid w:val="00637B7F"/>
    <w:rsid w:val="00637D7E"/>
    <w:rsid w:val="00637F54"/>
    <w:rsid w:val="00637FA1"/>
    <w:rsid w:val="0064002D"/>
    <w:rsid w:val="00640C96"/>
    <w:rsid w:val="00640D73"/>
    <w:rsid w:val="00640D9F"/>
    <w:rsid w:val="00640EE0"/>
    <w:rsid w:val="0064195D"/>
    <w:rsid w:val="00641B9F"/>
    <w:rsid w:val="00641F04"/>
    <w:rsid w:val="00642537"/>
    <w:rsid w:val="00642551"/>
    <w:rsid w:val="0064257C"/>
    <w:rsid w:val="00642928"/>
    <w:rsid w:val="00642931"/>
    <w:rsid w:val="00642DB5"/>
    <w:rsid w:val="006436FE"/>
    <w:rsid w:val="006438CB"/>
    <w:rsid w:val="00643DA1"/>
    <w:rsid w:val="00644556"/>
    <w:rsid w:val="00645198"/>
    <w:rsid w:val="0064595A"/>
    <w:rsid w:val="00645C7D"/>
    <w:rsid w:val="00646099"/>
    <w:rsid w:val="00646191"/>
    <w:rsid w:val="006463FC"/>
    <w:rsid w:val="00646655"/>
    <w:rsid w:val="00647160"/>
    <w:rsid w:val="00647191"/>
    <w:rsid w:val="006472AF"/>
    <w:rsid w:val="006474F9"/>
    <w:rsid w:val="00647942"/>
    <w:rsid w:val="0065125A"/>
    <w:rsid w:val="00651325"/>
    <w:rsid w:val="00651563"/>
    <w:rsid w:val="00651756"/>
    <w:rsid w:val="00651D81"/>
    <w:rsid w:val="00651E98"/>
    <w:rsid w:val="00652357"/>
    <w:rsid w:val="00652716"/>
    <w:rsid w:val="00652937"/>
    <w:rsid w:val="0065297B"/>
    <w:rsid w:val="00652CF3"/>
    <w:rsid w:val="00653A8E"/>
    <w:rsid w:val="00653BD5"/>
    <w:rsid w:val="00653DB1"/>
    <w:rsid w:val="00653F83"/>
    <w:rsid w:val="006544A0"/>
    <w:rsid w:val="0065489B"/>
    <w:rsid w:val="006551F3"/>
    <w:rsid w:val="006552B0"/>
    <w:rsid w:val="006558DC"/>
    <w:rsid w:val="00655E0E"/>
    <w:rsid w:val="00656043"/>
    <w:rsid w:val="0065634D"/>
    <w:rsid w:val="00656595"/>
    <w:rsid w:val="00656C7B"/>
    <w:rsid w:val="00656DA6"/>
    <w:rsid w:val="00657238"/>
    <w:rsid w:val="006606E0"/>
    <w:rsid w:val="00660963"/>
    <w:rsid w:val="00660B00"/>
    <w:rsid w:val="00660F1C"/>
    <w:rsid w:val="00661A65"/>
    <w:rsid w:val="00661A6F"/>
    <w:rsid w:val="00661EA7"/>
    <w:rsid w:val="006628DC"/>
    <w:rsid w:val="00662936"/>
    <w:rsid w:val="00662CE5"/>
    <w:rsid w:val="00662D11"/>
    <w:rsid w:val="00662F52"/>
    <w:rsid w:val="00663381"/>
    <w:rsid w:val="00663470"/>
    <w:rsid w:val="006634C3"/>
    <w:rsid w:val="006636BA"/>
    <w:rsid w:val="00663D9A"/>
    <w:rsid w:val="00664016"/>
    <w:rsid w:val="006642C9"/>
    <w:rsid w:val="00664391"/>
    <w:rsid w:val="0066485F"/>
    <w:rsid w:val="006650FD"/>
    <w:rsid w:val="0066521C"/>
    <w:rsid w:val="006657D0"/>
    <w:rsid w:val="006667C0"/>
    <w:rsid w:val="00666956"/>
    <w:rsid w:val="00666CCD"/>
    <w:rsid w:val="006670A4"/>
    <w:rsid w:val="00667454"/>
    <w:rsid w:val="00667826"/>
    <w:rsid w:val="00667872"/>
    <w:rsid w:val="00667BF3"/>
    <w:rsid w:val="006707C9"/>
    <w:rsid w:val="006709DD"/>
    <w:rsid w:val="00671916"/>
    <w:rsid w:val="006723C8"/>
    <w:rsid w:val="006730A7"/>
    <w:rsid w:val="0067386B"/>
    <w:rsid w:val="00673DB8"/>
    <w:rsid w:val="00673E85"/>
    <w:rsid w:val="006747C4"/>
    <w:rsid w:val="00674919"/>
    <w:rsid w:val="00675404"/>
    <w:rsid w:val="00675660"/>
    <w:rsid w:val="00675BA2"/>
    <w:rsid w:val="00676278"/>
    <w:rsid w:val="006765C0"/>
    <w:rsid w:val="0067697C"/>
    <w:rsid w:val="00676F91"/>
    <w:rsid w:val="00677034"/>
    <w:rsid w:val="00677035"/>
    <w:rsid w:val="0067711E"/>
    <w:rsid w:val="006775D4"/>
    <w:rsid w:val="00677646"/>
    <w:rsid w:val="00677698"/>
    <w:rsid w:val="0068066C"/>
    <w:rsid w:val="00680AD3"/>
    <w:rsid w:val="00680B83"/>
    <w:rsid w:val="00680E6A"/>
    <w:rsid w:val="0068125A"/>
    <w:rsid w:val="00681674"/>
    <w:rsid w:val="00681E36"/>
    <w:rsid w:val="00682739"/>
    <w:rsid w:val="0068278D"/>
    <w:rsid w:val="00682AB8"/>
    <w:rsid w:val="00683008"/>
    <w:rsid w:val="00683617"/>
    <w:rsid w:val="006839A5"/>
    <w:rsid w:val="00683D99"/>
    <w:rsid w:val="006840C1"/>
    <w:rsid w:val="006849A3"/>
    <w:rsid w:val="00684A35"/>
    <w:rsid w:val="00684C9A"/>
    <w:rsid w:val="00684DFE"/>
    <w:rsid w:val="00684F65"/>
    <w:rsid w:val="00685124"/>
    <w:rsid w:val="0068543D"/>
    <w:rsid w:val="00685B29"/>
    <w:rsid w:val="00685BF4"/>
    <w:rsid w:val="0068610C"/>
    <w:rsid w:val="00686277"/>
    <w:rsid w:val="00686A58"/>
    <w:rsid w:val="00686DE5"/>
    <w:rsid w:val="00687289"/>
    <w:rsid w:val="006878A6"/>
    <w:rsid w:val="00687EEA"/>
    <w:rsid w:val="0069013C"/>
    <w:rsid w:val="00690404"/>
    <w:rsid w:val="00690898"/>
    <w:rsid w:val="00690EB9"/>
    <w:rsid w:val="00690FCE"/>
    <w:rsid w:val="0069125D"/>
    <w:rsid w:val="00691373"/>
    <w:rsid w:val="00691413"/>
    <w:rsid w:val="006917C2"/>
    <w:rsid w:val="00691DD8"/>
    <w:rsid w:val="00691E15"/>
    <w:rsid w:val="006921B0"/>
    <w:rsid w:val="00692535"/>
    <w:rsid w:val="006927D0"/>
    <w:rsid w:val="00692B00"/>
    <w:rsid w:val="00692B55"/>
    <w:rsid w:val="006930D7"/>
    <w:rsid w:val="00693188"/>
    <w:rsid w:val="00693195"/>
    <w:rsid w:val="00693A6C"/>
    <w:rsid w:val="00693E00"/>
    <w:rsid w:val="00694154"/>
    <w:rsid w:val="0069457A"/>
    <w:rsid w:val="0069493D"/>
    <w:rsid w:val="00694EBC"/>
    <w:rsid w:val="00694FAD"/>
    <w:rsid w:val="00694FEE"/>
    <w:rsid w:val="0069526A"/>
    <w:rsid w:val="006952E7"/>
    <w:rsid w:val="00695475"/>
    <w:rsid w:val="0069594C"/>
    <w:rsid w:val="00696191"/>
    <w:rsid w:val="00696B8B"/>
    <w:rsid w:val="00696D10"/>
    <w:rsid w:val="00696DF2"/>
    <w:rsid w:val="006970CF"/>
    <w:rsid w:val="006972FF"/>
    <w:rsid w:val="006975FA"/>
    <w:rsid w:val="00697A88"/>
    <w:rsid w:val="00697C7D"/>
    <w:rsid w:val="00697E05"/>
    <w:rsid w:val="006A003D"/>
    <w:rsid w:val="006A00F7"/>
    <w:rsid w:val="006A016C"/>
    <w:rsid w:val="006A0263"/>
    <w:rsid w:val="006A0B9F"/>
    <w:rsid w:val="006A0F26"/>
    <w:rsid w:val="006A1292"/>
    <w:rsid w:val="006A17F8"/>
    <w:rsid w:val="006A2D8B"/>
    <w:rsid w:val="006A2ECB"/>
    <w:rsid w:val="006A3018"/>
    <w:rsid w:val="006A33B6"/>
    <w:rsid w:val="006A39E5"/>
    <w:rsid w:val="006A3DFD"/>
    <w:rsid w:val="006A430D"/>
    <w:rsid w:val="006A45CB"/>
    <w:rsid w:val="006A4ABD"/>
    <w:rsid w:val="006A4E8B"/>
    <w:rsid w:val="006A5CFA"/>
    <w:rsid w:val="006A5D50"/>
    <w:rsid w:val="006A5D56"/>
    <w:rsid w:val="006A67D3"/>
    <w:rsid w:val="006A6AFB"/>
    <w:rsid w:val="006A6D11"/>
    <w:rsid w:val="006A7136"/>
    <w:rsid w:val="006A7277"/>
    <w:rsid w:val="006A7ABE"/>
    <w:rsid w:val="006B030D"/>
    <w:rsid w:val="006B04D6"/>
    <w:rsid w:val="006B0C8C"/>
    <w:rsid w:val="006B0FCF"/>
    <w:rsid w:val="006B1204"/>
    <w:rsid w:val="006B15EE"/>
    <w:rsid w:val="006B16E8"/>
    <w:rsid w:val="006B1A5B"/>
    <w:rsid w:val="006B2047"/>
    <w:rsid w:val="006B2202"/>
    <w:rsid w:val="006B23D8"/>
    <w:rsid w:val="006B2481"/>
    <w:rsid w:val="006B25A9"/>
    <w:rsid w:val="006B297A"/>
    <w:rsid w:val="006B2A61"/>
    <w:rsid w:val="006B2B1F"/>
    <w:rsid w:val="006B2BD5"/>
    <w:rsid w:val="006B2D47"/>
    <w:rsid w:val="006B3747"/>
    <w:rsid w:val="006B3781"/>
    <w:rsid w:val="006B4526"/>
    <w:rsid w:val="006B4707"/>
    <w:rsid w:val="006B4C56"/>
    <w:rsid w:val="006B4FEB"/>
    <w:rsid w:val="006B5530"/>
    <w:rsid w:val="006B5BDD"/>
    <w:rsid w:val="006B5C61"/>
    <w:rsid w:val="006B5EA9"/>
    <w:rsid w:val="006B6161"/>
    <w:rsid w:val="006B6A63"/>
    <w:rsid w:val="006B6C4C"/>
    <w:rsid w:val="006B7597"/>
    <w:rsid w:val="006B763D"/>
    <w:rsid w:val="006B77FE"/>
    <w:rsid w:val="006B7814"/>
    <w:rsid w:val="006C0240"/>
    <w:rsid w:val="006C055E"/>
    <w:rsid w:val="006C0592"/>
    <w:rsid w:val="006C06BF"/>
    <w:rsid w:val="006C0E7B"/>
    <w:rsid w:val="006C14C9"/>
    <w:rsid w:val="006C27FC"/>
    <w:rsid w:val="006C2968"/>
    <w:rsid w:val="006C2E35"/>
    <w:rsid w:val="006C3237"/>
    <w:rsid w:val="006C362A"/>
    <w:rsid w:val="006C390F"/>
    <w:rsid w:val="006C3961"/>
    <w:rsid w:val="006C3BC1"/>
    <w:rsid w:val="006C3D0E"/>
    <w:rsid w:val="006C3E67"/>
    <w:rsid w:val="006C3EE0"/>
    <w:rsid w:val="006C4380"/>
    <w:rsid w:val="006C4452"/>
    <w:rsid w:val="006C4D66"/>
    <w:rsid w:val="006C5196"/>
    <w:rsid w:val="006C54C9"/>
    <w:rsid w:val="006C5514"/>
    <w:rsid w:val="006C552A"/>
    <w:rsid w:val="006C5EFF"/>
    <w:rsid w:val="006C6A3F"/>
    <w:rsid w:val="006C7003"/>
    <w:rsid w:val="006C70AC"/>
    <w:rsid w:val="006C71E2"/>
    <w:rsid w:val="006C7AE0"/>
    <w:rsid w:val="006C7CCA"/>
    <w:rsid w:val="006D032D"/>
    <w:rsid w:val="006D1242"/>
    <w:rsid w:val="006D1277"/>
    <w:rsid w:val="006D12D4"/>
    <w:rsid w:val="006D18AB"/>
    <w:rsid w:val="006D1E71"/>
    <w:rsid w:val="006D1FC7"/>
    <w:rsid w:val="006D2005"/>
    <w:rsid w:val="006D2286"/>
    <w:rsid w:val="006D249D"/>
    <w:rsid w:val="006D2766"/>
    <w:rsid w:val="006D2AF0"/>
    <w:rsid w:val="006D2EA1"/>
    <w:rsid w:val="006D3131"/>
    <w:rsid w:val="006D3281"/>
    <w:rsid w:val="006D3745"/>
    <w:rsid w:val="006D37D7"/>
    <w:rsid w:val="006D3F68"/>
    <w:rsid w:val="006D40A3"/>
    <w:rsid w:val="006D421A"/>
    <w:rsid w:val="006D4455"/>
    <w:rsid w:val="006D446F"/>
    <w:rsid w:val="006D4CAB"/>
    <w:rsid w:val="006D4D26"/>
    <w:rsid w:val="006D6957"/>
    <w:rsid w:val="006D7085"/>
    <w:rsid w:val="006D731F"/>
    <w:rsid w:val="006D7719"/>
    <w:rsid w:val="006D7C69"/>
    <w:rsid w:val="006D7E64"/>
    <w:rsid w:val="006D7F27"/>
    <w:rsid w:val="006E06B4"/>
    <w:rsid w:val="006E0927"/>
    <w:rsid w:val="006E1136"/>
    <w:rsid w:val="006E123E"/>
    <w:rsid w:val="006E131F"/>
    <w:rsid w:val="006E1798"/>
    <w:rsid w:val="006E1CB0"/>
    <w:rsid w:val="006E1F0F"/>
    <w:rsid w:val="006E240A"/>
    <w:rsid w:val="006E2836"/>
    <w:rsid w:val="006E2DD9"/>
    <w:rsid w:val="006E2F1B"/>
    <w:rsid w:val="006E2FE3"/>
    <w:rsid w:val="006E3240"/>
    <w:rsid w:val="006E3265"/>
    <w:rsid w:val="006E3288"/>
    <w:rsid w:val="006E3310"/>
    <w:rsid w:val="006E3470"/>
    <w:rsid w:val="006E35C7"/>
    <w:rsid w:val="006E368E"/>
    <w:rsid w:val="006E3BD3"/>
    <w:rsid w:val="006E412C"/>
    <w:rsid w:val="006E43DB"/>
    <w:rsid w:val="006E4436"/>
    <w:rsid w:val="006E44F9"/>
    <w:rsid w:val="006E450A"/>
    <w:rsid w:val="006E491F"/>
    <w:rsid w:val="006E4AF8"/>
    <w:rsid w:val="006E4DC5"/>
    <w:rsid w:val="006E51AD"/>
    <w:rsid w:val="006E53A9"/>
    <w:rsid w:val="006E5469"/>
    <w:rsid w:val="006E592C"/>
    <w:rsid w:val="006E60C0"/>
    <w:rsid w:val="006E6161"/>
    <w:rsid w:val="006E62E4"/>
    <w:rsid w:val="006E6708"/>
    <w:rsid w:val="006E7209"/>
    <w:rsid w:val="006E7398"/>
    <w:rsid w:val="006E7592"/>
    <w:rsid w:val="006E7A1A"/>
    <w:rsid w:val="006E7A6D"/>
    <w:rsid w:val="006E7E31"/>
    <w:rsid w:val="006E7FFC"/>
    <w:rsid w:val="006F0B55"/>
    <w:rsid w:val="006F0C62"/>
    <w:rsid w:val="006F11B9"/>
    <w:rsid w:val="006F1826"/>
    <w:rsid w:val="006F1B46"/>
    <w:rsid w:val="006F1BA7"/>
    <w:rsid w:val="006F1DF9"/>
    <w:rsid w:val="006F1E01"/>
    <w:rsid w:val="006F1F4E"/>
    <w:rsid w:val="006F22C4"/>
    <w:rsid w:val="006F311E"/>
    <w:rsid w:val="006F37D0"/>
    <w:rsid w:val="006F39C0"/>
    <w:rsid w:val="006F3F24"/>
    <w:rsid w:val="006F3F83"/>
    <w:rsid w:val="006F4154"/>
    <w:rsid w:val="006F45C1"/>
    <w:rsid w:val="006F48CB"/>
    <w:rsid w:val="006F4D18"/>
    <w:rsid w:val="006F52D8"/>
    <w:rsid w:val="006F574B"/>
    <w:rsid w:val="006F6224"/>
    <w:rsid w:val="006F6442"/>
    <w:rsid w:val="006F6816"/>
    <w:rsid w:val="006F68B9"/>
    <w:rsid w:val="006F6EA5"/>
    <w:rsid w:val="006F7208"/>
    <w:rsid w:val="006F7520"/>
    <w:rsid w:val="006F7664"/>
    <w:rsid w:val="006F774D"/>
    <w:rsid w:val="006F7848"/>
    <w:rsid w:val="006F7C65"/>
    <w:rsid w:val="006F7D35"/>
    <w:rsid w:val="006F7EB1"/>
    <w:rsid w:val="006F7FAA"/>
    <w:rsid w:val="007003B1"/>
    <w:rsid w:val="0070069E"/>
    <w:rsid w:val="00700AF4"/>
    <w:rsid w:val="00700B2E"/>
    <w:rsid w:val="00701260"/>
    <w:rsid w:val="00701A48"/>
    <w:rsid w:val="00702C86"/>
    <w:rsid w:val="00702CB5"/>
    <w:rsid w:val="0070317B"/>
    <w:rsid w:val="007031BB"/>
    <w:rsid w:val="00703260"/>
    <w:rsid w:val="0070391B"/>
    <w:rsid w:val="0070393F"/>
    <w:rsid w:val="0070394E"/>
    <w:rsid w:val="00703D8F"/>
    <w:rsid w:val="00703FED"/>
    <w:rsid w:val="00703FF1"/>
    <w:rsid w:val="007042C9"/>
    <w:rsid w:val="00704A12"/>
    <w:rsid w:val="00704F2B"/>
    <w:rsid w:val="00704FD5"/>
    <w:rsid w:val="00705188"/>
    <w:rsid w:val="0070519E"/>
    <w:rsid w:val="00705478"/>
    <w:rsid w:val="00705599"/>
    <w:rsid w:val="007058DC"/>
    <w:rsid w:val="00705F83"/>
    <w:rsid w:val="00705FFF"/>
    <w:rsid w:val="0070645A"/>
    <w:rsid w:val="00707205"/>
    <w:rsid w:val="00707372"/>
    <w:rsid w:val="00707507"/>
    <w:rsid w:val="00707514"/>
    <w:rsid w:val="00707749"/>
    <w:rsid w:val="007078C0"/>
    <w:rsid w:val="00707E1C"/>
    <w:rsid w:val="007117F1"/>
    <w:rsid w:val="007120D6"/>
    <w:rsid w:val="00712196"/>
    <w:rsid w:val="007122C7"/>
    <w:rsid w:val="007129E8"/>
    <w:rsid w:val="0071337E"/>
    <w:rsid w:val="0071351D"/>
    <w:rsid w:val="007136E8"/>
    <w:rsid w:val="00713AFB"/>
    <w:rsid w:val="00713C50"/>
    <w:rsid w:val="007140F5"/>
    <w:rsid w:val="007142B3"/>
    <w:rsid w:val="007142E7"/>
    <w:rsid w:val="007146E2"/>
    <w:rsid w:val="00714FE2"/>
    <w:rsid w:val="00715A3D"/>
    <w:rsid w:val="00716310"/>
    <w:rsid w:val="0071654B"/>
    <w:rsid w:val="00716702"/>
    <w:rsid w:val="00716DDD"/>
    <w:rsid w:val="00717212"/>
    <w:rsid w:val="007173A6"/>
    <w:rsid w:val="007177A7"/>
    <w:rsid w:val="00717919"/>
    <w:rsid w:val="00717A78"/>
    <w:rsid w:val="00717DF2"/>
    <w:rsid w:val="00717ED5"/>
    <w:rsid w:val="0071CC5B"/>
    <w:rsid w:val="007203F7"/>
    <w:rsid w:val="007205B2"/>
    <w:rsid w:val="00720A4E"/>
    <w:rsid w:val="00720AF0"/>
    <w:rsid w:val="00720BF7"/>
    <w:rsid w:val="00720C58"/>
    <w:rsid w:val="00720F67"/>
    <w:rsid w:val="0072115D"/>
    <w:rsid w:val="007211A7"/>
    <w:rsid w:val="0072142B"/>
    <w:rsid w:val="00721673"/>
    <w:rsid w:val="00721682"/>
    <w:rsid w:val="00721A24"/>
    <w:rsid w:val="00721E16"/>
    <w:rsid w:val="00721F08"/>
    <w:rsid w:val="00722327"/>
    <w:rsid w:val="00722AD2"/>
    <w:rsid w:val="0072331B"/>
    <w:rsid w:val="00724454"/>
    <w:rsid w:val="00724569"/>
    <w:rsid w:val="00724924"/>
    <w:rsid w:val="007252BB"/>
    <w:rsid w:val="00725782"/>
    <w:rsid w:val="00725D6F"/>
    <w:rsid w:val="00725F57"/>
    <w:rsid w:val="0072616C"/>
    <w:rsid w:val="00726188"/>
    <w:rsid w:val="0072635E"/>
    <w:rsid w:val="00726728"/>
    <w:rsid w:val="0072679F"/>
    <w:rsid w:val="00726DC2"/>
    <w:rsid w:val="00726EFC"/>
    <w:rsid w:val="00727451"/>
    <w:rsid w:val="007276E8"/>
    <w:rsid w:val="00727A78"/>
    <w:rsid w:val="00727BF9"/>
    <w:rsid w:val="00730205"/>
    <w:rsid w:val="007307DB"/>
    <w:rsid w:val="007308F9"/>
    <w:rsid w:val="0073102B"/>
    <w:rsid w:val="00731A3A"/>
    <w:rsid w:val="00731A3D"/>
    <w:rsid w:val="00731E54"/>
    <w:rsid w:val="007322FF"/>
    <w:rsid w:val="00732448"/>
    <w:rsid w:val="00732DB8"/>
    <w:rsid w:val="00734123"/>
    <w:rsid w:val="0073488B"/>
    <w:rsid w:val="00734BAC"/>
    <w:rsid w:val="00734ECD"/>
    <w:rsid w:val="00734F98"/>
    <w:rsid w:val="0073513A"/>
    <w:rsid w:val="00735409"/>
    <w:rsid w:val="0073542D"/>
    <w:rsid w:val="00735D4A"/>
    <w:rsid w:val="00736202"/>
    <w:rsid w:val="007363E3"/>
    <w:rsid w:val="007365B3"/>
    <w:rsid w:val="00736B06"/>
    <w:rsid w:val="007370C0"/>
    <w:rsid w:val="007371B3"/>
    <w:rsid w:val="007374D4"/>
    <w:rsid w:val="007374F9"/>
    <w:rsid w:val="00737720"/>
    <w:rsid w:val="00740FBF"/>
    <w:rsid w:val="00741722"/>
    <w:rsid w:val="00741CF5"/>
    <w:rsid w:val="00741E2C"/>
    <w:rsid w:val="0074219E"/>
    <w:rsid w:val="007428D0"/>
    <w:rsid w:val="007430B5"/>
    <w:rsid w:val="007436E0"/>
    <w:rsid w:val="00743A68"/>
    <w:rsid w:val="00743AA8"/>
    <w:rsid w:val="00743BB0"/>
    <w:rsid w:val="00743DEA"/>
    <w:rsid w:val="0074419F"/>
    <w:rsid w:val="00744B1B"/>
    <w:rsid w:val="00745839"/>
    <w:rsid w:val="007458D3"/>
    <w:rsid w:val="00746109"/>
    <w:rsid w:val="00746357"/>
    <w:rsid w:val="0074635B"/>
    <w:rsid w:val="0074647A"/>
    <w:rsid w:val="007467A3"/>
    <w:rsid w:val="00746B75"/>
    <w:rsid w:val="007471EA"/>
    <w:rsid w:val="0074722B"/>
    <w:rsid w:val="007475A4"/>
    <w:rsid w:val="00747736"/>
    <w:rsid w:val="0074777B"/>
    <w:rsid w:val="0074786D"/>
    <w:rsid w:val="00750155"/>
    <w:rsid w:val="007505D9"/>
    <w:rsid w:val="00750858"/>
    <w:rsid w:val="00750D6A"/>
    <w:rsid w:val="00750F5B"/>
    <w:rsid w:val="007513EB"/>
    <w:rsid w:val="007517DD"/>
    <w:rsid w:val="00751936"/>
    <w:rsid w:val="00751B4A"/>
    <w:rsid w:val="00751B53"/>
    <w:rsid w:val="00751EF2"/>
    <w:rsid w:val="00752485"/>
    <w:rsid w:val="00752612"/>
    <w:rsid w:val="00752638"/>
    <w:rsid w:val="00752C61"/>
    <w:rsid w:val="00753517"/>
    <w:rsid w:val="00753A4B"/>
    <w:rsid w:val="00753A7D"/>
    <w:rsid w:val="00753CE6"/>
    <w:rsid w:val="007544E6"/>
    <w:rsid w:val="00754588"/>
    <w:rsid w:val="007546AC"/>
    <w:rsid w:val="00754AB9"/>
    <w:rsid w:val="00755491"/>
    <w:rsid w:val="00755674"/>
    <w:rsid w:val="007559D0"/>
    <w:rsid w:val="00755AA0"/>
    <w:rsid w:val="00755DAF"/>
    <w:rsid w:val="00755E23"/>
    <w:rsid w:val="00756566"/>
    <w:rsid w:val="0075713A"/>
    <w:rsid w:val="00757AC7"/>
    <w:rsid w:val="00757DF8"/>
    <w:rsid w:val="00760243"/>
    <w:rsid w:val="007602E3"/>
    <w:rsid w:val="007606A6"/>
    <w:rsid w:val="007606F3"/>
    <w:rsid w:val="00760A74"/>
    <w:rsid w:val="00760F20"/>
    <w:rsid w:val="00761C59"/>
    <w:rsid w:val="00761D77"/>
    <w:rsid w:val="00761EAC"/>
    <w:rsid w:val="00761EB7"/>
    <w:rsid w:val="00762063"/>
    <w:rsid w:val="00762069"/>
    <w:rsid w:val="007620E8"/>
    <w:rsid w:val="007622EC"/>
    <w:rsid w:val="007625FA"/>
    <w:rsid w:val="00762AA3"/>
    <w:rsid w:val="00762E2D"/>
    <w:rsid w:val="00763801"/>
    <w:rsid w:val="00763810"/>
    <w:rsid w:val="00763F8E"/>
    <w:rsid w:val="00764432"/>
    <w:rsid w:val="00764635"/>
    <w:rsid w:val="00764898"/>
    <w:rsid w:val="00764B3A"/>
    <w:rsid w:val="00764D17"/>
    <w:rsid w:val="00764FC3"/>
    <w:rsid w:val="0076574B"/>
    <w:rsid w:val="00765F8F"/>
    <w:rsid w:val="00766064"/>
    <w:rsid w:val="007661F7"/>
    <w:rsid w:val="00766D4A"/>
    <w:rsid w:val="00766E55"/>
    <w:rsid w:val="007670E7"/>
    <w:rsid w:val="00767272"/>
    <w:rsid w:val="00767C3A"/>
    <w:rsid w:val="0077046E"/>
    <w:rsid w:val="00770F2B"/>
    <w:rsid w:val="0077166D"/>
    <w:rsid w:val="00771BE8"/>
    <w:rsid w:val="00771CD9"/>
    <w:rsid w:val="00771D0F"/>
    <w:rsid w:val="00772230"/>
    <w:rsid w:val="00772BE9"/>
    <w:rsid w:val="00772F39"/>
    <w:rsid w:val="00773B56"/>
    <w:rsid w:val="0077446D"/>
    <w:rsid w:val="007748CB"/>
    <w:rsid w:val="00774E3E"/>
    <w:rsid w:val="007751C2"/>
    <w:rsid w:val="0077540B"/>
    <w:rsid w:val="007758B9"/>
    <w:rsid w:val="00775FEF"/>
    <w:rsid w:val="0077609F"/>
    <w:rsid w:val="00776271"/>
    <w:rsid w:val="0077643A"/>
    <w:rsid w:val="00776739"/>
    <w:rsid w:val="007777DC"/>
    <w:rsid w:val="0077795E"/>
    <w:rsid w:val="007803C0"/>
    <w:rsid w:val="00780418"/>
    <w:rsid w:val="0078060D"/>
    <w:rsid w:val="0078070C"/>
    <w:rsid w:val="00782490"/>
    <w:rsid w:val="007827B7"/>
    <w:rsid w:val="00782965"/>
    <w:rsid w:val="00782BBF"/>
    <w:rsid w:val="00782D50"/>
    <w:rsid w:val="00782E46"/>
    <w:rsid w:val="007830A6"/>
    <w:rsid w:val="007835E1"/>
    <w:rsid w:val="00783A84"/>
    <w:rsid w:val="00783C3E"/>
    <w:rsid w:val="00783C45"/>
    <w:rsid w:val="0078490C"/>
    <w:rsid w:val="00784976"/>
    <w:rsid w:val="00784B14"/>
    <w:rsid w:val="00784C14"/>
    <w:rsid w:val="0078520B"/>
    <w:rsid w:val="00785442"/>
    <w:rsid w:val="00785634"/>
    <w:rsid w:val="00785927"/>
    <w:rsid w:val="00785A1C"/>
    <w:rsid w:val="00785AC6"/>
    <w:rsid w:val="00785DAC"/>
    <w:rsid w:val="00785EC3"/>
    <w:rsid w:val="00786C2E"/>
    <w:rsid w:val="00786FC7"/>
    <w:rsid w:val="00787364"/>
    <w:rsid w:val="00787B0F"/>
    <w:rsid w:val="00787D8A"/>
    <w:rsid w:val="007900A3"/>
    <w:rsid w:val="007901B6"/>
    <w:rsid w:val="0079026D"/>
    <w:rsid w:val="0079052A"/>
    <w:rsid w:val="00790B7F"/>
    <w:rsid w:val="00790BD7"/>
    <w:rsid w:val="00791505"/>
    <w:rsid w:val="00791555"/>
    <w:rsid w:val="00791576"/>
    <w:rsid w:val="00791578"/>
    <w:rsid w:val="00791749"/>
    <w:rsid w:val="007918C9"/>
    <w:rsid w:val="00791C12"/>
    <w:rsid w:val="00793136"/>
    <w:rsid w:val="00793BB6"/>
    <w:rsid w:val="007942D5"/>
    <w:rsid w:val="00794C78"/>
    <w:rsid w:val="0079515B"/>
    <w:rsid w:val="007957A2"/>
    <w:rsid w:val="00795EDD"/>
    <w:rsid w:val="00795F11"/>
    <w:rsid w:val="00795FDF"/>
    <w:rsid w:val="0079636E"/>
    <w:rsid w:val="00796B2B"/>
    <w:rsid w:val="00796E01"/>
    <w:rsid w:val="00796F03"/>
    <w:rsid w:val="0079701A"/>
    <w:rsid w:val="00797550"/>
    <w:rsid w:val="00797894"/>
    <w:rsid w:val="007A0797"/>
    <w:rsid w:val="007A0965"/>
    <w:rsid w:val="007A0B3A"/>
    <w:rsid w:val="007A0F3C"/>
    <w:rsid w:val="007A0F53"/>
    <w:rsid w:val="007A10EE"/>
    <w:rsid w:val="007A14D0"/>
    <w:rsid w:val="007A1764"/>
    <w:rsid w:val="007A1830"/>
    <w:rsid w:val="007A21EA"/>
    <w:rsid w:val="007A22CF"/>
    <w:rsid w:val="007A23A1"/>
    <w:rsid w:val="007A23D9"/>
    <w:rsid w:val="007A29D6"/>
    <w:rsid w:val="007A29E9"/>
    <w:rsid w:val="007A2B3E"/>
    <w:rsid w:val="007A2BAE"/>
    <w:rsid w:val="007A338D"/>
    <w:rsid w:val="007A347D"/>
    <w:rsid w:val="007A3A3C"/>
    <w:rsid w:val="007A3AD0"/>
    <w:rsid w:val="007A3F61"/>
    <w:rsid w:val="007A40BF"/>
    <w:rsid w:val="007A432F"/>
    <w:rsid w:val="007A4401"/>
    <w:rsid w:val="007A4E99"/>
    <w:rsid w:val="007A502F"/>
    <w:rsid w:val="007A53D2"/>
    <w:rsid w:val="007A53ED"/>
    <w:rsid w:val="007A53F1"/>
    <w:rsid w:val="007A55B3"/>
    <w:rsid w:val="007A57D9"/>
    <w:rsid w:val="007A61B2"/>
    <w:rsid w:val="007A64F5"/>
    <w:rsid w:val="007A652F"/>
    <w:rsid w:val="007A666F"/>
    <w:rsid w:val="007A6818"/>
    <w:rsid w:val="007A6BD5"/>
    <w:rsid w:val="007A6DD4"/>
    <w:rsid w:val="007A75FC"/>
    <w:rsid w:val="007B0139"/>
    <w:rsid w:val="007B0B64"/>
    <w:rsid w:val="007B0DC7"/>
    <w:rsid w:val="007B100A"/>
    <w:rsid w:val="007B112B"/>
    <w:rsid w:val="007B159E"/>
    <w:rsid w:val="007B17C9"/>
    <w:rsid w:val="007B1CC0"/>
    <w:rsid w:val="007B1D35"/>
    <w:rsid w:val="007B1E4C"/>
    <w:rsid w:val="007B2ACF"/>
    <w:rsid w:val="007B2AD6"/>
    <w:rsid w:val="007B2B50"/>
    <w:rsid w:val="007B3090"/>
    <w:rsid w:val="007B3337"/>
    <w:rsid w:val="007B353E"/>
    <w:rsid w:val="007B42D3"/>
    <w:rsid w:val="007B473F"/>
    <w:rsid w:val="007B5889"/>
    <w:rsid w:val="007B597D"/>
    <w:rsid w:val="007B5B1D"/>
    <w:rsid w:val="007B5B51"/>
    <w:rsid w:val="007B5EB8"/>
    <w:rsid w:val="007B6012"/>
    <w:rsid w:val="007B6309"/>
    <w:rsid w:val="007B686A"/>
    <w:rsid w:val="007B6A6A"/>
    <w:rsid w:val="007B7827"/>
    <w:rsid w:val="007B7CF2"/>
    <w:rsid w:val="007C0E97"/>
    <w:rsid w:val="007C0EAB"/>
    <w:rsid w:val="007C1957"/>
    <w:rsid w:val="007C1A93"/>
    <w:rsid w:val="007C1B7F"/>
    <w:rsid w:val="007C3264"/>
    <w:rsid w:val="007C332A"/>
    <w:rsid w:val="007C3CFC"/>
    <w:rsid w:val="007C4409"/>
    <w:rsid w:val="007C48AE"/>
    <w:rsid w:val="007C48CE"/>
    <w:rsid w:val="007C4CAA"/>
    <w:rsid w:val="007C4E79"/>
    <w:rsid w:val="007C53DE"/>
    <w:rsid w:val="007C576F"/>
    <w:rsid w:val="007C5AD6"/>
    <w:rsid w:val="007C5B0A"/>
    <w:rsid w:val="007C5B3A"/>
    <w:rsid w:val="007C6062"/>
    <w:rsid w:val="007C606F"/>
    <w:rsid w:val="007C6353"/>
    <w:rsid w:val="007C6463"/>
    <w:rsid w:val="007C674B"/>
    <w:rsid w:val="007C68E2"/>
    <w:rsid w:val="007C69BE"/>
    <w:rsid w:val="007C6B56"/>
    <w:rsid w:val="007C7332"/>
    <w:rsid w:val="007C7868"/>
    <w:rsid w:val="007C7DFC"/>
    <w:rsid w:val="007D0CBC"/>
    <w:rsid w:val="007D11DA"/>
    <w:rsid w:val="007D16C8"/>
    <w:rsid w:val="007D187E"/>
    <w:rsid w:val="007D21DB"/>
    <w:rsid w:val="007D2643"/>
    <w:rsid w:val="007D269B"/>
    <w:rsid w:val="007D2760"/>
    <w:rsid w:val="007D28E2"/>
    <w:rsid w:val="007D2AF0"/>
    <w:rsid w:val="007D2EA0"/>
    <w:rsid w:val="007D3C1A"/>
    <w:rsid w:val="007D3D5D"/>
    <w:rsid w:val="007D3E14"/>
    <w:rsid w:val="007D3ECF"/>
    <w:rsid w:val="007D4181"/>
    <w:rsid w:val="007D42DF"/>
    <w:rsid w:val="007D44EB"/>
    <w:rsid w:val="007D45DB"/>
    <w:rsid w:val="007D4CBB"/>
    <w:rsid w:val="007D4DC4"/>
    <w:rsid w:val="007D5592"/>
    <w:rsid w:val="007D584E"/>
    <w:rsid w:val="007D5BB7"/>
    <w:rsid w:val="007D5C49"/>
    <w:rsid w:val="007D5E10"/>
    <w:rsid w:val="007D614E"/>
    <w:rsid w:val="007D6591"/>
    <w:rsid w:val="007D69EC"/>
    <w:rsid w:val="007D6DAC"/>
    <w:rsid w:val="007D7460"/>
    <w:rsid w:val="007D76F3"/>
    <w:rsid w:val="007D775F"/>
    <w:rsid w:val="007D77EC"/>
    <w:rsid w:val="007D78CD"/>
    <w:rsid w:val="007D799D"/>
    <w:rsid w:val="007E03D7"/>
    <w:rsid w:val="007E05E1"/>
    <w:rsid w:val="007E0F5E"/>
    <w:rsid w:val="007E1513"/>
    <w:rsid w:val="007E1AFB"/>
    <w:rsid w:val="007E26FA"/>
    <w:rsid w:val="007E27B8"/>
    <w:rsid w:val="007E2A12"/>
    <w:rsid w:val="007E3049"/>
    <w:rsid w:val="007E32A0"/>
    <w:rsid w:val="007E3425"/>
    <w:rsid w:val="007E34D5"/>
    <w:rsid w:val="007E37F3"/>
    <w:rsid w:val="007E3962"/>
    <w:rsid w:val="007E4093"/>
    <w:rsid w:val="007E48C0"/>
    <w:rsid w:val="007E4CF7"/>
    <w:rsid w:val="007E503F"/>
    <w:rsid w:val="007E5B51"/>
    <w:rsid w:val="007E5DCF"/>
    <w:rsid w:val="007E5E5D"/>
    <w:rsid w:val="007E5ECE"/>
    <w:rsid w:val="007E6C26"/>
    <w:rsid w:val="007E6EA7"/>
    <w:rsid w:val="007E730E"/>
    <w:rsid w:val="007E79BF"/>
    <w:rsid w:val="007E7BCE"/>
    <w:rsid w:val="007E7EAD"/>
    <w:rsid w:val="007F0621"/>
    <w:rsid w:val="007F07C7"/>
    <w:rsid w:val="007F0835"/>
    <w:rsid w:val="007F0FF9"/>
    <w:rsid w:val="007F1462"/>
    <w:rsid w:val="007F16B2"/>
    <w:rsid w:val="007F1B50"/>
    <w:rsid w:val="007F1FD8"/>
    <w:rsid w:val="007F20BB"/>
    <w:rsid w:val="007F20E7"/>
    <w:rsid w:val="007F21F7"/>
    <w:rsid w:val="007F24B4"/>
    <w:rsid w:val="007F2D0E"/>
    <w:rsid w:val="007F2D59"/>
    <w:rsid w:val="007F2F87"/>
    <w:rsid w:val="007F37C3"/>
    <w:rsid w:val="007F48A5"/>
    <w:rsid w:val="007F48EE"/>
    <w:rsid w:val="007F49DC"/>
    <w:rsid w:val="007F4B99"/>
    <w:rsid w:val="007F4DCE"/>
    <w:rsid w:val="007F51E2"/>
    <w:rsid w:val="007F5487"/>
    <w:rsid w:val="007F59E9"/>
    <w:rsid w:val="007F64CD"/>
    <w:rsid w:val="007F6EAA"/>
    <w:rsid w:val="007F7313"/>
    <w:rsid w:val="007F772F"/>
    <w:rsid w:val="007F7D95"/>
    <w:rsid w:val="007F7DBD"/>
    <w:rsid w:val="007F7EC7"/>
    <w:rsid w:val="007F7F42"/>
    <w:rsid w:val="007F7F71"/>
    <w:rsid w:val="008001A5"/>
    <w:rsid w:val="0080047C"/>
    <w:rsid w:val="00800777"/>
    <w:rsid w:val="0080119B"/>
    <w:rsid w:val="00801498"/>
    <w:rsid w:val="00801969"/>
    <w:rsid w:val="008019D1"/>
    <w:rsid w:val="00802243"/>
    <w:rsid w:val="00802BFC"/>
    <w:rsid w:val="00802F0D"/>
    <w:rsid w:val="00802F16"/>
    <w:rsid w:val="00803359"/>
    <w:rsid w:val="008035A7"/>
    <w:rsid w:val="00803B06"/>
    <w:rsid w:val="008045BB"/>
    <w:rsid w:val="0080596A"/>
    <w:rsid w:val="00806243"/>
    <w:rsid w:val="008064C1"/>
    <w:rsid w:val="00807041"/>
    <w:rsid w:val="00807137"/>
    <w:rsid w:val="008075F9"/>
    <w:rsid w:val="00807FA0"/>
    <w:rsid w:val="00807FEF"/>
    <w:rsid w:val="0081002C"/>
    <w:rsid w:val="008101F9"/>
    <w:rsid w:val="00810BEA"/>
    <w:rsid w:val="00810BFA"/>
    <w:rsid w:val="0081136A"/>
    <w:rsid w:val="00811AD2"/>
    <w:rsid w:val="00811B37"/>
    <w:rsid w:val="00811FC8"/>
    <w:rsid w:val="0081206D"/>
    <w:rsid w:val="008123F9"/>
    <w:rsid w:val="008124AD"/>
    <w:rsid w:val="008127E7"/>
    <w:rsid w:val="008129E0"/>
    <w:rsid w:val="00812D71"/>
    <w:rsid w:val="008139F5"/>
    <w:rsid w:val="00813B0A"/>
    <w:rsid w:val="00813F74"/>
    <w:rsid w:val="00814414"/>
    <w:rsid w:val="00814659"/>
    <w:rsid w:val="008147DF"/>
    <w:rsid w:val="00814A26"/>
    <w:rsid w:val="00814A3E"/>
    <w:rsid w:val="00814DBB"/>
    <w:rsid w:val="0081506A"/>
    <w:rsid w:val="00815255"/>
    <w:rsid w:val="008168AE"/>
    <w:rsid w:val="008172C4"/>
    <w:rsid w:val="008174BF"/>
    <w:rsid w:val="00817E13"/>
    <w:rsid w:val="008201BF"/>
    <w:rsid w:val="00820428"/>
    <w:rsid w:val="00821355"/>
    <w:rsid w:val="0082144D"/>
    <w:rsid w:val="008216E1"/>
    <w:rsid w:val="00821B0C"/>
    <w:rsid w:val="00821D37"/>
    <w:rsid w:val="00821FDD"/>
    <w:rsid w:val="00822D78"/>
    <w:rsid w:val="00823615"/>
    <w:rsid w:val="00824506"/>
    <w:rsid w:val="00825622"/>
    <w:rsid w:val="00825912"/>
    <w:rsid w:val="00825CED"/>
    <w:rsid w:val="00825F0F"/>
    <w:rsid w:val="008263B9"/>
    <w:rsid w:val="008269CF"/>
    <w:rsid w:val="008273C9"/>
    <w:rsid w:val="00827469"/>
    <w:rsid w:val="008275AE"/>
    <w:rsid w:val="008275C4"/>
    <w:rsid w:val="008277F4"/>
    <w:rsid w:val="00827946"/>
    <w:rsid w:val="008300A2"/>
    <w:rsid w:val="00830217"/>
    <w:rsid w:val="0083066E"/>
    <w:rsid w:val="00830913"/>
    <w:rsid w:val="00830CAE"/>
    <w:rsid w:val="00831193"/>
    <w:rsid w:val="00831198"/>
    <w:rsid w:val="008314C9"/>
    <w:rsid w:val="00831AF5"/>
    <w:rsid w:val="00831B5E"/>
    <w:rsid w:val="00831B94"/>
    <w:rsid w:val="00831C37"/>
    <w:rsid w:val="00831CAC"/>
    <w:rsid w:val="00831D75"/>
    <w:rsid w:val="00831EEF"/>
    <w:rsid w:val="0083255A"/>
    <w:rsid w:val="008326D7"/>
    <w:rsid w:val="008328F3"/>
    <w:rsid w:val="00832BF8"/>
    <w:rsid w:val="00832D94"/>
    <w:rsid w:val="00832E11"/>
    <w:rsid w:val="00832EB6"/>
    <w:rsid w:val="00833114"/>
    <w:rsid w:val="00833893"/>
    <w:rsid w:val="0083406C"/>
    <w:rsid w:val="008342CB"/>
    <w:rsid w:val="00834541"/>
    <w:rsid w:val="0083472D"/>
    <w:rsid w:val="00834A1A"/>
    <w:rsid w:val="00834F9F"/>
    <w:rsid w:val="00835111"/>
    <w:rsid w:val="008354B6"/>
    <w:rsid w:val="00835DD4"/>
    <w:rsid w:val="00836096"/>
    <w:rsid w:val="008360B5"/>
    <w:rsid w:val="008360C6"/>
    <w:rsid w:val="008360CA"/>
    <w:rsid w:val="00836C3C"/>
    <w:rsid w:val="00836E68"/>
    <w:rsid w:val="00836F10"/>
    <w:rsid w:val="0083704A"/>
    <w:rsid w:val="0083777B"/>
    <w:rsid w:val="00837EA2"/>
    <w:rsid w:val="0084039D"/>
    <w:rsid w:val="0084083F"/>
    <w:rsid w:val="00840C58"/>
    <w:rsid w:val="00840DAA"/>
    <w:rsid w:val="00841084"/>
    <w:rsid w:val="00841189"/>
    <w:rsid w:val="00841282"/>
    <w:rsid w:val="008416F5"/>
    <w:rsid w:val="00841EF1"/>
    <w:rsid w:val="00841F18"/>
    <w:rsid w:val="00841F63"/>
    <w:rsid w:val="00842018"/>
    <w:rsid w:val="0084203C"/>
    <w:rsid w:val="008424AC"/>
    <w:rsid w:val="00842EBA"/>
    <w:rsid w:val="008431EE"/>
    <w:rsid w:val="00843463"/>
    <w:rsid w:val="008438E6"/>
    <w:rsid w:val="008438F2"/>
    <w:rsid w:val="00843C54"/>
    <w:rsid w:val="0084470C"/>
    <w:rsid w:val="00844B4B"/>
    <w:rsid w:val="00844DD9"/>
    <w:rsid w:val="00844E4E"/>
    <w:rsid w:val="00845121"/>
    <w:rsid w:val="00845919"/>
    <w:rsid w:val="008459BB"/>
    <w:rsid w:val="00845CE8"/>
    <w:rsid w:val="00846498"/>
    <w:rsid w:val="00846571"/>
    <w:rsid w:val="00846769"/>
    <w:rsid w:val="008468CC"/>
    <w:rsid w:val="00847A72"/>
    <w:rsid w:val="00847AD5"/>
    <w:rsid w:val="00847C30"/>
    <w:rsid w:val="00847C5F"/>
    <w:rsid w:val="00847E3D"/>
    <w:rsid w:val="008502F5"/>
    <w:rsid w:val="00850739"/>
    <w:rsid w:val="00850BBB"/>
    <w:rsid w:val="008512D6"/>
    <w:rsid w:val="0085135F"/>
    <w:rsid w:val="00851735"/>
    <w:rsid w:val="008517C5"/>
    <w:rsid w:val="00851A57"/>
    <w:rsid w:val="00851C82"/>
    <w:rsid w:val="00852368"/>
    <w:rsid w:val="008524E0"/>
    <w:rsid w:val="00852E05"/>
    <w:rsid w:val="008533D2"/>
    <w:rsid w:val="008536EB"/>
    <w:rsid w:val="00853B3C"/>
    <w:rsid w:val="00853ED0"/>
    <w:rsid w:val="008541AB"/>
    <w:rsid w:val="008541D0"/>
    <w:rsid w:val="00854325"/>
    <w:rsid w:val="008545C7"/>
    <w:rsid w:val="0085488B"/>
    <w:rsid w:val="008549D4"/>
    <w:rsid w:val="00854C9E"/>
    <w:rsid w:val="00855874"/>
    <w:rsid w:val="00855994"/>
    <w:rsid w:val="0085617A"/>
    <w:rsid w:val="00856380"/>
    <w:rsid w:val="00856943"/>
    <w:rsid w:val="00856B33"/>
    <w:rsid w:val="00856F01"/>
    <w:rsid w:val="008574D5"/>
    <w:rsid w:val="008574F3"/>
    <w:rsid w:val="00857878"/>
    <w:rsid w:val="00857E1B"/>
    <w:rsid w:val="00860250"/>
    <w:rsid w:val="00861234"/>
    <w:rsid w:val="008614F8"/>
    <w:rsid w:val="0086161A"/>
    <w:rsid w:val="00861958"/>
    <w:rsid w:val="00862358"/>
    <w:rsid w:val="008623E3"/>
    <w:rsid w:val="00862497"/>
    <w:rsid w:val="00862C88"/>
    <w:rsid w:val="0086334F"/>
    <w:rsid w:val="008634C2"/>
    <w:rsid w:val="00863BA0"/>
    <w:rsid w:val="00863EED"/>
    <w:rsid w:val="00863FE5"/>
    <w:rsid w:val="008641B7"/>
    <w:rsid w:val="00864867"/>
    <w:rsid w:val="00864915"/>
    <w:rsid w:val="00864A9C"/>
    <w:rsid w:val="00864BFF"/>
    <w:rsid w:val="00864FF9"/>
    <w:rsid w:val="008654E5"/>
    <w:rsid w:val="008655C4"/>
    <w:rsid w:val="00865C1F"/>
    <w:rsid w:val="00865E4F"/>
    <w:rsid w:val="00865EFB"/>
    <w:rsid w:val="00866663"/>
    <w:rsid w:val="008669F5"/>
    <w:rsid w:val="00866BCF"/>
    <w:rsid w:val="0086716E"/>
    <w:rsid w:val="00867A7D"/>
    <w:rsid w:val="00867C97"/>
    <w:rsid w:val="00867DBB"/>
    <w:rsid w:val="00870136"/>
    <w:rsid w:val="00870B60"/>
    <w:rsid w:val="00871DCC"/>
    <w:rsid w:val="00872163"/>
    <w:rsid w:val="0087217C"/>
    <w:rsid w:val="0087237F"/>
    <w:rsid w:val="008727B9"/>
    <w:rsid w:val="0087321B"/>
    <w:rsid w:val="008736F1"/>
    <w:rsid w:val="00873BE7"/>
    <w:rsid w:val="00873C54"/>
    <w:rsid w:val="00873D42"/>
    <w:rsid w:val="00873D5B"/>
    <w:rsid w:val="0087476B"/>
    <w:rsid w:val="008750AE"/>
    <w:rsid w:val="008757ED"/>
    <w:rsid w:val="0087581B"/>
    <w:rsid w:val="00875D98"/>
    <w:rsid w:val="008762A4"/>
    <w:rsid w:val="008762FD"/>
    <w:rsid w:val="0087658B"/>
    <w:rsid w:val="008768A7"/>
    <w:rsid w:val="00876D60"/>
    <w:rsid w:val="0087706C"/>
    <w:rsid w:val="0087763A"/>
    <w:rsid w:val="00877652"/>
    <w:rsid w:val="00877940"/>
    <w:rsid w:val="00877C03"/>
    <w:rsid w:val="0088062C"/>
    <w:rsid w:val="00880712"/>
    <w:rsid w:val="0088083E"/>
    <w:rsid w:val="00880B9D"/>
    <w:rsid w:val="00881155"/>
    <w:rsid w:val="008815F6"/>
    <w:rsid w:val="008819CB"/>
    <w:rsid w:val="00881C86"/>
    <w:rsid w:val="00881F4D"/>
    <w:rsid w:val="00881F9F"/>
    <w:rsid w:val="00882174"/>
    <w:rsid w:val="00882229"/>
    <w:rsid w:val="008824F7"/>
    <w:rsid w:val="008825C2"/>
    <w:rsid w:val="00882618"/>
    <w:rsid w:val="00882E65"/>
    <w:rsid w:val="00882EFE"/>
    <w:rsid w:val="00883143"/>
    <w:rsid w:val="0088374A"/>
    <w:rsid w:val="00883DCD"/>
    <w:rsid w:val="00883E58"/>
    <w:rsid w:val="008847B0"/>
    <w:rsid w:val="0088493D"/>
    <w:rsid w:val="00884EDE"/>
    <w:rsid w:val="008851A9"/>
    <w:rsid w:val="008851E9"/>
    <w:rsid w:val="008853C8"/>
    <w:rsid w:val="00885635"/>
    <w:rsid w:val="008856F5"/>
    <w:rsid w:val="00885972"/>
    <w:rsid w:val="00885D08"/>
    <w:rsid w:val="0088606E"/>
    <w:rsid w:val="0088619A"/>
    <w:rsid w:val="0088627E"/>
    <w:rsid w:val="00886C85"/>
    <w:rsid w:val="00886F13"/>
    <w:rsid w:val="00887058"/>
    <w:rsid w:val="00887154"/>
    <w:rsid w:val="00887CA7"/>
    <w:rsid w:val="00887E91"/>
    <w:rsid w:val="008906DA"/>
    <w:rsid w:val="0089132D"/>
    <w:rsid w:val="008914B9"/>
    <w:rsid w:val="0089176D"/>
    <w:rsid w:val="0089198C"/>
    <w:rsid w:val="008919F9"/>
    <w:rsid w:val="00891E69"/>
    <w:rsid w:val="00892524"/>
    <w:rsid w:val="00892958"/>
    <w:rsid w:val="00892E4C"/>
    <w:rsid w:val="00892EBC"/>
    <w:rsid w:val="00893323"/>
    <w:rsid w:val="008935F7"/>
    <w:rsid w:val="00893DDC"/>
    <w:rsid w:val="00894285"/>
    <w:rsid w:val="008942A4"/>
    <w:rsid w:val="0089443A"/>
    <w:rsid w:val="00894A22"/>
    <w:rsid w:val="00894CBF"/>
    <w:rsid w:val="00894E20"/>
    <w:rsid w:val="00894EC1"/>
    <w:rsid w:val="0089501D"/>
    <w:rsid w:val="008953BC"/>
    <w:rsid w:val="00895446"/>
    <w:rsid w:val="00895608"/>
    <w:rsid w:val="00895621"/>
    <w:rsid w:val="00895976"/>
    <w:rsid w:val="008959C4"/>
    <w:rsid w:val="00895C5E"/>
    <w:rsid w:val="0089605A"/>
    <w:rsid w:val="0089619D"/>
    <w:rsid w:val="00896592"/>
    <w:rsid w:val="008966F0"/>
    <w:rsid w:val="00896C8A"/>
    <w:rsid w:val="008974B0"/>
    <w:rsid w:val="00897770"/>
    <w:rsid w:val="008A15C1"/>
    <w:rsid w:val="008A18E8"/>
    <w:rsid w:val="008A1921"/>
    <w:rsid w:val="008A1AA3"/>
    <w:rsid w:val="008A1C0C"/>
    <w:rsid w:val="008A1FCF"/>
    <w:rsid w:val="008A2640"/>
    <w:rsid w:val="008A26D7"/>
    <w:rsid w:val="008A275D"/>
    <w:rsid w:val="008A2CF0"/>
    <w:rsid w:val="008A2EDE"/>
    <w:rsid w:val="008A342E"/>
    <w:rsid w:val="008A3541"/>
    <w:rsid w:val="008A3588"/>
    <w:rsid w:val="008A38F8"/>
    <w:rsid w:val="008A3E44"/>
    <w:rsid w:val="008A3F03"/>
    <w:rsid w:val="008A4502"/>
    <w:rsid w:val="008A4E25"/>
    <w:rsid w:val="008A4EF2"/>
    <w:rsid w:val="008A4F67"/>
    <w:rsid w:val="008A535E"/>
    <w:rsid w:val="008A5362"/>
    <w:rsid w:val="008A5C94"/>
    <w:rsid w:val="008A5D79"/>
    <w:rsid w:val="008A6630"/>
    <w:rsid w:val="008A676F"/>
    <w:rsid w:val="008A6964"/>
    <w:rsid w:val="008A749C"/>
    <w:rsid w:val="008A756F"/>
    <w:rsid w:val="008A770E"/>
    <w:rsid w:val="008A798D"/>
    <w:rsid w:val="008A7B8B"/>
    <w:rsid w:val="008A7CB1"/>
    <w:rsid w:val="008A7FBA"/>
    <w:rsid w:val="008B0190"/>
    <w:rsid w:val="008B075F"/>
    <w:rsid w:val="008B1415"/>
    <w:rsid w:val="008B17A3"/>
    <w:rsid w:val="008B1D23"/>
    <w:rsid w:val="008B1EED"/>
    <w:rsid w:val="008B2387"/>
    <w:rsid w:val="008B28B9"/>
    <w:rsid w:val="008B29C2"/>
    <w:rsid w:val="008B2FA5"/>
    <w:rsid w:val="008B308D"/>
    <w:rsid w:val="008B30BC"/>
    <w:rsid w:val="008B3371"/>
    <w:rsid w:val="008B34C5"/>
    <w:rsid w:val="008B35A4"/>
    <w:rsid w:val="008B36D7"/>
    <w:rsid w:val="008B3DE5"/>
    <w:rsid w:val="008B51C4"/>
    <w:rsid w:val="008B5E60"/>
    <w:rsid w:val="008B65C0"/>
    <w:rsid w:val="008B6786"/>
    <w:rsid w:val="008B6905"/>
    <w:rsid w:val="008B70BE"/>
    <w:rsid w:val="008B71DD"/>
    <w:rsid w:val="008B726B"/>
    <w:rsid w:val="008C0486"/>
    <w:rsid w:val="008C0620"/>
    <w:rsid w:val="008C0B00"/>
    <w:rsid w:val="008C18B6"/>
    <w:rsid w:val="008C1D54"/>
    <w:rsid w:val="008C1E02"/>
    <w:rsid w:val="008C21E1"/>
    <w:rsid w:val="008C27F8"/>
    <w:rsid w:val="008C3151"/>
    <w:rsid w:val="008C3578"/>
    <w:rsid w:val="008C36E9"/>
    <w:rsid w:val="008C38AB"/>
    <w:rsid w:val="008C3EC2"/>
    <w:rsid w:val="008C4672"/>
    <w:rsid w:val="008C517D"/>
    <w:rsid w:val="008C584E"/>
    <w:rsid w:val="008C5C29"/>
    <w:rsid w:val="008C609C"/>
    <w:rsid w:val="008C61A4"/>
    <w:rsid w:val="008C6345"/>
    <w:rsid w:val="008C636D"/>
    <w:rsid w:val="008C6463"/>
    <w:rsid w:val="008C7659"/>
    <w:rsid w:val="008C76E9"/>
    <w:rsid w:val="008C788B"/>
    <w:rsid w:val="008C7B1A"/>
    <w:rsid w:val="008C7D6F"/>
    <w:rsid w:val="008D094F"/>
    <w:rsid w:val="008D1319"/>
    <w:rsid w:val="008D1B90"/>
    <w:rsid w:val="008D3084"/>
    <w:rsid w:val="008D38AD"/>
    <w:rsid w:val="008D391A"/>
    <w:rsid w:val="008D3929"/>
    <w:rsid w:val="008D4BAB"/>
    <w:rsid w:val="008D55E1"/>
    <w:rsid w:val="008D5F59"/>
    <w:rsid w:val="008D608E"/>
    <w:rsid w:val="008D617A"/>
    <w:rsid w:val="008D619E"/>
    <w:rsid w:val="008D6243"/>
    <w:rsid w:val="008D6E33"/>
    <w:rsid w:val="008D7040"/>
    <w:rsid w:val="008D7645"/>
    <w:rsid w:val="008D76F6"/>
    <w:rsid w:val="008D774A"/>
    <w:rsid w:val="008D78CC"/>
    <w:rsid w:val="008D7FF0"/>
    <w:rsid w:val="008E0096"/>
    <w:rsid w:val="008E013F"/>
    <w:rsid w:val="008E01E3"/>
    <w:rsid w:val="008E0720"/>
    <w:rsid w:val="008E079D"/>
    <w:rsid w:val="008E07F7"/>
    <w:rsid w:val="008E0B5B"/>
    <w:rsid w:val="008E14B8"/>
    <w:rsid w:val="008E1EC9"/>
    <w:rsid w:val="008E213F"/>
    <w:rsid w:val="008E22CA"/>
    <w:rsid w:val="008E2922"/>
    <w:rsid w:val="008E2AA0"/>
    <w:rsid w:val="008E2B4E"/>
    <w:rsid w:val="008E2EB2"/>
    <w:rsid w:val="008E311D"/>
    <w:rsid w:val="008E3773"/>
    <w:rsid w:val="008E4299"/>
    <w:rsid w:val="008E4346"/>
    <w:rsid w:val="008E4417"/>
    <w:rsid w:val="008E4499"/>
    <w:rsid w:val="008E4DE8"/>
    <w:rsid w:val="008E51A6"/>
    <w:rsid w:val="008E5972"/>
    <w:rsid w:val="008E5BE8"/>
    <w:rsid w:val="008E5FDE"/>
    <w:rsid w:val="008E6045"/>
    <w:rsid w:val="008E6453"/>
    <w:rsid w:val="008E66BA"/>
    <w:rsid w:val="008E67A1"/>
    <w:rsid w:val="008E6DD9"/>
    <w:rsid w:val="008E7159"/>
    <w:rsid w:val="008E752B"/>
    <w:rsid w:val="008E7937"/>
    <w:rsid w:val="008E7A17"/>
    <w:rsid w:val="008E7A39"/>
    <w:rsid w:val="008F07F3"/>
    <w:rsid w:val="008F09B0"/>
    <w:rsid w:val="008F0B8E"/>
    <w:rsid w:val="008F0E01"/>
    <w:rsid w:val="008F0FE9"/>
    <w:rsid w:val="008F14A8"/>
    <w:rsid w:val="008F187D"/>
    <w:rsid w:val="008F2044"/>
    <w:rsid w:val="008F290C"/>
    <w:rsid w:val="008F2BD5"/>
    <w:rsid w:val="008F2BEC"/>
    <w:rsid w:val="008F3400"/>
    <w:rsid w:val="008F3575"/>
    <w:rsid w:val="008F397A"/>
    <w:rsid w:val="008F3FD8"/>
    <w:rsid w:val="008F45F2"/>
    <w:rsid w:val="008F47DD"/>
    <w:rsid w:val="008F4CEC"/>
    <w:rsid w:val="008F4FAB"/>
    <w:rsid w:val="008F51BE"/>
    <w:rsid w:val="008F5230"/>
    <w:rsid w:val="008F5A0C"/>
    <w:rsid w:val="008F5B8D"/>
    <w:rsid w:val="008F6291"/>
    <w:rsid w:val="008F75E2"/>
    <w:rsid w:val="008F7740"/>
    <w:rsid w:val="009001C2"/>
    <w:rsid w:val="00900909"/>
    <w:rsid w:val="00900ADB"/>
    <w:rsid w:val="00900DA9"/>
    <w:rsid w:val="00900DFB"/>
    <w:rsid w:val="009014D1"/>
    <w:rsid w:val="0090155B"/>
    <w:rsid w:val="009019F9"/>
    <w:rsid w:val="00901BB8"/>
    <w:rsid w:val="00902C76"/>
    <w:rsid w:val="00903379"/>
    <w:rsid w:val="009035EE"/>
    <w:rsid w:val="0090399A"/>
    <w:rsid w:val="00903E6F"/>
    <w:rsid w:val="00903F97"/>
    <w:rsid w:val="0090469A"/>
    <w:rsid w:val="0090501B"/>
    <w:rsid w:val="0090509A"/>
    <w:rsid w:val="009050CF"/>
    <w:rsid w:val="00905719"/>
    <w:rsid w:val="00905886"/>
    <w:rsid w:val="00905962"/>
    <w:rsid w:val="009062AE"/>
    <w:rsid w:val="0090654C"/>
    <w:rsid w:val="009065B5"/>
    <w:rsid w:val="0090690E"/>
    <w:rsid w:val="00906FFE"/>
    <w:rsid w:val="009078EF"/>
    <w:rsid w:val="00907DB8"/>
    <w:rsid w:val="009104E7"/>
    <w:rsid w:val="009110B9"/>
    <w:rsid w:val="00911B58"/>
    <w:rsid w:val="00911C4C"/>
    <w:rsid w:val="00911C5A"/>
    <w:rsid w:val="00911DC9"/>
    <w:rsid w:val="00911F9C"/>
    <w:rsid w:val="00912811"/>
    <w:rsid w:val="00912CDA"/>
    <w:rsid w:val="00912FD3"/>
    <w:rsid w:val="00913007"/>
    <w:rsid w:val="009135E0"/>
    <w:rsid w:val="00913677"/>
    <w:rsid w:val="00913A0F"/>
    <w:rsid w:val="00914FEE"/>
    <w:rsid w:val="009150A5"/>
    <w:rsid w:val="009155DE"/>
    <w:rsid w:val="0091581A"/>
    <w:rsid w:val="00915C75"/>
    <w:rsid w:val="009169AA"/>
    <w:rsid w:val="0091707A"/>
    <w:rsid w:val="00917967"/>
    <w:rsid w:val="00920091"/>
    <w:rsid w:val="00920648"/>
    <w:rsid w:val="00921551"/>
    <w:rsid w:val="00921CA4"/>
    <w:rsid w:val="00921E22"/>
    <w:rsid w:val="009229C7"/>
    <w:rsid w:val="00922B71"/>
    <w:rsid w:val="00922EC6"/>
    <w:rsid w:val="0092303E"/>
    <w:rsid w:val="009231E3"/>
    <w:rsid w:val="00923342"/>
    <w:rsid w:val="0092334C"/>
    <w:rsid w:val="009235C1"/>
    <w:rsid w:val="00923631"/>
    <w:rsid w:val="0092383B"/>
    <w:rsid w:val="00923C8B"/>
    <w:rsid w:val="009242EB"/>
    <w:rsid w:val="0092461D"/>
    <w:rsid w:val="009249D0"/>
    <w:rsid w:val="00924CEF"/>
    <w:rsid w:val="00924D72"/>
    <w:rsid w:val="00925186"/>
    <w:rsid w:val="00925674"/>
    <w:rsid w:val="00925716"/>
    <w:rsid w:val="00925744"/>
    <w:rsid w:val="009259C0"/>
    <w:rsid w:val="00926191"/>
    <w:rsid w:val="0092641D"/>
    <w:rsid w:val="00926486"/>
    <w:rsid w:val="00926890"/>
    <w:rsid w:val="00926BCD"/>
    <w:rsid w:val="00927111"/>
    <w:rsid w:val="00927461"/>
    <w:rsid w:val="0092763C"/>
    <w:rsid w:val="00927FC4"/>
    <w:rsid w:val="00931511"/>
    <w:rsid w:val="00931561"/>
    <w:rsid w:val="00931962"/>
    <w:rsid w:val="00931E6A"/>
    <w:rsid w:val="00931F37"/>
    <w:rsid w:val="00931F48"/>
    <w:rsid w:val="009324E6"/>
    <w:rsid w:val="00932AFA"/>
    <w:rsid w:val="00932D1E"/>
    <w:rsid w:val="0093479D"/>
    <w:rsid w:val="009347DE"/>
    <w:rsid w:val="00934EB3"/>
    <w:rsid w:val="0093539F"/>
    <w:rsid w:val="00935564"/>
    <w:rsid w:val="009355A3"/>
    <w:rsid w:val="009357FC"/>
    <w:rsid w:val="00935863"/>
    <w:rsid w:val="009359DD"/>
    <w:rsid w:val="00935CBC"/>
    <w:rsid w:val="00935E29"/>
    <w:rsid w:val="009364F1"/>
    <w:rsid w:val="00936768"/>
    <w:rsid w:val="0093687F"/>
    <w:rsid w:val="00936C1A"/>
    <w:rsid w:val="00936EE4"/>
    <w:rsid w:val="009409E9"/>
    <w:rsid w:val="00940CA0"/>
    <w:rsid w:val="00940CF6"/>
    <w:rsid w:val="009410F6"/>
    <w:rsid w:val="009412F0"/>
    <w:rsid w:val="00941564"/>
    <w:rsid w:val="00941968"/>
    <w:rsid w:val="00941ACB"/>
    <w:rsid w:val="00941D8B"/>
    <w:rsid w:val="00942194"/>
    <w:rsid w:val="0094249A"/>
    <w:rsid w:val="009424FE"/>
    <w:rsid w:val="009428D5"/>
    <w:rsid w:val="0094291C"/>
    <w:rsid w:val="009429A8"/>
    <w:rsid w:val="00943B17"/>
    <w:rsid w:val="00943BC5"/>
    <w:rsid w:val="00943DB7"/>
    <w:rsid w:val="009441E0"/>
    <w:rsid w:val="00944607"/>
    <w:rsid w:val="0094476B"/>
    <w:rsid w:val="00944F88"/>
    <w:rsid w:val="00945B86"/>
    <w:rsid w:val="00945B9B"/>
    <w:rsid w:val="00945CA7"/>
    <w:rsid w:val="00945FA9"/>
    <w:rsid w:val="009460F6"/>
    <w:rsid w:val="00946258"/>
    <w:rsid w:val="0094637C"/>
    <w:rsid w:val="00946AC9"/>
    <w:rsid w:val="00946E4E"/>
    <w:rsid w:val="009470C0"/>
    <w:rsid w:val="0094724F"/>
    <w:rsid w:val="009474FE"/>
    <w:rsid w:val="00947B83"/>
    <w:rsid w:val="00947C6C"/>
    <w:rsid w:val="00947CFD"/>
    <w:rsid w:val="00947F95"/>
    <w:rsid w:val="009502C1"/>
    <w:rsid w:val="00950780"/>
    <w:rsid w:val="009516B5"/>
    <w:rsid w:val="00951D71"/>
    <w:rsid w:val="00952E74"/>
    <w:rsid w:val="009530F2"/>
    <w:rsid w:val="009531DB"/>
    <w:rsid w:val="009536E1"/>
    <w:rsid w:val="009539E8"/>
    <w:rsid w:val="00953BF6"/>
    <w:rsid w:val="00953CA8"/>
    <w:rsid w:val="00954136"/>
    <w:rsid w:val="009545E6"/>
    <w:rsid w:val="009548B1"/>
    <w:rsid w:val="00954A19"/>
    <w:rsid w:val="00955738"/>
    <w:rsid w:val="00955741"/>
    <w:rsid w:val="009557F6"/>
    <w:rsid w:val="00955A46"/>
    <w:rsid w:val="00955ADC"/>
    <w:rsid w:val="009564C1"/>
    <w:rsid w:val="00956840"/>
    <w:rsid w:val="00956CBE"/>
    <w:rsid w:val="00956D2A"/>
    <w:rsid w:val="00956D98"/>
    <w:rsid w:val="00957409"/>
    <w:rsid w:val="00957B04"/>
    <w:rsid w:val="00957CD4"/>
    <w:rsid w:val="00957EAD"/>
    <w:rsid w:val="00960862"/>
    <w:rsid w:val="00960B81"/>
    <w:rsid w:val="00960E95"/>
    <w:rsid w:val="009610BC"/>
    <w:rsid w:val="009615EC"/>
    <w:rsid w:val="00961779"/>
    <w:rsid w:val="00961A50"/>
    <w:rsid w:val="00961AE8"/>
    <w:rsid w:val="00961D3A"/>
    <w:rsid w:val="00962293"/>
    <w:rsid w:val="00962409"/>
    <w:rsid w:val="00962E0E"/>
    <w:rsid w:val="00963835"/>
    <w:rsid w:val="00963967"/>
    <w:rsid w:val="00963AB2"/>
    <w:rsid w:val="00963EBC"/>
    <w:rsid w:val="00963F49"/>
    <w:rsid w:val="009643A9"/>
    <w:rsid w:val="009645D1"/>
    <w:rsid w:val="0096474C"/>
    <w:rsid w:val="00964875"/>
    <w:rsid w:val="00964AD2"/>
    <w:rsid w:val="00964CC2"/>
    <w:rsid w:val="0096518F"/>
    <w:rsid w:val="009656BB"/>
    <w:rsid w:val="00965FB9"/>
    <w:rsid w:val="0096619F"/>
    <w:rsid w:val="00966291"/>
    <w:rsid w:val="00966418"/>
    <w:rsid w:val="00966A96"/>
    <w:rsid w:val="00967062"/>
    <w:rsid w:val="00967512"/>
    <w:rsid w:val="00967A91"/>
    <w:rsid w:val="00967AF5"/>
    <w:rsid w:val="00970241"/>
    <w:rsid w:val="009702E2"/>
    <w:rsid w:val="0097039C"/>
    <w:rsid w:val="00970F4D"/>
    <w:rsid w:val="0097102E"/>
    <w:rsid w:val="00971A68"/>
    <w:rsid w:val="00971A9D"/>
    <w:rsid w:val="00971F05"/>
    <w:rsid w:val="00972229"/>
    <w:rsid w:val="0097286B"/>
    <w:rsid w:val="00972DDE"/>
    <w:rsid w:val="00972F97"/>
    <w:rsid w:val="00973756"/>
    <w:rsid w:val="00973CD6"/>
    <w:rsid w:val="00973EE5"/>
    <w:rsid w:val="00974418"/>
    <w:rsid w:val="0097442C"/>
    <w:rsid w:val="00974A35"/>
    <w:rsid w:val="00974CBA"/>
    <w:rsid w:val="00974E91"/>
    <w:rsid w:val="00975428"/>
    <w:rsid w:val="009756B7"/>
    <w:rsid w:val="00975767"/>
    <w:rsid w:val="00975F49"/>
    <w:rsid w:val="0097662D"/>
    <w:rsid w:val="00976B2E"/>
    <w:rsid w:val="009771D4"/>
    <w:rsid w:val="009772AE"/>
    <w:rsid w:val="009772DD"/>
    <w:rsid w:val="009775D2"/>
    <w:rsid w:val="0097795B"/>
    <w:rsid w:val="0098030D"/>
    <w:rsid w:val="00981064"/>
    <w:rsid w:val="009811D8"/>
    <w:rsid w:val="00981A9C"/>
    <w:rsid w:val="00981AA0"/>
    <w:rsid w:val="0098206F"/>
    <w:rsid w:val="009824C0"/>
    <w:rsid w:val="009825E7"/>
    <w:rsid w:val="009831DD"/>
    <w:rsid w:val="0098321D"/>
    <w:rsid w:val="009836E7"/>
    <w:rsid w:val="00983F01"/>
    <w:rsid w:val="00984175"/>
    <w:rsid w:val="00984417"/>
    <w:rsid w:val="009847F8"/>
    <w:rsid w:val="00984ADB"/>
    <w:rsid w:val="00984CA1"/>
    <w:rsid w:val="00984E9C"/>
    <w:rsid w:val="00984EDD"/>
    <w:rsid w:val="00984EDF"/>
    <w:rsid w:val="009850DF"/>
    <w:rsid w:val="00985215"/>
    <w:rsid w:val="009852A2"/>
    <w:rsid w:val="00985775"/>
    <w:rsid w:val="00985791"/>
    <w:rsid w:val="00985798"/>
    <w:rsid w:val="00985B8A"/>
    <w:rsid w:val="00985F65"/>
    <w:rsid w:val="00986A2D"/>
    <w:rsid w:val="00986ABB"/>
    <w:rsid w:val="00987409"/>
    <w:rsid w:val="009879C8"/>
    <w:rsid w:val="00987C2C"/>
    <w:rsid w:val="00987F72"/>
    <w:rsid w:val="0099062D"/>
    <w:rsid w:val="00990B79"/>
    <w:rsid w:val="00990C58"/>
    <w:rsid w:val="00990FBB"/>
    <w:rsid w:val="00991110"/>
    <w:rsid w:val="00991802"/>
    <w:rsid w:val="009919EE"/>
    <w:rsid w:val="00991A67"/>
    <w:rsid w:val="00991BD2"/>
    <w:rsid w:val="00992258"/>
    <w:rsid w:val="009924AB"/>
    <w:rsid w:val="0099295B"/>
    <w:rsid w:val="00992D2A"/>
    <w:rsid w:val="0099308C"/>
    <w:rsid w:val="009939D4"/>
    <w:rsid w:val="0099489F"/>
    <w:rsid w:val="009948A8"/>
    <w:rsid w:val="00994BAE"/>
    <w:rsid w:val="00994C1C"/>
    <w:rsid w:val="00994E5E"/>
    <w:rsid w:val="00995059"/>
    <w:rsid w:val="009951FA"/>
    <w:rsid w:val="00995829"/>
    <w:rsid w:val="00995AA7"/>
    <w:rsid w:val="00995FA5"/>
    <w:rsid w:val="0099613C"/>
    <w:rsid w:val="00996373"/>
    <w:rsid w:val="00996769"/>
    <w:rsid w:val="00996E31"/>
    <w:rsid w:val="00996F2E"/>
    <w:rsid w:val="0099708F"/>
    <w:rsid w:val="00997567"/>
    <w:rsid w:val="009975FC"/>
    <w:rsid w:val="009977B4"/>
    <w:rsid w:val="009978CA"/>
    <w:rsid w:val="009A043B"/>
    <w:rsid w:val="009A0DB4"/>
    <w:rsid w:val="009A0DE9"/>
    <w:rsid w:val="009A0E76"/>
    <w:rsid w:val="009A0EDE"/>
    <w:rsid w:val="009A0EF7"/>
    <w:rsid w:val="009A10E4"/>
    <w:rsid w:val="009A16AA"/>
    <w:rsid w:val="009A16BA"/>
    <w:rsid w:val="009A1D05"/>
    <w:rsid w:val="009A1D70"/>
    <w:rsid w:val="009A1EF8"/>
    <w:rsid w:val="009A234E"/>
    <w:rsid w:val="009A2734"/>
    <w:rsid w:val="009A2C82"/>
    <w:rsid w:val="009A2FEE"/>
    <w:rsid w:val="009A364D"/>
    <w:rsid w:val="009A3A41"/>
    <w:rsid w:val="009A3D71"/>
    <w:rsid w:val="009A3E91"/>
    <w:rsid w:val="009A3F7B"/>
    <w:rsid w:val="009A41F6"/>
    <w:rsid w:val="009A4852"/>
    <w:rsid w:val="009A4A63"/>
    <w:rsid w:val="009A4E28"/>
    <w:rsid w:val="009A5306"/>
    <w:rsid w:val="009A5614"/>
    <w:rsid w:val="009A5733"/>
    <w:rsid w:val="009A5BC4"/>
    <w:rsid w:val="009A5E88"/>
    <w:rsid w:val="009A6133"/>
    <w:rsid w:val="009A62C0"/>
    <w:rsid w:val="009A66C6"/>
    <w:rsid w:val="009A6777"/>
    <w:rsid w:val="009A6BA2"/>
    <w:rsid w:val="009A6D13"/>
    <w:rsid w:val="009A71DE"/>
    <w:rsid w:val="009A7C2A"/>
    <w:rsid w:val="009B0CF7"/>
    <w:rsid w:val="009B1081"/>
    <w:rsid w:val="009B1182"/>
    <w:rsid w:val="009B1342"/>
    <w:rsid w:val="009B163D"/>
    <w:rsid w:val="009B1702"/>
    <w:rsid w:val="009B191F"/>
    <w:rsid w:val="009B199B"/>
    <w:rsid w:val="009B1A80"/>
    <w:rsid w:val="009B34AC"/>
    <w:rsid w:val="009B42EC"/>
    <w:rsid w:val="009B4808"/>
    <w:rsid w:val="009B5996"/>
    <w:rsid w:val="009B5F5B"/>
    <w:rsid w:val="009B6019"/>
    <w:rsid w:val="009B60DB"/>
    <w:rsid w:val="009B6105"/>
    <w:rsid w:val="009B63A1"/>
    <w:rsid w:val="009B6DFD"/>
    <w:rsid w:val="009B701D"/>
    <w:rsid w:val="009B710C"/>
    <w:rsid w:val="009B75F8"/>
    <w:rsid w:val="009B7AE4"/>
    <w:rsid w:val="009B7C2C"/>
    <w:rsid w:val="009B7D7D"/>
    <w:rsid w:val="009B7E19"/>
    <w:rsid w:val="009B7F87"/>
    <w:rsid w:val="009B7F88"/>
    <w:rsid w:val="009C01E6"/>
    <w:rsid w:val="009C0AA6"/>
    <w:rsid w:val="009C0B70"/>
    <w:rsid w:val="009C0E29"/>
    <w:rsid w:val="009C0FBA"/>
    <w:rsid w:val="009C190E"/>
    <w:rsid w:val="009C1B56"/>
    <w:rsid w:val="009C1BE6"/>
    <w:rsid w:val="009C1C9B"/>
    <w:rsid w:val="009C1D0D"/>
    <w:rsid w:val="009C1D60"/>
    <w:rsid w:val="009C1DA4"/>
    <w:rsid w:val="009C2398"/>
    <w:rsid w:val="009C26C3"/>
    <w:rsid w:val="009C35EB"/>
    <w:rsid w:val="009C36AB"/>
    <w:rsid w:val="009C38C4"/>
    <w:rsid w:val="009C3A1B"/>
    <w:rsid w:val="009C3B43"/>
    <w:rsid w:val="009C3C58"/>
    <w:rsid w:val="009C3CB0"/>
    <w:rsid w:val="009C3CF4"/>
    <w:rsid w:val="009C3DC0"/>
    <w:rsid w:val="009C3FAD"/>
    <w:rsid w:val="009C474E"/>
    <w:rsid w:val="009C48E9"/>
    <w:rsid w:val="009C4F01"/>
    <w:rsid w:val="009C51A9"/>
    <w:rsid w:val="009C5BAF"/>
    <w:rsid w:val="009C621F"/>
    <w:rsid w:val="009C6A9F"/>
    <w:rsid w:val="009C6EAE"/>
    <w:rsid w:val="009C7123"/>
    <w:rsid w:val="009C732A"/>
    <w:rsid w:val="009D0B34"/>
    <w:rsid w:val="009D0BB7"/>
    <w:rsid w:val="009D0C4D"/>
    <w:rsid w:val="009D0FD9"/>
    <w:rsid w:val="009D11CF"/>
    <w:rsid w:val="009D1540"/>
    <w:rsid w:val="009D16EC"/>
    <w:rsid w:val="009D1D11"/>
    <w:rsid w:val="009D2010"/>
    <w:rsid w:val="009D207E"/>
    <w:rsid w:val="009D2A80"/>
    <w:rsid w:val="009D364D"/>
    <w:rsid w:val="009D3CB0"/>
    <w:rsid w:val="009D4682"/>
    <w:rsid w:val="009D49BB"/>
    <w:rsid w:val="009D4B77"/>
    <w:rsid w:val="009D515F"/>
    <w:rsid w:val="009D57DE"/>
    <w:rsid w:val="009D5A36"/>
    <w:rsid w:val="009D5EBA"/>
    <w:rsid w:val="009D6855"/>
    <w:rsid w:val="009D732E"/>
    <w:rsid w:val="009D75C5"/>
    <w:rsid w:val="009D766B"/>
    <w:rsid w:val="009D76BB"/>
    <w:rsid w:val="009D77B2"/>
    <w:rsid w:val="009E13BE"/>
    <w:rsid w:val="009E144C"/>
    <w:rsid w:val="009E1D7E"/>
    <w:rsid w:val="009E2189"/>
    <w:rsid w:val="009E21FB"/>
    <w:rsid w:val="009E280E"/>
    <w:rsid w:val="009E2EBD"/>
    <w:rsid w:val="009E2FF9"/>
    <w:rsid w:val="009E3FFB"/>
    <w:rsid w:val="009E4064"/>
    <w:rsid w:val="009E52E5"/>
    <w:rsid w:val="009E5673"/>
    <w:rsid w:val="009E58CE"/>
    <w:rsid w:val="009E61CC"/>
    <w:rsid w:val="009E6499"/>
    <w:rsid w:val="009E6D2F"/>
    <w:rsid w:val="009E7210"/>
    <w:rsid w:val="009E79B0"/>
    <w:rsid w:val="009E7C74"/>
    <w:rsid w:val="009F05C6"/>
    <w:rsid w:val="009F0B0C"/>
    <w:rsid w:val="009F0C72"/>
    <w:rsid w:val="009F185B"/>
    <w:rsid w:val="009F1F8D"/>
    <w:rsid w:val="009F215C"/>
    <w:rsid w:val="009F2978"/>
    <w:rsid w:val="009F3335"/>
    <w:rsid w:val="009F341D"/>
    <w:rsid w:val="009F3B4E"/>
    <w:rsid w:val="009F3C4B"/>
    <w:rsid w:val="009F3E4E"/>
    <w:rsid w:val="009F4186"/>
    <w:rsid w:val="009F480A"/>
    <w:rsid w:val="009F4E0E"/>
    <w:rsid w:val="009F5985"/>
    <w:rsid w:val="009F5F36"/>
    <w:rsid w:val="009F61DA"/>
    <w:rsid w:val="009F6495"/>
    <w:rsid w:val="009F64AE"/>
    <w:rsid w:val="009F6AF2"/>
    <w:rsid w:val="009F6D56"/>
    <w:rsid w:val="009F6FF1"/>
    <w:rsid w:val="009F7878"/>
    <w:rsid w:val="009F7922"/>
    <w:rsid w:val="009F796B"/>
    <w:rsid w:val="009F7A43"/>
    <w:rsid w:val="009F7A5A"/>
    <w:rsid w:val="009F7AC3"/>
    <w:rsid w:val="009F7B50"/>
    <w:rsid w:val="009F7C19"/>
    <w:rsid w:val="009F7C27"/>
    <w:rsid w:val="009F7E63"/>
    <w:rsid w:val="009F7F8E"/>
    <w:rsid w:val="00A008F6"/>
    <w:rsid w:val="00A00ADF"/>
    <w:rsid w:val="00A00AEC"/>
    <w:rsid w:val="00A00C04"/>
    <w:rsid w:val="00A00D4E"/>
    <w:rsid w:val="00A00DD8"/>
    <w:rsid w:val="00A014DE"/>
    <w:rsid w:val="00A01637"/>
    <w:rsid w:val="00A02510"/>
    <w:rsid w:val="00A02745"/>
    <w:rsid w:val="00A028DA"/>
    <w:rsid w:val="00A02ED3"/>
    <w:rsid w:val="00A0309F"/>
    <w:rsid w:val="00A032E0"/>
    <w:rsid w:val="00A0355C"/>
    <w:rsid w:val="00A036FF"/>
    <w:rsid w:val="00A0399A"/>
    <w:rsid w:val="00A03D30"/>
    <w:rsid w:val="00A03E1E"/>
    <w:rsid w:val="00A0481A"/>
    <w:rsid w:val="00A0483A"/>
    <w:rsid w:val="00A04897"/>
    <w:rsid w:val="00A04A7C"/>
    <w:rsid w:val="00A04DC8"/>
    <w:rsid w:val="00A05232"/>
    <w:rsid w:val="00A06501"/>
    <w:rsid w:val="00A072E8"/>
    <w:rsid w:val="00A07398"/>
    <w:rsid w:val="00A07A57"/>
    <w:rsid w:val="00A10319"/>
    <w:rsid w:val="00A105ED"/>
    <w:rsid w:val="00A10781"/>
    <w:rsid w:val="00A109FD"/>
    <w:rsid w:val="00A10F27"/>
    <w:rsid w:val="00A110AC"/>
    <w:rsid w:val="00A119DB"/>
    <w:rsid w:val="00A119DE"/>
    <w:rsid w:val="00A11E89"/>
    <w:rsid w:val="00A13691"/>
    <w:rsid w:val="00A137A1"/>
    <w:rsid w:val="00A13CD4"/>
    <w:rsid w:val="00A13CE8"/>
    <w:rsid w:val="00A1425A"/>
    <w:rsid w:val="00A1468D"/>
    <w:rsid w:val="00A147D1"/>
    <w:rsid w:val="00A14C03"/>
    <w:rsid w:val="00A14C55"/>
    <w:rsid w:val="00A14FB0"/>
    <w:rsid w:val="00A15157"/>
    <w:rsid w:val="00A1572D"/>
    <w:rsid w:val="00A15B6C"/>
    <w:rsid w:val="00A15BDB"/>
    <w:rsid w:val="00A160FD"/>
    <w:rsid w:val="00A1613D"/>
    <w:rsid w:val="00A16165"/>
    <w:rsid w:val="00A16853"/>
    <w:rsid w:val="00A16A9B"/>
    <w:rsid w:val="00A16BF6"/>
    <w:rsid w:val="00A17561"/>
    <w:rsid w:val="00A176E5"/>
    <w:rsid w:val="00A17B4F"/>
    <w:rsid w:val="00A205CC"/>
    <w:rsid w:val="00A20BDF"/>
    <w:rsid w:val="00A20BE9"/>
    <w:rsid w:val="00A20E19"/>
    <w:rsid w:val="00A21312"/>
    <w:rsid w:val="00A21A46"/>
    <w:rsid w:val="00A21EAD"/>
    <w:rsid w:val="00A22178"/>
    <w:rsid w:val="00A22F81"/>
    <w:rsid w:val="00A2382B"/>
    <w:rsid w:val="00A2391B"/>
    <w:rsid w:val="00A23AA8"/>
    <w:rsid w:val="00A23B38"/>
    <w:rsid w:val="00A23BE1"/>
    <w:rsid w:val="00A243F1"/>
    <w:rsid w:val="00A24465"/>
    <w:rsid w:val="00A24808"/>
    <w:rsid w:val="00A25D33"/>
    <w:rsid w:val="00A266D5"/>
    <w:rsid w:val="00A268F0"/>
    <w:rsid w:val="00A26C30"/>
    <w:rsid w:val="00A27040"/>
    <w:rsid w:val="00A270BB"/>
    <w:rsid w:val="00A27A9E"/>
    <w:rsid w:val="00A3043E"/>
    <w:rsid w:val="00A30652"/>
    <w:rsid w:val="00A30D56"/>
    <w:rsid w:val="00A314B9"/>
    <w:rsid w:val="00A3182A"/>
    <w:rsid w:val="00A31876"/>
    <w:rsid w:val="00A31B03"/>
    <w:rsid w:val="00A31EC5"/>
    <w:rsid w:val="00A3265D"/>
    <w:rsid w:val="00A32AC9"/>
    <w:rsid w:val="00A32D85"/>
    <w:rsid w:val="00A32EE9"/>
    <w:rsid w:val="00A330B7"/>
    <w:rsid w:val="00A341D9"/>
    <w:rsid w:val="00A343D3"/>
    <w:rsid w:val="00A34A45"/>
    <w:rsid w:val="00A34AEC"/>
    <w:rsid w:val="00A34FEF"/>
    <w:rsid w:val="00A35484"/>
    <w:rsid w:val="00A357FE"/>
    <w:rsid w:val="00A35B86"/>
    <w:rsid w:val="00A36074"/>
    <w:rsid w:val="00A36254"/>
    <w:rsid w:val="00A36764"/>
    <w:rsid w:val="00A367FA"/>
    <w:rsid w:val="00A36EE7"/>
    <w:rsid w:val="00A36FA7"/>
    <w:rsid w:val="00A37076"/>
    <w:rsid w:val="00A37A6F"/>
    <w:rsid w:val="00A37CA2"/>
    <w:rsid w:val="00A37E66"/>
    <w:rsid w:val="00A3F6C7"/>
    <w:rsid w:val="00A40491"/>
    <w:rsid w:val="00A40A30"/>
    <w:rsid w:val="00A40EB5"/>
    <w:rsid w:val="00A40FB9"/>
    <w:rsid w:val="00A410B9"/>
    <w:rsid w:val="00A419FB"/>
    <w:rsid w:val="00A41F17"/>
    <w:rsid w:val="00A41FD5"/>
    <w:rsid w:val="00A42070"/>
    <w:rsid w:val="00A422F5"/>
    <w:rsid w:val="00A425F6"/>
    <w:rsid w:val="00A429B9"/>
    <w:rsid w:val="00A43021"/>
    <w:rsid w:val="00A43170"/>
    <w:rsid w:val="00A439E1"/>
    <w:rsid w:val="00A43BF6"/>
    <w:rsid w:val="00A43C1E"/>
    <w:rsid w:val="00A43E76"/>
    <w:rsid w:val="00A4461A"/>
    <w:rsid w:val="00A45375"/>
    <w:rsid w:val="00A459DE"/>
    <w:rsid w:val="00A45BBF"/>
    <w:rsid w:val="00A45E8A"/>
    <w:rsid w:val="00A46414"/>
    <w:rsid w:val="00A464EB"/>
    <w:rsid w:val="00A46758"/>
    <w:rsid w:val="00A468BA"/>
    <w:rsid w:val="00A46A13"/>
    <w:rsid w:val="00A46F68"/>
    <w:rsid w:val="00A47258"/>
    <w:rsid w:val="00A47451"/>
    <w:rsid w:val="00A4756C"/>
    <w:rsid w:val="00A47A8F"/>
    <w:rsid w:val="00A47B77"/>
    <w:rsid w:val="00A47D31"/>
    <w:rsid w:val="00A47F71"/>
    <w:rsid w:val="00A5019F"/>
    <w:rsid w:val="00A502CC"/>
    <w:rsid w:val="00A506AD"/>
    <w:rsid w:val="00A50D9B"/>
    <w:rsid w:val="00A50DD0"/>
    <w:rsid w:val="00A51A7E"/>
    <w:rsid w:val="00A51FDF"/>
    <w:rsid w:val="00A52319"/>
    <w:rsid w:val="00A52653"/>
    <w:rsid w:val="00A52657"/>
    <w:rsid w:val="00A527D3"/>
    <w:rsid w:val="00A52A4F"/>
    <w:rsid w:val="00A536A1"/>
    <w:rsid w:val="00A54577"/>
    <w:rsid w:val="00A54A43"/>
    <w:rsid w:val="00A5508E"/>
    <w:rsid w:val="00A55458"/>
    <w:rsid w:val="00A55A90"/>
    <w:rsid w:val="00A55CE0"/>
    <w:rsid w:val="00A56142"/>
    <w:rsid w:val="00A56258"/>
    <w:rsid w:val="00A564D4"/>
    <w:rsid w:val="00A56A63"/>
    <w:rsid w:val="00A57395"/>
    <w:rsid w:val="00A5753E"/>
    <w:rsid w:val="00A575E7"/>
    <w:rsid w:val="00A57E27"/>
    <w:rsid w:val="00A60106"/>
    <w:rsid w:val="00A60172"/>
    <w:rsid w:val="00A601F4"/>
    <w:rsid w:val="00A6033C"/>
    <w:rsid w:val="00A604A4"/>
    <w:rsid w:val="00A60591"/>
    <w:rsid w:val="00A60916"/>
    <w:rsid w:val="00A60BBD"/>
    <w:rsid w:val="00A60F11"/>
    <w:rsid w:val="00A60F95"/>
    <w:rsid w:val="00A60F9D"/>
    <w:rsid w:val="00A615E1"/>
    <w:rsid w:val="00A617CD"/>
    <w:rsid w:val="00A618AE"/>
    <w:rsid w:val="00A61D05"/>
    <w:rsid w:val="00A620B6"/>
    <w:rsid w:val="00A62216"/>
    <w:rsid w:val="00A62299"/>
    <w:rsid w:val="00A62CAE"/>
    <w:rsid w:val="00A6316C"/>
    <w:rsid w:val="00A6338F"/>
    <w:rsid w:val="00A63426"/>
    <w:rsid w:val="00A63AFD"/>
    <w:rsid w:val="00A6411E"/>
    <w:rsid w:val="00A6421D"/>
    <w:rsid w:val="00A64760"/>
    <w:rsid w:val="00A647C7"/>
    <w:rsid w:val="00A64A56"/>
    <w:rsid w:val="00A64C27"/>
    <w:rsid w:val="00A6503B"/>
    <w:rsid w:val="00A65317"/>
    <w:rsid w:val="00A659B2"/>
    <w:rsid w:val="00A66782"/>
    <w:rsid w:val="00A668AE"/>
    <w:rsid w:val="00A66A6C"/>
    <w:rsid w:val="00A66B4E"/>
    <w:rsid w:val="00A67142"/>
    <w:rsid w:val="00A67383"/>
    <w:rsid w:val="00A675E0"/>
    <w:rsid w:val="00A67857"/>
    <w:rsid w:val="00A67DCC"/>
    <w:rsid w:val="00A67EB1"/>
    <w:rsid w:val="00A70A4D"/>
    <w:rsid w:val="00A70FBF"/>
    <w:rsid w:val="00A7139B"/>
    <w:rsid w:val="00A71C38"/>
    <w:rsid w:val="00A71FB4"/>
    <w:rsid w:val="00A723B2"/>
    <w:rsid w:val="00A72553"/>
    <w:rsid w:val="00A728B1"/>
    <w:rsid w:val="00A73513"/>
    <w:rsid w:val="00A7385D"/>
    <w:rsid w:val="00A73B1C"/>
    <w:rsid w:val="00A73CE5"/>
    <w:rsid w:val="00A740AB"/>
    <w:rsid w:val="00A740D9"/>
    <w:rsid w:val="00A743B9"/>
    <w:rsid w:val="00A743CF"/>
    <w:rsid w:val="00A7475C"/>
    <w:rsid w:val="00A74801"/>
    <w:rsid w:val="00A74A47"/>
    <w:rsid w:val="00A75622"/>
    <w:rsid w:val="00A7566F"/>
    <w:rsid w:val="00A75D66"/>
    <w:rsid w:val="00A760EA"/>
    <w:rsid w:val="00A772BE"/>
    <w:rsid w:val="00A777F1"/>
    <w:rsid w:val="00A7793B"/>
    <w:rsid w:val="00A801C5"/>
    <w:rsid w:val="00A8072D"/>
    <w:rsid w:val="00A80E09"/>
    <w:rsid w:val="00A810CD"/>
    <w:rsid w:val="00A81A42"/>
    <w:rsid w:val="00A81B64"/>
    <w:rsid w:val="00A81F06"/>
    <w:rsid w:val="00A820CB"/>
    <w:rsid w:val="00A82296"/>
    <w:rsid w:val="00A8244F"/>
    <w:rsid w:val="00A82875"/>
    <w:rsid w:val="00A831C6"/>
    <w:rsid w:val="00A833BB"/>
    <w:rsid w:val="00A83411"/>
    <w:rsid w:val="00A836BC"/>
    <w:rsid w:val="00A83A87"/>
    <w:rsid w:val="00A843FB"/>
    <w:rsid w:val="00A84800"/>
    <w:rsid w:val="00A84B61"/>
    <w:rsid w:val="00A84ECA"/>
    <w:rsid w:val="00A84EEE"/>
    <w:rsid w:val="00A8502F"/>
    <w:rsid w:val="00A85141"/>
    <w:rsid w:val="00A8514D"/>
    <w:rsid w:val="00A8582A"/>
    <w:rsid w:val="00A85BFB"/>
    <w:rsid w:val="00A85C9B"/>
    <w:rsid w:val="00A860DB"/>
    <w:rsid w:val="00A8634B"/>
    <w:rsid w:val="00A86A4D"/>
    <w:rsid w:val="00A86D4C"/>
    <w:rsid w:val="00A86D88"/>
    <w:rsid w:val="00A878A5"/>
    <w:rsid w:val="00A878AC"/>
    <w:rsid w:val="00A900DC"/>
    <w:rsid w:val="00A9012A"/>
    <w:rsid w:val="00A901CC"/>
    <w:rsid w:val="00A90A9A"/>
    <w:rsid w:val="00A90BFD"/>
    <w:rsid w:val="00A916A9"/>
    <w:rsid w:val="00A91700"/>
    <w:rsid w:val="00A929B1"/>
    <w:rsid w:val="00A92A65"/>
    <w:rsid w:val="00A92BC5"/>
    <w:rsid w:val="00A92D5D"/>
    <w:rsid w:val="00A93900"/>
    <w:rsid w:val="00A93991"/>
    <w:rsid w:val="00A93B49"/>
    <w:rsid w:val="00A93DF6"/>
    <w:rsid w:val="00A94F3D"/>
    <w:rsid w:val="00A94FAE"/>
    <w:rsid w:val="00A95041"/>
    <w:rsid w:val="00A95ABD"/>
    <w:rsid w:val="00A95D28"/>
    <w:rsid w:val="00A95D69"/>
    <w:rsid w:val="00A95E8C"/>
    <w:rsid w:val="00A9603E"/>
    <w:rsid w:val="00A961F9"/>
    <w:rsid w:val="00A96BDF"/>
    <w:rsid w:val="00A96C32"/>
    <w:rsid w:val="00A96D89"/>
    <w:rsid w:val="00A9714A"/>
    <w:rsid w:val="00A97203"/>
    <w:rsid w:val="00A9723A"/>
    <w:rsid w:val="00A97889"/>
    <w:rsid w:val="00AA00E3"/>
    <w:rsid w:val="00AA0240"/>
    <w:rsid w:val="00AA067F"/>
    <w:rsid w:val="00AA0685"/>
    <w:rsid w:val="00AA0756"/>
    <w:rsid w:val="00AA0A39"/>
    <w:rsid w:val="00AA0DD1"/>
    <w:rsid w:val="00AA0EA2"/>
    <w:rsid w:val="00AA1638"/>
    <w:rsid w:val="00AA16BC"/>
    <w:rsid w:val="00AA1BA1"/>
    <w:rsid w:val="00AA2C12"/>
    <w:rsid w:val="00AA3103"/>
    <w:rsid w:val="00AA38CF"/>
    <w:rsid w:val="00AA3A0E"/>
    <w:rsid w:val="00AA4225"/>
    <w:rsid w:val="00AA427A"/>
    <w:rsid w:val="00AA4312"/>
    <w:rsid w:val="00AA4811"/>
    <w:rsid w:val="00AA4B98"/>
    <w:rsid w:val="00AA4ED6"/>
    <w:rsid w:val="00AA52CB"/>
    <w:rsid w:val="00AA566B"/>
    <w:rsid w:val="00AA5CB5"/>
    <w:rsid w:val="00AA6C05"/>
    <w:rsid w:val="00AA6CB6"/>
    <w:rsid w:val="00AA736A"/>
    <w:rsid w:val="00AA74ED"/>
    <w:rsid w:val="00AB04A3"/>
    <w:rsid w:val="00AB057D"/>
    <w:rsid w:val="00AB0F22"/>
    <w:rsid w:val="00AB0F51"/>
    <w:rsid w:val="00AB1500"/>
    <w:rsid w:val="00AB1701"/>
    <w:rsid w:val="00AB1944"/>
    <w:rsid w:val="00AB1BBF"/>
    <w:rsid w:val="00AB1BCC"/>
    <w:rsid w:val="00AB1CA8"/>
    <w:rsid w:val="00AB1EE5"/>
    <w:rsid w:val="00AB2316"/>
    <w:rsid w:val="00AB2863"/>
    <w:rsid w:val="00AB2A19"/>
    <w:rsid w:val="00AB2F09"/>
    <w:rsid w:val="00AB2F54"/>
    <w:rsid w:val="00AB302F"/>
    <w:rsid w:val="00AB3072"/>
    <w:rsid w:val="00AB3178"/>
    <w:rsid w:val="00AB3244"/>
    <w:rsid w:val="00AB3248"/>
    <w:rsid w:val="00AB37D4"/>
    <w:rsid w:val="00AB4588"/>
    <w:rsid w:val="00AB4AB2"/>
    <w:rsid w:val="00AB4B86"/>
    <w:rsid w:val="00AB4C14"/>
    <w:rsid w:val="00AB512B"/>
    <w:rsid w:val="00AB54D0"/>
    <w:rsid w:val="00AB5898"/>
    <w:rsid w:val="00AB58AB"/>
    <w:rsid w:val="00AB58F9"/>
    <w:rsid w:val="00AB5B8A"/>
    <w:rsid w:val="00AB6675"/>
    <w:rsid w:val="00AB669F"/>
    <w:rsid w:val="00AB674B"/>
    <w:rsid w:val="00AB6B5F"/>
    <w:rsid w:val="00AB6D42"/>
    <w:rsid w:val="00AB73F9"/>
    <w:rsid w:val="00AC07D0"/>
    <w:rsid w:val="00AC0885"/>
    <w:rsid w:val="00AC08D2"/>
    <w:rsid w:val="00AC09FB"/>
    <w:rsid w:val="00AC0ED2"/>
    <w:rsid w:val="00AC11C6"/>
    <w:rsid w:val="00AC179E"/>
    <w:rsid w:val="00AC1815"/>
    <w:rsid w:val="00AC1BEE"/>
    <w:rsid w:val="00AC20B3"/>
    <w:rsid w:val="00AC3078"/>
    <w:rsid w:val="00AC3B28"/>
    <w:rsid w:val="00AC413B"/>
    <w:rsid w:val="00AC4171"/>
    <w:rsid w:val="00AC41A8"/>
    <w:rsid w:val="00AC4493"/>
    <w:rsid w:val="00AC4617"/>
    <w:rsid w:val="00AC4BDA"/>
    <w:rsid w:val="00AC4C10"/>
    <w:rsid w:val="00AC562F"/>
    <w:rsid w:val="00AC5A06"/>
    <w:rsid w:val="00AC64AF"/>
    <w:rsid w:val="00AC6CA9"/>
    <w:rsid w:val="00AC6DAA"/>
    <w:rsid w:val="00AC78CF"/>
    <w:rsid w:val="00AD0469"/>
    <w:rsid w:val="00AD0919"/>
    <w:rsid w:val="00AD0C81"/>
    <w:rsid w:val="00AD0CF8"/>
    <w:rsid w:val="00AD0D26"/>
    <w:rsid w:val="00AD1611"/>
    <w:rsid w:val="00AD19D2"/>
    <w:rsid w:val="00AD1AC9"/>
    <w:rsid w:val="00AD1AF4"/>
    <w:rsid w:val="00AD200C"/>
    <w:rsid w:val="00AD2592"/>
    <w:rsid w:val="00AD2D2D"/>
    <w:rsid w:val="00AD2FD4"/>
    <w:rsid w:val="00AD33F5"/>
    <w:rsid w:val="00AD3638"/>
    <w:rsid w:val="00AD3A02"/>
    <w:rsid w:val="00AD4109"/>
    <w:rsid w:val="00AD45B1"/>
    <w:rsid w:val="00AD474C"/>
    <w:rsid w:val="00AD4CDC"/>
    <w:rsid w:val="00AD4DF1"/>
    <w:rsid w:val="00AD53C4"/>
    <w:rsid w:val="00AD6225"/>
    <w:rsid w:val="00AD63C0"/>
    <w:rsid w:val="00AD6592"/>
    <w:rsid w:val="00AD6B3F"/>
    <w:rsid w:val="00AD6BD1"/>
    <w:rsid w:val="00AD73FE"/>
    <w:rsid w:val="00AD75AF"/>
    <w:rsid w:val="00AD77A9"/>
    <w:rsid w:val="00AD787A"/>
    <w:rsid w:val="00AD78FB"/>
    <w:rsid w:val="00AD7BFB"/>
    <w:rsid w:val="00AD7C9B"/>
    <w:rsid w:val="00AD7CC2"/>
    <w:rsid w:val="00AE0930"/>
    <w:rsid w:val="00AE1481"/>
    <w:rsid w:val="00AE1639"/>
    <w:rsid w:val="00AE1784"/>
    <w:rsid w:val="00AE18D4"/>
    <w:rsid w:val="00AE1CB9"/>
    <w:rsid w:val="00AE1D10"/>
    <w:rsid w:val="00AE1EED"/>
    <w:rsid w:val="00AE29C7"/>
    <w:rsid w:val="00AE2EA0"/>
    <w:rsid w:val="00AE2FFC"/>
    <w:rsid w:val="00AE30B1"/>
    <w:rsid w:val="00AE3165"/>
    <w:rsid w:val="00AE3865"/>
    <w:rsid w:val="00AE3AC4"/>
    <w:rsid w:val="00AE3DC2"/>
    <w:rsid w:val="00AE3E27"/>
    <w:rsid w:val="00AE40E1"/>
    <w:rsid w:val="00AE41B0"/>
    <w:rsid w:val="00AE44FA"/>
    <w:rsid w:val="00AE45FB"/>
    <w:rsid w:val="00AE4898"/>
    <w:rsid w:val="00AE48BA"/>
    <w:rsid w:val="00AE4D95"/>
    <w:rsid w:val="00AE4DCF"/>
    <w:rsid w:val="00AE52F9"/>
    <w:rsid w:val="00AE5643"/>
    <w:rsid w:val="00AE5735"/>
    <w:rsid w:val="00AE600F"/>
    <w:rsid w:val="00AE6703"/>
    <w:rsid w:val="00AE6D20"/>
    <w:rsid w:val="00AE6E04"/>
    <w:rsid w:val="00AE6FB3"/>
    <w:rsid w:val="00AF0168"/>
    <w:rsid w:val="00AF0490"/>
    <w:rsid w:val="00AF04CE"/>
    <w:rsid w:val="00AF083E"/>
    <w:rsid w:val="00AF0A63"/>
    <w:rsid w:val="00AF0B41"/>
    <w:rsid w:val="00AF13DC"/>
    <w:rsid w:val="00AF1401"/>
    <w:rsid w:val="00AF19CE"/>
    <w:rsid w:val="00AF1D7E"/>
    <w:rsid w:val="00AF26BA"/>
    <w:rsid w:val="00AF2A18"/>
    <w:rsid w:val="00AF2A98"/>
    <w:rsid w:val="00AF2EA4"/>
    <w:rsid w:val="00AF30B8"/>
    <w:rsid w:val="00AF38E6"/>
    <w:rsid w:val="00AF4983"/>
    <w:rsid w:val="00AF4B67"/>
    <w:rsid w:val="00AF540C"/>
    <w:rsid w:val="00AF54D9"/>
    <w:rsid w:val="00AF57B3"/>
    <w:rsid w:val="00AF5B40"/>
    <w:rsid w:val="00AF622E"/>
    <w:rsid w:val="00AF63C9"/>
    <w:rsid w:val="00AF64A5"/>
    <w:rsid w:val="00AF6BBB"/>
    <w:rsid w:val="00AF6C01"/>
    <w:rsid w:val="00AF6F3C"/>
    <w:rsid w:val="00AF7142"/>
    <w:rsid w:val="00AF7C24"/>
    <w:rsid w:val="00AF7E8E"/>
    <w:rsid w:val="00B015BD"/>
    <w:rsid w:val="00B01C1E"/>
    <w:rsid w:val="00B01F42"/>
    <w:rsid w:val="00B02B9D"/>
    <w:rsid w:val="00B03706"/>
    <w:rsid w:val="00B03D74"/>
    <w:rsid w:val="00B04136"/>
    <w:rsid w:val="00B046EB"/>
    <w:rsid w:val="00B04928"/>
    <w:rsid w:val="00B04A1F"/>
    <w:rsid w:val="00B04BE0"/>
    <w:rsid w:val="00B04E14"/>
    <w:rsid w:val="00B04E3B"/>
    <w:rsid w:val="00B053D9"/>
    <w:rsid w:val="00B0566F"/>
    <w:rsid w:val="00B0598D"/>
    <w:rsid w:val="00B05A52"/>
    <w:rsid w:val="00B05B50"/>
    <w:rsid w:val="00B05B5B"/>
    <w:rsid w:val="00B06BB8"/>
    <w:rsid w:val="00B06E08"/>
    <w:rsid w:val="00B0759C"/>
    <w:rsid w:val="00B0772D"/>
    <w:rsid w:val="00B07C65"/>
    <w:rsid w:val="00B10213"/>
    <w:rsid w:val="00B107DC"/>
    <w:rsid w:val="00B10E3D"/>
    <w:rsid w:val="00B1105B"/>
    <w:rsid w:val="00B11121"/>
    <w:rsid w:val="00B1173C"/>
    <w:rsid w:val="00B12356"/>
    <w:rsid w:val="00B12498"/>
    <w:rsid w:val="00B1279F"/>
    <w:rsid w:val="00B12879"/>
    <w:rsid w:val="00B12907"/>
    <w:rsid w:val="00B12A3B"/>
    <w:rsid w:val="00B12D5D"/>
    <w:rsid w:val="00B13467"/>
    <w:rsid w:val="00B1375E"/>
    <w:rsid w:val="00B13848"/>
    <w:rsid w:val="00B13D97"/>
    <w:rsid w:val="00B141AC"/>
    <w:rsid w:val="00B14765"/>
    <w:rsid w:val="00B14965"/>
    <w:rsid w:val="00B15100"/>
    <w:rsid w:val="00B1510B"/>
    <w:rsid w:val="00B1537E"/>
    <w:rsid w:val="00B15575"/>
    <w:rsid w:val="00B1640D"/>
    <w:rsid w:val="00B16600"/>
    <w:rsid w:val="00B16D6A"/>
    <w:rsid w:val="00B174EA"/>
    <w:rsid w:val="00B17C77"/>
    <w:rsid w:val="00B200A2"/>
    <w:rsid w:val="00B201F8"/>
    <w:rsid w:val="00B2052C"/>
    <w:rsid w:val="00B20B34"/>
    <w:rsid w:val="00B214C3"/>
    <w:rsid w:val="00B21768"/>
    <w:rsid w:val="00B21ED1"/>
    <w:rsid w:val="00B21FD5"/>
    <w:rsid w:val="00B23002"/>
    <w:rsid w:val="00B2341A"/>
    <w:rsid w:val="00B234BC"/>
    <w:rsid w:val="00B2361F"/>
    <w:rsid w:val="00B238E1"/>
    <w:rsid w:val="00B23E6A"/>
    <w:rsid w:val="00B24056"/>
    <w:rsid w:val="00B24A17"/>
    <w:rsid w:val="00B24B27"/>
    <w:rsid w:val="00B2562F"/>
    <w:rsid w:val="00B25ABC"/>
    <w:rsid w:val="00B26397"/>
    <w:rsid w:val="00B266E8"/>
    <w:rsid w:val="00B26DEA"/>
    <w:rsid w:val="00B275AC"/>
    <w:rsid w:val="00B27638"/>
    <w:rsid w:val="00B27734"/>
    <w:rsid w:val="00B277D5"/>
    <w:rsid w:val="00B279EA"/>
    <w:rsid w:val="00B302B7"/>
    <w:rsid w:val="00B303D5"/>
    <w:rsid w:val="00B31307"/>
    <w:rsid w:val="00B3137C"/>
    <w:rsid w:val="00B31A95"/>
    <w:rsid w:val="00B31E45"/>
    <w:rsid w:val="00B3293B"/>
    <w:rsid w:val="00B32E63"/>
    <w:rsid w:val="00B331A2"/>
    <w:rsid w:val="00B334A1"/>
    <w:rsid w:val="00B337A8"/>
    <w:rsid w:val="00B33B04"/>
    <w:rsid w:val="00B33BAD"/>
    <w:rsid w:val="00B33C34"/>
    <w:rsid w:val="00B33EFD"/>
    <w:rsid w:val="00B34004"/>
    <w:rsid w:val="00B3436E"/>
    <w:rsid w:val="00B34999"/>
    <w:rsid w:val="00B34FE4"/>
    <w:rsid w:val="00B359DF"/>
    <w:rsid w:val="00B35B8D"/>
    <w:rsid w:val="00B35BC9"/>
    <w:rsid w:val="00B35E0D"/>
    <w:rsid w:val="00B35FDF"/>
    <w:rsid w:val="00B365F9"/>
    <w:rsid w:val="00B36629"/>
    <w:rsid w:val="00B37667"/>
    <w:rsid w:val="00B37A0F"/>
    <w:rsid w:val="00B40464"/>
    <w:rsid w:val="00B40829"/>
    <w:rsid w:val="00B40D37"/>
    <w:rsid w:val="00B40F2A"/>
    <w:rsid w:val="00B416E5"/>
    <w:rsid w:val="00B420A2"/>
    <w:rsid w:val="00B42612"/>
    <w:rsid w:val="00B429D5"/>
    <w:rsid w:val="00B43304"/>
    <w:rsid w:val="00B44006"/>
    <w:rsid w:val="00B44059"/>
    <w:rsid w:val="00B44516"/>
    <w:rsid w:val="00B44609"/>
    <w:rsid w:val="00B44736"/>
    <w:rsid w:val="00B44BFF"/>
    <w:rsid w:val="00B44FAF"/>
    <w:rsid w:val="00B451F4"/>
    <w:rsid w:val="00B453F3"/>
    <w:rsid w:val="00B45407"/>
    <w:rsid w:val="00B45ED2"/>
    <w:rsid w:val="00B46631"/>
    <w:rsid w:val="00B46838"/>
    <w:rsid w:val="00B46CDF"/>
    <w:rsid w:val="00B46D4F"/>
    <w:rsid w:val="00B46E85"/>
    <w:rsid w:val="00B46E9F"/>
    <w:rsid w:val="00B47204"/>
    <w:rsid w:val="00B47358"/>
    <w:rsid w:val="00B4758A"/>
    <w:rsid w:val="00B475C7"/>
    <w:rsid w:val="00B4786F"/>
    <w:rsid w:val="00B47DC2"/>
    <w:rsid w:val="00B4AEA4"/>
    <w:rsid w:val="00B50729"/>
    <w:rsid w:val="00B50767"/>
    <w:rsid w:val="00B5088D"/>
    <w:rsid w:val="00B50A3A"/>
    <w:rsid w:val="00B50CD2"/>
    <w:rsid w:val="00B513A0"/>
    <w:rsid w:val="00B516B5"/>
    <w:rsid w:val="00B51C44"/>
    <w:rsid w:val="00B51E01"/>
    <w:rsid w:val="00B5251D"/>
    <w:rsid w:val="00B52967"/>
    <w:rsid w:val="00B52A57"/>
    <w:rsid w:val="00B52F81"/>
    <w:rsid w:val="00B532A5"/>
    <w:rsid w:val="00B532DB"/>
    <w:rsid w:val="00B534B4"/>
    <w:rsid w:val="00B536A8"/>
    <w:rsid w:val="00B538A9"/>
    <w:rsid w:val="00B53C87"/>
    <w:rsid w:val="00B53CEB"/>
    <w:rsid w:val="00B541AA"/>
    <w:rsid w:val="00B542D3"/>
    <w:rsid w:val="00B544A0"/>
    <w:rsid w:val="00B54524"/>
    <w:rsid w:val="00B545CC"/>
    <w:rsid w:val="00B54780"/>
    <w:rsid w:val="00B54794"/>
    <w:rsid w:val="00B54AF6"/>
    <w:rsid w:val="00B54B79"/>
    <w:rsid w:val="00B55289"/>
    <w:rsid w:val="00B55673"/>
    <w:rsid w:val="00B55717"/>
    <w:rsid w:val="00B55D9B"/>
    <w:rsid w:val="00B55ECA"/>
    <w:rsid w:val="00B56053"/>
    <w:rsid w:val="00B56524"/>
    <w:rsid w:val="00B56552"/>
    <w:rsid w:val="00B56980"/>
    <w:rsid w:val="00B56CF2"/>
    <w:rsid w:val="00B56F24"/>
    <w:rsid w:val="00B60428"/>
    <w:rsid w:val="00B6057B"/>
    <w:rsid w:val="00B60853"/>
    <w:rsid w:val="00B60BCA"/>
    <w:rsid w:val="00B60C03"/>
    <w:rsid w:val="00B6112D"/>
    <w:rsid w:val="00B61468"/>
    <w:rsid w:val="00B61B1B"/>
    <w:rsid w:val="00B61C58"/>
    <w:rsid w:val="00B61DC3"/>
    <w:rsid w:val="00B62211"/>
    <w:rsid w:val="00B6225B"/>
    <w:rsid w:val="00B624E7"/>
    <w:rsid w:val="00B62B08"/>
    <w:rsid w:val="00B630AD"/>
    <w:rsid w:val="00B6326D"/>
    <w:rsid w:val="00B636F3"/>
    <w:rsid w:val="00B639A9"/>
    <w:rsid w:val="00B63BEC"/>
    <w:rsid w:val="00B640B6"/>
    <w:rsid w:val="00B6478B"/>
    <w:rsid w:val="00B64AE1"/>
    <w:rsid w:val="00B64DB6"/>
    <w:rsid w:val="00B6507D"/>
    <w:rsid w:val="00B66166"/>
    <w:rsid w:val="00B66361"/>
    <w:rsid w:val="00B66582"/>
    <w:rsid w:val="00B6693B"/>
    <w:rsid w:val="00B671D8"/>
    <w:rsid w:val="00B676BA"/>
    <w:rsid w:val="00B67A8D"/>
    <w:rsid w:val="00B67CFA"/>
    <w:rsid w:val="00B67D9B"/>
    <w:rsid w:val="00B67DD4"/>
    <w:rsid w:val="00B7001D"/>
    <w:rsid w:val="00B70251"/>
    <w:rsid w:val="00B7097D"/>
    <w:rsid w:val="00B71174"/>
    <w:rsid w:val="00B71B18"/>
    <w:rsid w:val="00B71BCC"/>
    <w:rsid w:val="00B72167"/>
    <w:rsid w:val="00B72A6C"/>
    <w:rsid w:val="00B72B74"/>
    <w:rsid w:val="00B72CBF"/>
    <w:rsid w:val="00B73222"/>
    <w:rsid w:val="00B732D6"/>
    <w:rsid w:val="00B73316"/>
    <w:rsid w:val="00B73650"/>
    <w:rsid w:val="00B738E2"/>
    <w:rsid w:val="00B73AB9"/>
    <w:rsid w:val="00B73EE9"/>
    <w:rsid w:val="00B7411E"/>
    <w:rsid w:val="00B747EF"/>
    <w:rsid w:val="00B74A25"/>
    <w:rsid w:val="00B75186"/>
    <w:rsid w:val="00B75566"/>
    <w:rsid w:val="00B75C13"/>
    <w:rsid w:val="00B75EC5"/>
    <w:rsid w:val="00B76428"/>
    <w:rsid w:val="00B7654D"/>
    <w:rsid w:val="00B76E35"/>
    <w:rsid w:val="00B76F7B"/>
    <w:rsid w:val="00B7716C"/>
    <w:rsid w:val="00B7770D"/>
    <w:rsid w:val="00B778D5"/>
    <w:rsid w:val="00B77D9A"/>
    <w:rsid w:val="00B77DB5"/>
    <w:rsid w:val="00B8071F"/>
    <w:rsid w:val="00B80771"/>
    <w:rsid w:val="00B8090C"/>
    <w:rsid w:val="00B80C9D"/>
    <w:rsid w:val="00B8125A"/>
    <w:rsid w:val="00B817ED"/>
    <w:rsid w:val="00B8198D"/>
    <w:rsid w:val="00B81C38"/>
    <w:rsid w:val="00B81C9E"/>
    <w:rsid w:val="00B82313"/>
    <w:rsid w:val="00B82778"/>
    <w:rsid w:val="00B82D97"/>
    <w:rsid w:val="00B833F4"/>
    <w:rsid w:val="00B8365C"/>
    <w:rsid w:val="00B838D9"/>
    <w:rsid w:val="00B8428C"/>
    <w:rsid w:val="00B844B2"/>
    <w:rsid w:val="00B847AE"/>
    <w:rsid w:val="00B8537D"/>
    <w:rsid w:val="00B8555D"/>
    <w:rsid w:val="00B858E8"/>
    <w:rsid w:val="00B8592F"/>
    <w:rsid w:val="00B85A84"/>
    <w:rsid w:val="00B85C0B"/>
    <w:rsid w:val="00B86171"/>
    <w:rsid w:val="00B87294"/>
    <w:rsid w:val="00B875D5"/>
    <w:rsid w:val="00B879CA"/>
    <w:rsid w:val="00B87A3B"/>
    <w:rsid w:val="00B87D81"/>
    <w:rsid w:val="00B90073"/>
    <w:rsid w:val="00B90220"/>
    <w:rsid w:val="00B904D2"/>
    <w:rsid w:val="00B90812"/>
    <w:rsid w:val="00B909C3"/>
    <w:rsid w:val="00B909EF"/>
    <w:rsid w:val="00B90C1D"/>
    <w:rsid w:val="00B90C2D"/>
    <w:rsid w:val="00B913E2"/>
    <w:rsid w:val="00B913E7"/>
    <w:rsid w:val="00B91D9F"/>
    <w:rsid w:val="00B922CB"/>
    <w:rsid w:val="00B92E0E"/>
    <w:rsid w:val="00B93AC7"/>
    <w:rsid w:val="00B93DD6"/>
    <w:rsid w:val="00B94111"/>
    <w:rsid w:val="00B94174"/>
    <w:rsid w:val="00B943CF"/>
    <w:rsid w:val="00B94687"/>
    <w:rsid w:val="00B9492A"/>
    <w:rsid w:val="00B949D3"/>
    <w:rsid w:val="00B94CC2"/>
    <w:rsid w:val="00B951F0"/>
    <w:rsid w:val="00B95299"/>
    <w:rsid w:val="00B9563D"/>
    <w:rsid w:val="00B956E7"/>
    <w:rsid w:val="00B95FED"/>
    <w:rsid w:val="00B960F3"/>
    <w:rsid w:val="00B961FC"/>
    <w:rsid w:val="00B966AF"/>
    <w:rsid w:val="00B967D0"/>
    <w:rsid w:val="00B96864"/>
    <w:rsid w:val="00B96AD8"/>
    <w:rsid w:val="00B96D36"/>
    <w:rsid w:val="00B972FF"/>
    <w:rsid w:val="00BA001B"/>
    <w:rsid w:val="00BA010D"/>
    <w:rsid w:val="00BA0111"/>
    <w:rsid w:val="00BA0331"/>
    <w:rsid w:val="00BA0691"/>
    <w:rsid w:val="00BA16CD"/>
    <w:rsid w:val="00BA18C9"/>
    <w:rsid w:val="00BA18F6"/>
    <w:rsid w:val="00BA1901"/>
    <w:rsid w:val="00BA2024"/>
    <w:rsid w:val="00BA240E"/>
    <w:rsid w:val="00BA276C"/>
    <w:rsid w:val="00BA29C9"/>
    <w:rsid w:val="00BA2B8B"/>
    <w:rsid w:val="00BA2E4D"/>
    <w:rsid w:val="00BA325B"/>
    <w:rsid w:val="00BA39E3"/>
    <w:rsid w:val="00BA3D02"/>
    <w:rsid w:val="00BA44CF"/>
    <w:rsid w:val="00BA4524"/>
    <w:rsid w:val="00BA4759"/>
    <w:rsid w:val="00BA4812"/>
    <w:rsid w:val="00BA4853"/>
    <w:rsid w:val="00BA4CDF"/>
    <w:rsid w:val="00BA4EC2"/>
    <w:rsid w:val="00BA5068"/>
    <w:rsid w:val="00BA555E"/>
    <w:rsid w:val="00BA64C2"/>
    <w:rsid w:val="00BA654B"/>
    <w:rsid w:val="00BA6C7A"/>
    <w:rsid w:val="00BA6E00"/>
    <w:rsid w:val="00BA70AE"/>
    <w:rsid w:val="00BA7116"/>
    <w:rsid w:val="00BA7120"/>
    <w:rsid w:val="00BA715B"/>
    <w:rsid w:val="00BA7436"/>
    <w:rsid w:val="00BA7635"/>
    <w:rsid w:val="00BA7714"/>
    <w:rsid w:val="00BA7CC6"/>
    <w:rsid w:val="00BB00A8"/>
    <w:rsid w:val="00BB02C8"/>
    <w:rsid w:val="00BB087B"/>
    <w:rsid w:val="00BB0F44"/>
    <w:rsid w:val="00BB1693"/>
    <w:rsid w:val="00BB1995"/>
    <w:rsid w:val="00BB1A2A"/>
    <w:rsid w:val="00BB1B4F"/>
    <w:rsid w:val="00BB1B88"/>
    <w:rsid w:val="00BB1B8C"/>
    <w:rsid w:val="00BB1E51"/>
    <w:rsid w:val="00BB2525"/>
    <w:rsid w:val="00BB256F"/>
    <w:rsid w:val="00BB2A87"/>
    <w:rsid w:val="00BB30B9"/>
    <w:rsid w:val="00BB364C"/>
    <w:rsid w:val="00BB3D0A"/>
    <w:rsid w:val="00BB422C"/>
    <w:rsid w:val="00BB46F5"/>
    <w:rsid w:val="00BB53AF"/>
    <w:rsid w:val="00BB53D5"/>
    <w:rsid w:val="00BB5444"/>
    <w:rsid w:val="00BB5565"/>
    <w:rsid w:val="00BB5B01"/>
    <w:rsid w:val="00BB5B3E"/>
    <w:rsid w:val="00BB5E29"/>
    <w:rsid w:val="00BB5EEB"/>
    <w:rsid w:val="00BB5F14"/>
    <w:rsid w:val="00BB633E"/>
    <w:rsid w:val="00BB64A8"/>
    <w:rsid w:val="00BB6D9D"/>
    <w:rsid w:val="00BB7511"/>
    <w:rsid w:val="00BB774B"/>
    <w:rsid w:val="00BB7A1F"/>
    <w:rsid w:val="00BB7EFF"/>
    <w:rsid w:val="00BB7F2C"/>
    <w:rsid w:val="00BC0DF8"/>
    <w:rsid w:val="00BC0E5F"/>
    <w:rsid w:val="00BC0F0D"/>
    <w:rsid w:val="00BC10CC"/>
    <w:rsid w:val="00BC15EF"/>
    <w:rsid w:val="00BC174A"/>
    <w:rsid w:val="00BC27A9"/>
    <w:rsid w:val="00BC2D0A"/>
    <w:rsid w:val="00BC34FE"/>
    <w:rsid w:val="00BC3739"/>
    <w:rsid w:val="00BC4570"/>
    <w:rsid w:val="00BC47FA"/>
    <w:rsid w:val="00BC48EB"/>
    <w:rsid w:val="00BC4BD4"/>
    <w:rsid w:val="00BC4C98"/>
    <w:rsid w:val="00BC5248"/>
    <w:rsid w:val="00BC57D0"/>
    <w:rsid w:val="00BC598B"/>
    <w:rsid w:val="00BC5B5F"/>
    <w:rsid w:val="00BC64E0"/>
    <w:rsid w:val="00BC665B"/>
    <w:rsid w:val="00BC68CC"/>
    <w:rsid w:val="00BC6974"/>
    <w:rsid w:val="00BC7744"/>
    <w:rsid w:val="00BC78F5"/>
    <w:rsid w:val="00BC7B39"/>
    <w:rsid w:val="00BC7FEF"/>
    <w:rsid w:val="00BD00D7"/>
    <w:rsid w:val="00BD033F"/>
    <w:rsid w:val="00BD0460"/>
    <w:rsid w:val="00BD0569"/>
    <w:rsid w:val="00BD07C5"/>
    <w:rsid w:val="00BD0AD5"/>
    <w:rsid w:val="00BD10ED"/>
    <w:rsid w:val="00BD1246"/>
    <w:rsid w:val="00BD1421"/>
    <w:rsid w:val="00BD27FE"/>
    <w:rsid w:val="00BD394C"/>
    <w:rsid w:val="00BD3ACC"/>
    <w:rsid w:val="00BD3D87"/>
    <w:rsid w:val="00BD3FEB"/>
    <w:rsid w:val="00BD41C1"/>
    <w:rsid w:val="00BD4366"/>
    <w:rsid w:val="00BD469E"/>
    <w:rsid w:val="00BD4B6E"/>
    <w:rsid w:val="00BD4C2C"/>
    <w:rsid w:val="00BD5703"/>
    <w:rsid w:val="00BD5ACA"/>
    <w:rsid w:val="00BD5C79"/>
    <w:rsid w:val="00BD6488"/>
    <w:rsid w:val="00BD69AF"/>
    <w:rsid w:val="00BD6FF9"/>
    <w:rsid w:val="00BD766B"/>
    <w:rsid w:val="00BD7695"/>
    <w:rsid w:val="00BD7721"/>
    <w:rsid w:val="00BD7952"/>
    <w:rsid w:val="00BD7AAE"/>
    <w:rsid w:val="00BE0115"/>
    <w:rsid w:val="00BE08BC"/>
    <w:rsid w:val="00BE0CCC"/>
    <w:rsid w:val="00BE0FFD"/>
    <w:rsid w:val="00BE1277"/>
    <w:rsid w:val="00BE20FA"/>
    <w:rsid w:val="00BE2965"/>
    <w:rsid w:val="00BE2A46"/>
    <w:rsid w:val="00BE2DFF"/>
    <w:rsid w:val="00BE2EDA"/>
    <w:rsid w:val="00BE30A0"/>
    <w:rsid w:val="00BE37DF"/>
    <w:rsid w:val="00BE396B"/>
    <w:rsid w:val="00BE3F09"/>
    <w:rsid w:val="00BE4093"/>
    <w:rsid w:val="00BE4587"/>
    <w:rsid w:val="00BE486C"/>
    <w:rsid w:val="00BE49AD"/>
    <w:rsid w:val="00BE4F3B"/>
    <w:rsid w:val="00BE4F98"/>
    <w:rsid w:val="00BE5400"/>
    <w:rsid w:val="00BE5781"/>
    <w:rsid w:val="00BE57B7"/>
    <w:rsid w:val="00BE5CBC"/>
    <w:rsid w:val="00BE62D2"/>
    <w:rsid w:val="00BE6700"/>
    <w:rsid w:val="00BE68F3"/>
    <w:rsid w:val="00BE6A7F"/>
    <w:rsid w:val="00BE6AC1"/>
    <w:rsid w:val="00BE6F64"/>
    <w:rsid w:val="00BE71C0"/>
    <w:rsid w:val="00BE7642"/>
    <w:rsid w:val="00BE7A37"/>
    <w:rsid w:val="00BE7FAE"/>
    <w:rsid w:val="00BF0361"/>
    <w:rsid w:val="00BF0452"/>
    <w:rsid w:val="00BF0577"/>
    <w:rsid w:val="00BF0878"/>
    <w:rsid w:val="00BF0E8D"/>
    <w:rsid w:val="00BF0F9C"/>
    <w:rsid w:val="00BF1778"/>
    <w:rsid w:val="00BF1935"/>
    <w:rsid w:val="00BF1A23"/>
    <w:rsid w:val="00BF1D8B"/>
    <w:rsid w:val="00BF1F62"/>
    <w:rsid w:val="00BF1F85"/>
    <w:rsid w:val="00BF22EC"/>
    <w:rsid w:val="00BF2BAA"/>
    <w:rsid w:val="00BF2BCF"/>
    <w:rsid w:val="00BF2C1E"/>
    <w:rsid w:val="00BF385C"/>
    <w:rsid w:val="00BF3925"/>
    <w:rsid w:val="00BF3A3C"/>
    <w:rsid w:val="00BF3EDE"/>
    <w:rsid w:val="00BF3F93"/>
    <w:rsid w:val="00BF4146"/>
    <w:rsid w:val="00BF458A"/>
    <w:rsid w:val="00BF6580"/>
    <w:rsid w:val="00BF666D"/>
    <w:rsid w:val="00BF6684"/>
    <w:rsid w:val="00BF6A53"/>
    <w:rsid w:val="00BF6D00"/>
    <w:rsid w:val="00BF7628"/>
    <w:rsid w:val="00BF79B6"/>
    <w:rsid w:val="00BF7CB4"/>
    <w:rsid w:val="00C00318"/>
    <w:rsid w:val="00C00BC5"/>
    <w:rsid w:val="00C0131D"/>
    <w:rsid w:val="00C01854"/>
    <w:rsid w:val="00C0189B"/>
    <w:rsid w:val="00C02BA9"/>
    <w:rsid w:val="00C03168"/>
    <w:rsid w:val="00C03599"/>
    <w:rsid w:val="00C03683"/>
    <w:rsid w:val="00C037B6"/>
    <w:rsid w:val="00C0395B"/>
    <w:rsid w:val="00C0399C"/>
    <w:rsid w:val="00C03D72"/>
    <w:rsid w:val="00C03E70"/>
    <w:rsid w:val="00C04207"/>
    <w:rsid w:val="00C045BD"/>
    <w:rsid w:val="00C045E6"/>
    <w:rsid w:val="00C0478D"/>
    <w:rsid w:val="00C05B9B"/>
    <w:rsid w:val="00C05CE3"/>
    <w:rsid w:val="00C06027"/>
    <w:rsid w:val="00C062AA"/>
    <w:rsid w:val="00C06720"/>
    <w:rsid w:val="00C07185"/>
    <w:rsid w:val="00C07325"/>
    <w:rsid w:val="00C1056C"/>
    <w:rsid w:val="00C1099B"/>
    <w:rsid w:val="00C1112C"/>
    <w:rsid w:val="00C1163C"/>
    <w:rsid w:val="00C116FA"/>
    <w:rsid w:val="00C11843"/>
    <w:rsid w:val="00C1186A"/>
    <w:rsid w:val="00C118C1"/>
    <w:rsid w:val="00C118DE"/>
    <w:rsid w:val="00C11DFE"/>
    <w:rsid w:val="00C11F1A"/>
    <w:rsid w:val="00C1236B"/>
    <w:rsid w:val="00C12C41"/>
    <w:rsid w:val="00C1345D"/>
    <w:rsid w:val="00C1387C"/>
    <w:rsid w:val="00C14D75"/>
    <w:rsid w:val="00C150A8"/>
    <w:rsid w:val="00C15765"/>
    <w:rsid w:val="00C157AC"/>
    <w:rsid w:val="00C160FD"/>
    <w:rsid w:val="00C162AC"/>
    <w:rsid w:val="00C16356"/>
    <w:rsid w:val="00C16583"/>
    <w:rsid w:val="00C16D9F"/>
    <w:rsid w:val="00C175C4"/>
    <w:rsid w:val="00C17E61"/>
    <w:rsid w:val="00C204BC"/>
    <w:rsid w:val="00C20964"/>
    <w:rsid w:val="00C20BEF"/>
    <w:rsid w:val="00C20C3A"/>
    <w:rsid w:val="00C20F45"/>
    <w:rsid w:val="00C21427"/>
    <w:rsid w:val="00C2194B"/>
    <w:rsid w:val="00C21EA1"/>
    <w:rsid w:val="00C220E2"/>
    <w:rsid w:val="00C223AA"/>
    <w:rsid w:val="00C226D5"/>
    <w:rsid w:val="00C22A89"/>
    <w:rsid w:val="00C22BC3"/>
    <w:rsid w:val="00C22FCB"/>
    <w:rsid w:val="00C2384F"/>
    <w:rsid w:val="00C23850"/>
    <w:rsid w:val="00C239E0"/>
    <w:rsid w:val="00C23A4F"/>
    <w:rsid w:val="00C241CB"/>
    <w:rsid w:val="00C246DF"/>
    <w:rsid w:val="00C24BD5"/>
    <w:rsid w:val="00C24FCA"/>
    <w:rsid w:val="00C254BD"/>
    <w:rsid w:val="00C259E2"/>
    <w:rsid w:val="00C25B5E"/>
    <w:rsid w:val="00C25CD6"/>
    <w:rsid w:val="00C26089"/>
    <w:rsid w:val="00C26AD1"/>
    <w:rsid w:val="00C26F51"/>
    <w:rsid w:val="00C277CC"/>
    <w:rsid w:val="00C27FFB"/>
    <w:rsid w:val="00C3013E"/>
    <w:rsid w:val="00C301F0"/>
    <w:rsid w:val="00C30700"/>
    <w:rsid w:val="00C314C8"/>
    <w:rsid w:val="00C31A8F"/>
    <w:rsid w:val="00C32552"/>
    <w:rsid w:val="00C327C0"/>
    <w:rsid w:val="00C328D6"/>
    <w:rsid w:val="00C3373A"/>
    <w:rsid w:val="00C33CE0"/>
    <w:rsid w:val="00C33DAF"/>
    <w:rsid w:val="00C340BD"/>
    <w:rsid w:val="00C342BE"/>
    <w:rsid w:val="00C34713"/>
    <w:rsid w:val="00C34C1A"/>
    <w:rsid w:val="00C34DAF"/>
    <w:rsid w:val="00C34E66"/>
    <w:rsid w:val="00C34FF0"/>
    <w:rsid w:val="00C3516C"/>
    <w:rsid w:val="00C354F0"/>
    <w:rsid w:val="00C356D4"/>
    <w:rsid w:val="00C35CE8"/>
    <w:rsid w:val="00C362F8"/>
    <w:rsid w:val="00C36903"/>
    <w:rsid w:val="00C36FFA"/>
    <w:rsid w:val="00C375CA"/>
    <w:rsid w:val="00C37A69"/>
    <w:rsid w:val="00C407F0"/>
    <w:rsid w:val="00C40994"/>
    <w:rsid w:val="00C40E20"/>
    <w:rsid w:val="00C41436"/>
    <w:rsid w:val="00C4151B"/>
    <w:rsid w:val="00C418A1"/>
    <w:rsid w:val="00C41A9B"/>
    <w:rsid w:val="00C41EF0"/>
    <w:rsid w:val="00C4200F"/>
    <w:rsid w:val="00C420B2"/>
    <w:rsid w:val="00C4229E"/>
    <w:rsid w:val="00C42B3E"/>
    <w:rsid w:val="00C44575"/>
    <w:rsid w:val="00C446A9"/>
    <w:rsid w:val="00C4494D"/>
    <w:rsid w:val="00C44CF2"/>
    <w:rsid w:val="00C4600D"/>
    <w:rsid w:val="00C46A28"/>
    <w:rsid w:val="00C46F1B"/>
    <w:rsid w:val="00C46FEB"/>
    <w:rsid w:val="00C47077"/>
    <w:rsid w:val="00C473AE"/>
    <w:rsid w:val="00C47D94"/>
    <w:rsid w:val="00C501A4"/>
    <w:rsid w:val="00C5067A"/>
    <w:rsid w:val="00C514B2"/>
    <w:rsid w:val="00C51CE1"/>
    <w:rsid w:val="00C52104"/>
    <w:rsid w:val="00C52555"/>
    <w:rsid w:val="00C5322D"/>
    <w:rsid w:val="00C53361"/>
    <w:rsid w:val="00C5337E"/>
    <w:rsid w:val="00C533BC"/>
    <w:rsid w:val="00C53738"/>
    <w:rsid w:val="00C53CB9"/>
    <w:rsid w:val="00C5427D"/>
    <w:rsid w:val="00C542BF"/>
    <w:rsid w:val="00C543A3"/>
    <w:rsid w:val="00C553B8"/>
    <w:rsid w:val="00C5556E"/>
    <w:rsid w:val="00C557C2"/>
    <w:rsid w:val="00C55B22"/>
    <w:rsid w:val="00C55EE1"/>
    <w:rsid w:val="00C56206"/>
    <w:rsid w:val="00C5637D"/>
    <w:rsid w:val="00C57ADC"/>
    <w:rsid w:val="00C57F78"/>
    <w:rsid w:val="00C60327"/>
    <w:rsid w:val="00C603E7"/>
    <w:rsid w:val="00C603F3"/>
    <w:rsid w:val="00C60B80"/>
    <w:rsid w:val="00C60D82"/>
    <w:rsid w:val="00C60EC3"/>
    <w:rsid w:val="00C6161D"/>
    <w:rsid w:val="00C617DF"/>
    <w:rsid w:val="00C62448"/>
    <w:rsid w:val="00C62588"/>
    <w:rsid w:val="00C62967"/>
    <w:rsid w:val="00C63016"/>
    <w:rsid w:val="00C63249"/>
    <w:rsid w:val="00C632F9"/>
    <w:rsid w:val="00C63628"/>
    <w:rsid w:val="00C64924"/>
    <w:rsid w:val="00C64C8F"/>
    <w:rsid w:val="00C64DD7"/>
    <w:rsid w:val="00C659DE"/>
    <w:rsid w:val="00C65A49"/>
    <w:rsid w:val="00C662E0"/>
    <w:rsid w:val="00C6665A"/>
    <w:rsid w:val="00C66B25"/>
    <w:rsid w:val="00C66DC3"/>
    <w:rsid w:val="00C6727B"/>
    <w:rsid w:val="00C67427"/>
    <w:rsid w:val="00C67439"/>
    <w:rsid w:val="00C676B9"/>
    <w:rsid w:val="00C67C1F"/>
    <w:rsid w:val="00C67CD8"/>
    <w:rsid w:val="00C67F37"/>
    <w:rsid w:val="00C7035C"/>
    <w:rsid w:val="00C705AE"/>
    <w:rsid w:val="00C70AE8"/>
    <w:rsid w:val="00C71373"/>
    <w:rsid w:val="00C7140E"/>
    <w:rsid w:val="00C7150B"/>
    <w:rsid w:val="00C71B53"/>
    <w:rsid w:val="00C72618"/>
    <w:rsid w:val="00C72A54"/>
    <w:rsid w:val="00C72F9E"/>
    <w:rsid w:val="00C73030"/>
    <w:rsid w:val="00C7438F"/>
    <w:rsid w:val="00C743BB"/>
    <w:rsid w:val="00C745B7"/>
    <w:rsid w:val="00C75181"/>
    <w:rsid w:val="00C75214"/>
    <w:rsid w:val="00C75511"/>
    <w:rsid w:val="00C75B96"/>
    <w:rsid w:val="00C75D40"/>
    <w:rsid w:val="00C75DEC"/>
    <w:rsid w:val="00C75FE9"/>
    <w:rsid w:val="00C7680D"/>
    <w:rsid w:val="00C76A37"/>
    <w:rsid w:val="00C76CAB"/>
    <w:rsid w:val="00C77C08"/>
    <w:rsid w:val="00C77E2F"/>
    <w:rsid w:val="00C8012F"/>
    <w:rsid w:val="00C80399"/>
    <w:rsid w:val="00C8099A"/>
    <w:rsid w:val="00C80F70"/>
    <w:rsid w:val="00C81156"/>
    <w:rsid w:val="00C81834"/>
    <w:rsid w:val="00C82108"/>
    <w:rsid w:val="00C823A1"/>
    <w:rsid w:val="00C82561"/>
    <w:rsid w:val="00C82829"/>
    <w:rsid w:val="00C83737"/>
    <w:rsid w:val="00C84231"/>
    <w:rsid w:val="00C847DD"/>
    <w:rsid w:val="00C848AB"/>
    <w:rsid w:val="00C84B60"/>
    <w:rsid w:val="00C85178"/>
    <w:rsid w:val="00C85E9A"/>
    <w:rsid w:val="00C85F58"/>
    <w:rsid w:val="00C86426"/>
    <w:rsid w:val="00C86952"/>
    <w:rsid w:val="00C86B05"/>
    <w:rsid w:val="00C86EEC"/>
    <w:rsid w:val="00C86F3B"/>
    <w:rsid w:val="00C87298"/>
    <w:rsid w:val="00C872A7"/>
    <w:rsid w:val="00C872F7"/>
    <w:rsid w:val="00C875B6"/>
    <w:rsid w:val="00C87908"/>
    <w:rsid w:val="00C904B3"/>
    <w:rsid w:val="00C90D46"/>
    <w:rsid w:val="00C91050"/>
    <w:rsid w:val="00C916BA"/>
    <w:rsid w:val="00C916BE"/>
    <w:rsid w:val="00C91F4E"/>
    <w:rsid w:val="00C9211F"/>
    <w:rsid w:val="00C921EC"/>
    <w:rsid w:val="00C925CA"/>
    <w:rsid w:val="00C92E27"/>
    <w:rsid w:val="00C92EEF"/>
    <w:rsid w:val="00C9314F"/>
    <w:rsid w:val="00C93388"/>
    <w:rsid w:val="00C938B7"/>
    <w:rsid w:val="00C93F00"/>
    <w:rsid w:val="00C93F18"/>
    <w:rsid w:val="00C9401E"/>
    <w:rsid w:val="00C941D8"/>
    <w:rsid w:val="00C9443D"/>
    <w:rsid w:val="00C94A7E"/>
    <w:rsid w:val="00C94D3C"/>
    <w:rsid w:val="00C94DC9"/>
    <w:rsid w:val="00C95828"/>
    <w:rsid w:val="00C958AB"/>
    <w:rsid w:val="00C9592A"/>
    <w:rsid w:val="00C959B6"/>
    <w:rsid w:val="00C960F0"/>
    <w:rsid w:val="00C9696B"/>
    <w:rsid w:val="00C96D5D"/>
    <w:rsid w:val="00C96DFD"/>
    <w:rsid w:val="00C96F4C"/>
    <w:rsid w:val="00C976D8"/>
    <w:rsid w:val="00C9771F"/>
    <w:rsid w:val="00C977CE"/>
    <w:rsid w:val="00C97BFA"/>
    <w:rsid w:val="00CA02EA"/>
    <w:rsid w:val="00CA0816"/>
    <w:rsid w:val="00CA12F5"/>
    <w:rsid w:val="00CA163D"/>
    <w:rsid w:val="00CA16FA"/>
    <w:rsid w:val="00CA1815"/>
    <w:rsid w:val="00CA1C0C"/>
    <w:rsid w:val="00CA1C71"/>
    <w:rsid w:val="00CA209A"/>
    <w:rsid w:val="00CA21AE"/>
    <w:rsid w:val="00CA232B"/>
    <w:rsid w:val="00CA2667"/>
    <w:rsid w:val="00CA26FC"/>
    <w:rsid w:val="00CA2754"/>
    <w:rsid w:val="00CA2E54"/>
    <w:rsid w:val="00CA2EA9"/>
    <w:rsid w:val="00CA3226"/>
    <w:rsid w:val="00CA33F3"/>
    <w:rsid w:val="00CA3515"/>
    <w:rsid w:val="00CA3623"/>
    <w:rsid w:val="00CA3EE0"/>
    <w:rsid w:val="00CA5938"/>
    <w:rsid w:val="00CA5999"/>
    <w:rsid w:val="00CA5CDF"/>
    <w:rsid w:val="00CA5E7D"/>
    <w:rsid w:val="00CA613C"/>
    <w:rsid w:val="00CA6403"/>
    <w:rsid w:val="00CA70F3"/>
    <w:rsid w:val="00CA71FF"/>
    <w:rsid w:val="00CA72F1"/>
    <w:rsid w:val="00CB01A0"/>
    <w:rsid w:val="00CB0297"/>
    <w:rsid w:val="00CB0328"/>
    <w:rsid w:val="00CB1018"/>
    <w:rsid w:val="00CB1133"/>
    <w:rsid w:val="00CB1223"/>
    <w:rsid w:val="00CB14E7"/>
    <w:rsid w:val="00CB151F"/>
    <w:rsid w:val="00CB1927"/>
    <w:rsid w:val="00CB1F3D"/>
    <w:rsid w:val="00CB20D3"/>
    <w:rsid w:val="00CB23D7"/>
    <w:rsid w:val="00CB27E4"/>
    <w:rsid w:val="00CB29F6"/>
    <w:rsid w:val="00CB3532"/>
    <w:rsid w:val="00CB3554"/>
    <w:rsid w:val="00CB35F3"/>
    <w:rsid w:val="00CB396B"/>
    <w:rsid w:val="00CB3B26"/>
    <w:rsid w:val="00CB3D52"/>
    <w:rsid w:val="00CB3E7B"/>
    <w:rsid w:val="00CB4294"/>
    <w:rsid w:val="00CB4737"/>
    <w:rsid w:val="00CB4ACF"/>
    <w:rsid w:val="00CB4BF9"/>
    <w:rsid w:val="00CB4C46"/>
    <w:rsid w:val="00CB4C65"/>
    <w:rsid w:val="00CB4FBD"/>
    <w:rsid w:val="00CB51DB"/>
    <w:rsid w:val="00CB53CA"/>
    <w:rsid w:val="00CB5588"/>
    <w:rsid w:val="00CB5596"/>
    <w:rsid w:val="00CB55A1"/>
    <w:rsid w:val="00CB6410"/>
    <w:rsid w:val="00CB6568"/>
    <w:rsid w:val="00CB667C"/>
    <w:rsid w:val="00CB6C93"/>
    <w:rsid w:val="00CB6DDD"/>
    <w:rsid w:val="00CB7136"/>
    <w:rsid w:val="00CB72ED"/>
    <w:rsid w:val="00CB7502"/>
    <w:rsid w:val="00CB7DF5"/>
    <w:rsid w:val="00CC043C"/>
    <w:rsid w:val="00CC05CB"/>
    <w:rsid w:val="00CC0917"/>
    <w:rsid w:val="00CC0BE7"/>
    <w:rsid w:val="00CC1128"/>
    <w:rsid w:val="00CC1356"/>
    <w:rsid w:val="00CC1371"/>
    <w:rsid w:val="00CC2002"/>
    <w:rsid w:val="00CC2239"/>
    <w:rsid w:val="00CC2379"/>
    <w:rsid w:val="00CC2518"/>
    <w:rsid w:val="00CC29BA"/>
    <w:rsid w:val="00CC2F0C"/>
    <w:rsid w:val="00CC30BA"/>
    <w:rsid w:val="00CC31E7"/>
    <w:rsid w:val="00CC33CB"/>
    <w:rsid w:val="00CC35B1"/>
    <w:rsid w:val="00CC3845"/>
    <w:rsid w:val="00CC393D"/>
    <w:rsid w:val="00CC3ECB"/>
    <w:rsid w:val="00CC46E6"/>
    <w:rsid w:val="00CC47F1"/>
    <w:rsid w:val="00CC48C6"/>
    <w:rsid w:val="00CC50C0"/>
    <w:rsid w:val="00CC556B"/>
    <w:rsid w:val="00CC5D66"/>
    <w:rsid w:val="00CC5F04"/>
    <w:rsid w:val="00CC60CA"/>
    <w:rsid w:val="00CC6425"/>
    <w:rsid w:val="00CC6974"/>
    <w:rsid w:val="00CC6AAA"/>
    <w:rsid w:val="00CC6D50"/>
    <w:rsid w:val="00CC6D71"/>
    <w:rsid w:val="00CC6FB0"/>
    <w:rsid w:val="00CC708D"/>
    <w:rsid w:val="00CC77AD"/>
    <w:rsid w:val="00CC7E01"/>
    <w:rsid w:val="00CD0344"/>
    <w:rsid w:val="00CD0493"/>
    <w:rsid w:val="00CD05ED"/>
    <w:rsid w:val="00CD0613"/>
    <w:rsid w:val="00CD0F33"/>
    <w:rsid w:val="00CD17EC"/>
    <w:rsid w:val="00CD1F19"/>
    <w:rsid w:val="00CD1F21"/>
    <w:rsid w:val="00CD1F9D"/>
    <w:rsid w:val="00CD2691"/>
    <w:rsid w:val="00CD29AA"/>
    <w:rsid w:val="00CD2D2E"/>
    <w:rsid w:val="00CD3075"/>
    <w:rsid w:val="00CD3620"/>
    <w:rsid w:val="00CD3728"/>
    <w:rsid w:val="00CD39C6"/>
    <w:rsid w:val="00CD4203"/>
    <w:rsid w:val="00CD44F7"/>
    <w:rsid w:val="00CD474B"/>
    <w:rsid w:val="00CD48B5"/>
    <w:rsid w:val="00CD4E61"/>
    <w:rsid w:val="00CD5836"/>
    <w:rsid w:val="00CD605B"/>
    <w:rsid w:val="00CD61A2"/>
    <w:rsid w:val="00CD640E"/>
    <w:rsid w:val="00CD6500"/>
    <w:rsid w:val="00CD65BE"/>
    <w:rsid w:val="00CD6BCD"/>
    <w:rsid w:val="00CD6CE5"/>
    <w:rsid w:val="00CD6E89"/>
    <w:rsid w:val="00CD7585"/>
    <w:rsid w:val="00CD7712"/>
    <w:rsid w:val="00CD7A68"/>
    <w:rsid w:val="00CE0927"/>
    <w:rsid w:val="00CE0952"/>
    <w:rsid w:val="00CE1816"/>
    <w:rsid w:val="00CE1A14"/>
    <w:rsid w:val="00CE2130"/>
    <w:rsid w:val="00CE214C"/>
    <w:rsid w:val="00CE238D"/>
    <w:rsid w:val="00CE290D"/>
    <w:rsid w:val="00CE295A"/>
    <w:rsid w:val="00CE2A46"/>
    <w:rsid w:val="00CE2DDC"/>
    <w:rsid w:val="00CE3000"/>
    <w:rsid w:val="00CE3158"/>
    <w:rsid w:val="00CE3184"/>
    <w:rsid w:val="00CE369D"/>
    <w:rsid w:val="00CE3C6C"/>
    <w:rsid w:val="00CE4139"/>
    <w:rsid w:val="00CE4159"/>
    <w:rsid w:val="00CE471D"/>
    <w:rsid w:val="00CE4796"/>
    <w:rsid w:val="00CE4C57"/>
    <w:rsid w:val="00CE503D"/>
    <w:rsid w:val="00CE524E"/>
    <w:rsid w:val="00CE52A7"/>
    <w:rsid w:val="00CE5342"/>
    <w:rsid w:val="00CE58D9"/>
    <w:rsid w:val="00CE5EF3"/>
    <w:rsid w:val="00CE64F8"/>
    <w:rsid w:val="00CE6A08"/>
    <w:rsid w:val="00CE706C"/>
    <w:rsid w:val="00CE71A4"/>
    <w:rsid w:val="00CE766C"/>
    <w:rsid w:val="00CF01AC"/>
    <w:rsid w:val="00CF037F"/>
    <w:rsid w:val="00CF0475"/>
    <w:rsid w:val="00CF05AD"/>
    <w:rsid w:val="00CF0BE2"/>
    <w:rsid w:val="00CF11AB"/>
    <w:rsid w:val="00CF1211"/>
    <w:rsid w:val="00CF15B2"/>
    <w:rsid w:val="00CF1D60"/>
    <w:rsid w:val="00CF1DA3"/>
    <w:rsid w:val="00CF1F9E"/>
    <w:rsid w:val="00CF2219"/>
    <w:rsid w:val="00CF243B"/>
    <w:rsid w:val="00CF268B"/>
    <w:rsid w:val="00CF274B"/>
    <w:rsid w:val="00CF2D41"/>
    <w:rsid w:val="00CF2FC8"/>
    <w:rsid w:val="00CF32D8"/>
    <w:rsid w:val="00CF3729"/>
    <w:rsid w:val="00CF37AF"/>
    <w:rsid w:val="00CF3829"/>
    <w:rsid w:val="00CF3E3A"/>
    <w:rsid w:val="00CF4D74"/>
    <w:rsid w:val="00CF55BB"/>
    <w:rsid w:val="00CF5676"/>
    <w:rsid w:val="00CF5803"/>
    <w:rsid w:val="00CF5B35"/>
    <w:rsid w:val="00CF64AE"/>
    <w:rsid w:val="00CF6D24"/>
    <w:rsid w:val="00CF7EE0"/>
    <w:rsid w:val="00D0066D"/>
    <w:rsid w:val="00D00818"/>
    <w:rsid w:val="00D00C9A"/>
    <w:rsid w:val="00D00E30"/>
    <w:rsid w:val="00D00FC9"/>
    <w:rsid w:val="00D01432"/>
    <w:rsid w:val="00D0143F"/>
    <w:rsid w:val="00D014DC"/>
    <w:rsid w:val="00D01924"/>
    <w:rsid w:val="00D01B06"/>
    <w:rsid w:val="00D02562"/>
    <w:rsid w:val="00D02914"/>
    <w:rsid w:val="00D02980"/>
    <w:rsid w:val="00D02F6B"/>
    <w:rsid w:val="00D03170"/>
    <w:rsid w:val="00D03812"/>
    <w:rsid w:val="00D03F69"/>
    <w:rsid w:val="00D04724"/>
    <w:rsid w:val="00D04786"/>
    <w:rsid w:val="00D048F7"/>
    <w:rsid w:val="00D04966"/>
    <w:rsid w:val="00D04AF1"/>
    <w:rsid w:val="00D04CB8"/>
    <w:rsid w:val="00D04D28"/>
    <w:rsid w:val="00D05054"/>
    <w:rsid w:val="00D05874"/>
    <w:rsid w:val="00D06084"/>
    <w:rsid w:val="00D0643F"/>
    <w:rsid w:val="00D068AA"/>
    <w:rsid w:val="00D06BCA"/>
    <w:rsid w:val="00D07C72"/>
    <w:rsid w:val="00D07E36"/>
    <w:rsid w:val="00D07F5C"/>
    <w:rsid w:val="00D07FF1"/>
    <w:rsid w:val="00D108FD"/>
    <w:rsid w:val="00D10AAE"/>
    <w:rsid w:val="00D11360"/>
    <w:rsid w:val="00D11386"/>
    <w:rsid w:val="00D11602"/>
    <w:rsid w:val="00D11682"/>
    <w:rsid w:val="00D11788"/>
    <w:rsid w:val="00D118E1"/>
    <w:rsid w:val="00D1231F"/>
    <w:rsid w:val="00D125F6"/>
    <w:rsid w:val="00D12916"/>
    <w:rsid w:val="00D129B5"/>
    <w:rsid w:val="00D12C6A"/>
    <w:rsid w:val="00D13062"/>
    <w:rsid w:val="00D13347"/>
    <w:rsid w:val="00D137A0"/>
    <w:rsid w:val="00D13D00"/>
    <w:rsid w:val="00D13F19"/>
    <w:rsid w:val="00D14220"/>
    <w:rsid w:val="00D14377"/>
    <w:rsid w:val="00D15431"/>
    <w:rsid w:val="00D15A8B"/>
    <w:rsid w:val="00D15D04"/>
    <w:rsid w:val="00D15E6E"/>
    <w:rsid w:val="00D16147"/>
    <w:rsid w:val="00D16202"/>
    <w:rsid w:val="00D1634C"/>
    <w:rsid w:val="00D16585"/>
    <w:rsid w:val="00D16808"/>
    <w:rsid w:val="00D1689D"/>
    <w:rsid w:val="00D16B3C"/>
    <w:rsid w:val="00D16C20"/>
    <w:rsid w:val="00D16E9F"/>
    <w:rsid w:val="00D16F49"/>
    <w:rsid w:val="00D16FFD"/>
    <w:rsid w:val="00D17412"/>
    <w:rsid w:val="00D176D7"/>
    <w:rsid w:val="00D176DF"/>
    <w:rsid w:val="00D17A30"/>
    <w:rsid w:val="00D17AF0"/>
    <w:rsid w:val="00D203EB"/>
    <w:rsid w:val="00D20ACD"/>
    <w:rsid w:val="00D2182D"/>
    <w:rsid w:val="00D219EE"/>
    <w:rsid w:val="00D21A74"/>
    <w:rsid w:val="00D21D32"/>
    <w:rsid w:val="00D21D5D"/>
    <w:rsid w:val="00D21FC8"/>
    <w:rsid w:val="00D2208E"/>
    <w:rsid w:val="00D22692"/>
    <w:rsid w:val="00D22743"/>
    <w:rsid w:val="00D227F5"/>
    <w:rsid w:val="00D2321C"/>
    <w:rsid w:val="00D23262"/>
    <w:rsid w:val="00D243D4"/>
    <w:rsid w:val="00D24432"/>
    <w:rsid w:val="00D24548"/>
    <w:rsid w:val="00D246BE"/>
    <w:rsid w:val="00D24C56"/>
    <w:rsid w:val="00D25089"/>
    <w:rsid w:val="00D252B2"/>
    <w:rsid w:val="00D25482"/>
    <w:rsid w:val="00D2556B"/>
    <w:rsid w:val="00D25BDC"/>
    <w:rsid w:val="00D263AF"/>
    <w:rsid w:val="00D26A23"/>
    <w:rsid w:val="00D26DBA"/>
    <w:rsid w:val="00D26F74"/>
    <w:rsid w:val="00D2710C"/>
    <w:rsid w:val="00D272E0"/>
    <w:rsid w:val="00D276FB"/>
    <w:rsid w:val="00D27A80"/>
    <w:rsid w:val="00D27B67"/>
    <w:rsid w:val="00D27FC3"/>
    <w:rsid w:val="00D3009A"/>
    <w:rsid w:val="00D30370"/>
    <w:rsid w:val="00D30746"/>
    <w:rsid w:val="00D30C8B"/>
    <w:rsid w:val="00D31056"/>
    <w:rsid w:val="00D31188"/>
    <w:rsid w:val="00D311C8"/>
    <w:rsid w:val="00D31218"/>
    <w:rsid w:val="00D313E2"/>
    <w:rsid w:val="00D31BBA"/>
    <w:rsid w:val="00D31E1B"/>
    <w:rsid w:val="00D32067"/>
    <w:rsid w:val="00D32116"/>
    <w:rsid w:val="00D32424"/>
    <w:rsid w:val="00D325E8"/>
    <w:rsid w:val="00D3289C"/>
    <w:rsid w:val="00D32D42"/>
    <w:rsid w:val="00D32DD6"/>
    <w:rsid w:val="00D32DEA"/>
    <w:rsid w:val="00D33110"/>
    <w:rsid w:val="00D339AF"/>
    <w:rsid w:val="00D3421D"/>
    <w:rsid w:val="00D34F7B"/>
    <w:rsid w:val="00D3501C"/>
    <w:rsid w:val="00D35676"/>
    <w:rsid w:val="00D35B3F"/>
    <w:rsid w:val="00D363C0"/>
    <w:rsid w:val="00D364DE"/>
    <w:rsid w:val="00D3650A"/>
    <w:rsid w:val="00D36E4A"/>
    <w:rsid w:val="00D376AD"/>
    <w:rsid w:val="00D40153"/>
    <w:rsid w:val="00D402F8"/>
    <w:rsid w:val="00D4041B"/>
    <w:rsid w:val="00D41448"/>
    <w:rsid w:val="00D41C1D"/>
    <w:rsid w:val="00D4295A"/>
    <w:rsid w:val="00D42A62"/>
    <w:rsid w:val="00D42A69"/>
    <w:rsid w:val="00D42FE7"/>
    <w:rsid w:val="00D4302A"/>
    <w:rsid w:val="00D432A3"/>
    <w:rsid w:val="00D43A04"/>
    <w:rsid w:val="00D44877"/>
    <w:rsid w:val="00D44E4F"/>
    <w:rsid w:val="00D44F31"/>
    <w:rsid w:val="00D455A0"/>
    <w:rsid w:val="00D45C54"/>
    <w:rsid w:val="00D45FE0"/>
    <w:rsid w:val="00D46275"/>
    <w:rsid w:val="00D463CB"/>
    <w:rsid w:val="00D46466"/>
    <w:rsid w:val="00D46779"/>
    <w:rsid w:val="00D467D6"/>
    <w:rsid w:val="00D475F9"/>
    <w:rsid w:val="00D4770A"/>
    <w:rsid w:val="00D4773D"/>
    <w:rsid w:val="00D47981"/>
    <w:rsid w:val="00D47AB1"/>
    <w:rsid w:val="00D47BDE"/>
    <w:rsid w:val="00D47D6E"/>
    <w:rsid w:val="00D47DD1"/>
    <w:rsid w:val="00D5007D"/>
    <w:rsid w:val="00D505D5"/>
    <w:rsid w:val="00D50ED9"/>
    <w:rsid w:val="00D50F7E"/>
    <w:rsid w:val="00D51140"/>
    <w:rsid w:val="00D51159"/>
    <w:rsid w:val="00D51265"/>
    <w:rsid w:val="00D515AA"/>
    <w:rsid w:val="00D51902"/>
    <w:rsid w:val="00D5206D"/>
    <w:rsid w:val="00D522FF"/>
    <w:rsid w:val="00D529A0"/>
    <w:rsid w:val="00D52E88"/>
    <w:rsid w:val="00D5320C"/>
    <w:rsid w:val="00D53A88"/>
    <w:rsid w:val="00D53D7D"/>
    <w:rsid w:val="00D53E70"/>
    <w:rsid w:val="00D5400B"/>
    <w:rsid w:val="00D540B9"/>
    <w:rsid w:val="00D5421E"/>
    <w:rsid w:val="00D542A1"/>
    <w:rsid w:val="00D54BB8"/>
    <w:rsid w:val="00D5552B"/>
    <w:rsid w:val="00D557D7"/>
    <w:rsid w:val="00D55842"/>
    <w:rsid w:val="00D55939"/>
    <w:rsid w:val="00D55D7A"/>
    <w:rsid w:val="00D56072"/>
    <w:rsid w:val="00D56442"/>
    <w:rsid w:val="00D568DC"/>
    <w:rsid w:val="00D56C0B"/>
    <w:rsid w:val="00D5723C"/>
    <w:rsid w:val="00D576EC"/>
    <w:rsid w:val="00D57F64"/>
    <w:rsid w:val="00D6032B"/>
    <w:rsid w:val="00D60CB2"/>
    <w:rsid w:val="00D60F64"/>
    <w:rsid w:val="00D61431"/>
    <w:rsid w:val="00D6163C"/>
    <w:rsid w:val="00D61714"/>
    <w:rsid w:val="00D61751"/>
    <w:rsid w:val="00D618DA"/>
    <w:rsid w:val="00D61ACD"/>
    <w:rsid w:val="00D62172"/>
    <w:rsid w:val="00D62245"/>
    <w:rsid w:val="00D62294"/>
    <w:rsid w:val="00D62344"/>
    <w:rsid w:val="00D624FC"/>
    <w:rsid w:val="00D62509"/>
    <w:rsid w:val="00D625F9"/>
    <w:rsid w:val="00D62CA1"/>
    <w:rsid w:val="00D62CBE"/>
    <w:rsid w:val="00D6417E"/>
    <w:rsid w:val="00D64427"/>
    <w:rsid w:val="00D6452E"/>
    <w:rsid w:val="00D6517B"/>
    <w:rsid w:val="00D652CC"/>
    <w:rsid w:val="00D6536C"/>
    <w:rsid w:val="00D656F6"/>
    <w:rsid w:val="00D658D0"/>
    <w:rsid w:val="00D65AD8"/>
    <w:rsid w:val="00D65C1D"/>
    <w:rsid w:val="00D65D8C"/>
    <w:rsid w:val="00D65E88"/>
    <w:rsid w:val="00D667E9"/>
    <w:rsid w:val="00D66CEA"/>
    <w:rsid w:val="00D66F64"/>
    <w:rsid w:val="00D66F65"/>
    <w:rsid w:val="00D67758"/>
    <w:rsid w:val="00D67848"/>
    <w:rsid w:val="00D67E30"/>
    <w:rsid w:val="00D70CDD"/>
    <w:rsid w:val="00D70DC4"/>
    <w:rsid w:val="00D70EA9"/>
    <w:rsid w:val="00D71862"/>
    <w:rsid w:val="00D71EF9"/>
    <w:rsid w:val="00D7200D"/>
    <w:rsid w:val="00D72425"/>
    <w:rsid w:val="00D727B3"/>
    <w:rsid w:val="00D72BA5"/>
    <w:rsid w:val="00D72D85"/>
    <w:rsid w:val="00D7331B"/>
    <w:rsid w:val="00D7344C"/>
    <w:rsid w:val="00D735D9"/>
    <w:rsid w:val="00D73761"/>
    <w:rsid w:val="00D737E5"/>
    <w:rsid w:val="00D73839"/>
    <w:rsid w:val="00D73942"/>
    <w:rsid w:val="00D73C77"/>
    <w:rsid w:val="00D74B79"/>
    <w:rsid w:val="00D74C4A"/>
    <w:rsid w:val="00D75DD9"/>
    <w:rsid w:val="00D764E1"/>
    <w:rsid w:val="00D76627"/>
    <w:rsid w:val="00D76EB0"/>
    <w:rsid w:val="00D774B2"/>
    <w:rsid w:val="00D774B3"/>
    <w:rsid w:val="00D77695"/>
    <w:rsid w:val="00D800D9"/>
    <w:rsid w:val="00D8016A"/>
    <w:rsid w:val="00D807BD"/>
    <w:rsid w:val="00D809AF"/>
    <w:rsid w:val="00D809B4"/>
    <w:rsid w:val="00D80A14"/>
    <w:rsid w:val="00D81A2D"/>
    <w:rsid w:val="00D81B5A"/>
    <w:rsid w:val="00D82891"/>
    <w:rsid w:val="00D82A15"/>
    <w:rsid w:val="00D830BC"/>
    <w:rsid w:val="00D8413D"/>
    <w:rsid w:val="00D84333"/>
    <w:rsid w:val="00D8466D"/>
    <w:rsid w:val="00D847D4"/>
    <w:rsid w:val="00D8495D"/>
    <w:rsid w:val="00D84A3A"/>
    <w:rsid w:val="00D84B6F"/>
    <w:rsid w:val="00D84C97"/>
    <w:rsid w:val="00D85B17"/>
    <w:rsid w:val="00D85D31"/>
    <w:rsid w:val="00D85EB9"/>
    <w:rsid w:val="00D85F86"/>
    <w:rsid w:val="00D86228"/>
    <w:rsid w:val="00D864C7"/>
    <w:rsid w:val="00D8680D"/>
    <w:rsid w:val="00D8713F"/>
    <w:rsid w:val="00D87668"/>
    <w:rsid w:val="00D876E2"/>
    <w:rsid w:val="00D87957"/>
    <w:rsid w:val="00D87F3C"/>
    <w:rsid w:val="00D90114"/>
    <w:rsid w:val="00D90450"/>
    <w:rsid w:val="00D90559"/>
    <w:rsid w:val="00D909E4"/>
    <w:rsid w:val="00D90B9A"/>
    <w:rsid w:val="00D90D67"/>
    <w:rsid w:val="00D91569"/>
    <w:rsid w:val="00D91752"/>
    <w:rsid w:val="00D91E0F"/>
    <w:rsid w:val="00D92018"/>
    <w:rsid w:val="00D92118"/>
    <w:rsid w:val="00D921BB"/>
    <w:rsid w:val="00D92999"/>
    <w:rsid w:val="00D93450"/>
    <w:rsid w:val="00D93AA0"/>
    <w:rsid w:val="00D93B0B"/>
    <w:rsid w:val="00D93DD9"/>
    <w:rsid w:val="00D93FDB"/>
    <w:rsid w:val="00D94567"/>
    <w:rsid w:val="00D945D2"/>
    <w:rsid w:val="00D94621"/>
    <w:rsid w:val="00D9489B"/>
    <w:rsid w:val="00D94DF4"/>
    <w:rsid w:val="00D95356"/>
    <w:rsid w:val="00D960DA"/>
    <w:rsid w:val="00D960E0"/>
    <w:rsid w:val="00D96A1E"/>
    <w:rsid w:val="00D96ADB"/>
    <w:rsid w:val="00D96B3B"/>
    <w:rsid w:val="00D96DDB"/>
    <w:rsid w:val="00D96FE0"/>
    <w:rsid w:val="00D9790D"/>
    <w:rsid w:val="00DA070C"/>
    <w:rsid w:val="00DA0810"/>
    <w:rsid w:val="00DA0C43"/>
    <w:rsid w:val="00DA2169"/>
    <w:rsid w:val="00DA26C8"/>
    <w:rsid w:val="00DA2A53"/>
    <w:rsid w:val="00DA2B8F"/>
    <w:rsid w:val="00DA2E06"/>
    <w:rsid w:val="00DA2E35"/>
    <w:rsid w:val="00DA3799"/>
    <w:rsid w:val="00DA37F4"/>
    <w:rsid w:val="00DA3CA0"/>
    <w:rsid w:val="00DA4031"/>
    <w:rsid w:val="00DA46D6"/>
    <w:rsid w:val="00DA4A19"/>
    <w:rsid w:val="00DA4D3F"/>
    <w:rsid w:val="00DA4D8E"/>
    <w:rsid w:val="00DA4FC4"/>
    <w:rsid w:val="00DA5401"/>
    <w:rsid w:val="00DA572A"/>
    <w:rsid w:val="00DA6270"/>
    <w:rsid w:val="00DA63A6"/>
    <w:rsid w:val="00DA73DB"/>
    <w:rsid w:val="00DA7742"/>
    <w:rsid w:val="00DA7B1F"/>
    <w:rsid w:val="00DA7BBD"/>
    <w:rsid w:val="00DB0437"/>
    <w:rsid w:val="00DB0965"/>
    <w:rsid w:val="00DB09E0"/>
    <w:rsid w:val="00DB0C7E"/>
    <w:rsid w:val="00DB144D"/>
    <w:rsid w:val="00DB1E7B"/>
    <w:rsid w:val="00DB207B"/>
    <w:rsid w:val="00DB2252"/>
    <w:rsid w:val="00DB22EE"/>
    <w:rsid w:val="00DB23DE"/>
    <w:rsid w:val="00DB2A34"/>
    <w:rsid w:val="00DB2BED"/>
    <w:rsid w:val="00DB2CF0"/>
    <w:rsid w:val="00DB2DBB"/>
    <w:rsid w:val="00DB2E58"/>
    <w:rsid w:val="00DB2E83"/>
    <w:rsid w:val="00DB3684"/>
    <w:rsid w:val="00DB3A58"/>
    <w:rsid w:val="00DB411E"/>
    <w:rsid w:val="00DB419C"/>
    <w:rsid w:val="00DB4455"/>
    <w:rsid w:val="00DB4E4E"/>
    <w:rsid w:val="00DB536F"/>
    <w:rsid w:val="00DB53E1"/>
    <w:rsid w:val="00DB5655"/>
    <w:rsid w:val="00DB56DA"/>
    <w:rsid w:val="00DB595B"/>
    <w:rsid w:val="00DB5AE1"/>
    <w:rsid w:val="00DB5AE3"/>
    <w:rsid w:val="00DB5CC8"/>
    <w:rsid w:val="00DB63B8"/>
    <w:rsid w:val="00DB6BF6"/>
    <w:rsid w:val="00DB6EC4"/>
    <w:rsid w:val="00DB6F1E"/>
    <w:rsid w:val="00DB7065"/>
    <w:rsid w:val="00DB73DD"/>
    <w:rsid w:val="00DB76DC"/>
    <w:rsid w:val="00DB78A5"/>
    <w:rsid w:val="00DC0136"/>
    <w:rsid w:val="00DC0200"/>
    <w:rsid w:val="00DC07F5"/>
    <w:rsid w:val="00DC14A6"/>
    <w:rsid w:val="00DC1541"/>
    <w:rsid w:val="00DC2182"/>
    <w:rsid w:val="00DC25F6"/>
    <w:rsid w:val="00DC27AB"/>
    <w:rsid w:val="00DC2C5C"/>
    <w:rsid w:val="00DC3CD7"/>
    <w:rsid w:val="00DC3E04"/>
    <w:rsid w:val="00DC404C"/>
    <w:rsid w:val="00DC4050"/>
    <w:rsid w:val="00DC415A"/>
    <w:rsid w:val="00DC44E5"/>
    <w:rsid w:val="00DC4701"/>
    <w:rsid w:val="00DC4DA0"/>
    <w:rsid w:val="00DC6182"/>
    <w:rsid w:val="00DC65F1"/>
    <w:rsid w:val="00DC6898"/>
    <w:rsid w:val="00DC68EA"/>
    <w:rsid w:val="00DC69D9"/>
    <w:rsid w:val="00DC71F4"/>
    <w:rsid w:val="00DC73D4"/>
    <w:rsid w:val="00DC7694"/>
    <w:rsid w:val="00DC7782"/>
    <w:rsid w:val="00DC7D26"/>
    <w:rsid w:val="00DC7DBF"/>
    <w:rsid w:val="00DC7F3D"/>
    <w:rsid w:val="00DD0253"/>
    <w:rsid w:val="00DD02C6"/>
    <w:rsid w:val="00DD0A32"/>
    <w:rsid w:val="00DD0DAB"/>
    <w:rsid w:val="00DD0EEC"/>
    <w:rsid w:val="00DD11E4"/>
    <w:rsid w:val="00DD1A0C"/>
    <w:rsid w:val="00DD1A0E"/>
    <w:rsid w:val="00DD2209"/>
    <w:rsid w:val="00DD2928"/>
    <w:rsid w:val="00DD2A51"/>
    <w:rsid w:val="00DD2CF8"/>
    <w:rsid w:val="00DD2CFD"/>
    <w:rsid w:val="00DD32CF"/>
    <w:rsid w:val="00DD343B"/>
    <w:rsid w:val="00DD3458"/>
    <w:rsid w:val="00DD4A34"/>
    <w:rsid w:val="00DD4C6B"/>
    <w:rsid w:val="00DD4E46"/>
    <w:rsid w:val="00DD567A"/>
    <w:rsid w:val="00DD605F"/>
    <w:rsid w:val="00DD6AE7"/>
    <w:rsid w:val="00DD6BC6"/>
    <w:rsid w:val="00DD6F8C"/>
    <w:rsid w:val="00DD7250"/>
    <w:rsid w:val="00DD74A4"/>
    <w:rsid w:val="00DD75F1"/>
    <w:rsid w:val="00DE041D"/>
    <w:rsid w:val="00DE047B"/>
    <w:rsid w:val="00DE064D"/>
    <w:rsid w:val="00DE0D47"/>
    <w:rsid w:val="00DE0EBE"/>
    <w:rsid w:val="00DE1691"/>
    <w:rsid w:val="00DE1968"/>
    <w:rsid w:val="00DE1B37"/>
    <w:rsid w:val="00DE1E17"/>
    <w:rsid w:val="00DE251A"/>
    <w:rsid w:val="00DE25D3"/>
    <w:rsid w:val="00DE33BA"/>
    <w:rsid w:val="00DE35E5"/>
    <w:rsid w:val="00DE3D9D"/>
    <w:rsid w:val="00DE4605"/>
    <w:rsid w:val="00DE482D"/>
    <w:rsid w:val="00DE4ADF"/>
    <w:rsid w:val="00DE4BF8"/>
    <w:rsid w:val="00DE4C56"/>
    <w:rsid w:val="00DE4D57"/>
    <w:rsid w:val="00DE5497"/>
    <w:rsid w:val="00DE567A"/>
    <w:rsid w:val="00DE5DCC"/>
    <w:rsid w:val="00DE664D"/>
    <w:rsid w:val="00DE6777"/>
    <w:rsid w:val="00DE67A2"/>
    <w:rsid w:val="00DE6997"/>
    <w:rsid w:val="00DE6DBE"/>
    <w:rsid w:val="00DE6E54"/>
    <w:rsid w:val="00DE7047"/>
    <w:rsid w:val="00DE7246"/>
    <w:rsid w:val="00DE73B7"/>
    <w:rsid w:val="00DE79B4"/>
    <w:rsid w:val="00DE7A09"/>
    <w:rsid w:val="00DE7CF0"/>
    <w:rsid w:val="00DE7D31"/>
    <w:rsid w:val="00DE7EB2"/>
    <w:rsid w:val="00DE7F19"/>
    <w:rsid w:val="00DF01AB"/>
    <w:rsid w:val="00DF0229"/>
    <w:rsid w:val="00DF04D2"/>
    <w:rsid w:val="00DF0BF1"/>
    <w:rsid w:val="00DF146C"/>
    <w:rsid w:val="00DF1B76"/>
    <w:rsid w:val="00DF21B4"/>
    <w:rsid w:val="00DF23A9"/>
    <w:rsid w:val="00DF2A92"/>
    <w:rsid w:val="00DF332C"/>
    <w:rsid w:val="00DF3514"/>
    <w:rsid w:val="00DF3863"/>
    <w:rsid w:val="00DF4AFF"/>
    <w:rsid w:val="00DF4B02"/>
    <w:rsid w:val="00DF4BCC"/>
    <w:rsid w:val="00DF52CF"/>
    <w:rsid w:val="00DF542F"/>
    <w:rsid w:val="00DF5535"/>
    <w:rsid w:val="00DF56C9"/>
    <w:rsid w:val="00DF5A4B"/>
    <w:rsid w:val="00DF5CAB"/>
    <w:rsid w:val="00DF5D4B"/>
    <w:rsid w:val="00DF5F60"/>
    <w:rsid w:val="00DF61B1"/>
    <w:rsid w:val="00DF6414"/>
    <w:rsid w:val="00DF661D"/>
    <w:rsid w:val="00DF6650"/>
    <w:rsid w:val="00DF66A7"/>
    <w:rsid w:val="00DF69C6"/>
    <w:rsid w:val="00DF6DC5"/>
    <w:rsid w:val="00DF7292"/>
    <w:rsid w:val="00DF74D8"/>
    <w:rsid w:val="00DF76ED"/>
    <w:rsid w:val="00DF786A"/>
    <w:rsid w:val="00DF7FB2"/>
    <w:rsid w:val="00E00073"/>
    <w:rsid w:val="00E00145"/>
    <w:rsid w:val="00E001C2"/>
    <w:rsid w:val="00E001CA"/>
    <w:rsid w:val="00E003AE"/>
    <w:rsid w:val="00E00567"/>
    <w:rsid w:val="00E006C4"/>
    <w:rsid w:val="00E00F31"/>
    <w:rsid w:val="00E01391"/>
    <w:rsid w:val="00E0140E"/>
    <w:rsid w:val="00E016B2"/>
    <w:rsid w:val="00E01792"/>
    <w:rsid w:val="00E01917"/>
    <w:rsid w:val="00E0193B"/>
    <w:rsid w:val="00E01AE6"/>
    <w:rsid w:val="00E01C54"/>
    <w:rsid w:val="00E0282B"/>
    <w:rsid w:val="00E02E58"/>
    <w:rsid w:val="00E033B7"/>
    <w:rsid w:val="00E038B6"/>
    <w:rsid w:val="00E03EC3"/>
    <w:rsid w:val="00E03EED"/>
    <w:rsid w:val="00E03EFE"/>
    <w:rsid w:val="00E03F36"/>
    <w:rsid w:val="00E03F4A"/>
    <w:rsid w:val="00E0402A"/>
    <w:rsid w:val="00E04125"/>
    <w:rsid w:val="00E04157"/>
    <w:rsid w:val="00E049B4"/>
    <w:rsid w:val="00E0561D"/>
    <w:rsid w:val="00E05643"/>
    <w:rsid w:val="00E057C0"/>
    <w:rsid w:val="00E05D08"/>
    <w:rsid w:val="00E05E39"/>
    <w:rsid w:val="00E05F03"/>
    <w:rsid w:val="00E062A9"/>
    <w:rsid w:val="00E0688B"/>
    <w:rsid w:val="00E06A88"/>
    <w:rsid w:val="00E06C78"/>
    <w:rsid w:val="00E0716E"/>
    <w:rsid w:val="00E071E5"/>
    <w:rsid w:val="00E07321"/>
    <w:rsid w:val="00E077D6"/>
    <w:rsid w:val="00E07A74"/>
    <w:rsid w:val="00E07E97"/>
    <w:rsid w:val="00E1015B"/>
    <w:rsid w:val="00E108B5"/>
    <w:rsid w:val="00E10CF9"/>
    <w:rsid w:val="00E11273"/>
    <w:rsid w:val="00E115DA"/>
    <w:rsid w:val="00E11AB1"/>
    <w:rsid w:val="00E11E85"/>
    <w:rsid w:val="00E123F9"/>
    <w:rsid w:val="00E12541"/>
    <w:rsid w:val="00E129F3"/>
    <w:rsid w:val="00E12A8F"/>
    <w:rsid w:val="00E131C8"/>
    <w:rsid w:val="00E13416"/>
    <w:rsid w:val="00E134D6"/>
    <w:rsid w:val="00E139CD"/>
    <w:rsid w:val="00E1429E"/>
    <w:rsid w:val="00E142C3"/>
    <w:rsid w:val="00E14334"/>
    <w:rsid w:val="00E1435A"/>
    <w:rsid w:val="00E1445E"/>
    <w:rsid w:val="00E1489F"/>
    <w:rsid w:val="00E148F7"/>
    <w:rsid w:val="00E14B96"/>
    <w:rsid w:val="00E1502D"/>
    <w:rsid w:val="00E150E1"/>
    <w:rsid w:val="00E15140"/>
    <w:rsid w:val="00E152D4"/>
    <w:rsid w:val="00E15BAA"/>
    <w:rsid w:val="00E15FB3"/>
    <w:rsid w:val="00E163BD"/>
    <w:rsid w:val="00E16C35"/>
    <w:rsid w:val="00E16D4F"/>
    <w:rsid w:val="00E170C2"/>
    <w:rsid w:val="00E1731E"/>
    <w:rsid w:val="00E176B6"/>
    <w:rsid w:val="00E17A15"/>
    <w:rsid w:val="00E17BA4"/>
    <w:rsid w:val="00E17E95"/>
    <w:rsid w:val="00E206A3"/>
    <w:rsid w:val="00E20920"/>
    <w:rsid w:val="00E20934"/>
    <w:rsid w:val="00E209D7"/>
    <w:rsid w:val="00E20B3A"/>
    <w:rsid w:val="00E20E5E"/>
    <w:rsid w:val="00E20FE1"/>
    <w:rsid w:val="00E21083"/>
    <w:rsid w:val="00E215B1"/>
    <w:rsid w:val="00E21844"/>
    <w:rsid w:val="00E218DC"/>
    <w:rsid w:val="00E21A5F"/>
    <w:rsid w:val="00E21DA8"/>
    <w:rsid w:val="00E21FFD"/>
    <w:rsid w:val="00E2235B"/>
    <w:rsid w:val="00E22539"/>
    <w:rsid w:val="00E2286A"/>
    <w:rsid w:val="00E22B13"/>
    <w:rsid w:val="00E22ECB"/>
    <w:rsid w:val="00E231E3"/>
    <w:rsid w:val="00E2341C"/>
    <w:rsid w:val="00E236A4"/>
    <w:rsid w:val="00E23AE1"/>
    <w:rsid w:val="00E24171"/>
    <w:rsid w:val="00E248FF"/>
    <w:rsid w:val="00E24AC4"/>
    <w:rsid w:val="00E24DAD"/>
    <w:rsid w:val="00E251D1"/>
    <w:rsid w:val="00E255B8"/>
    <w:rsid w:val="00E256A2"/>
    <w:rsid w:val="00E25A00"/>
    <w:rsid w:val="00E25D3F"/>
    <w:rsid w:val="00E25F54"/>
    <w:rsid w:val="00E26014"/>
    <w:rsid w:val="00E261CB"/>
    <w:rsid w:val="00E26386"/>
    <w:rsid w:val="00E2643F"/>
    <w:rsid w:val="00E2644C"/>
    <w:rsid w:val="00E26550"/>
    <w:rsid w:val="00E26E2A"/>
    <w:rsid w:val="00E27B2E"/>
    <w:rsid w:val="00E27BE6"/>
    <w:rsid w:val="00E30778"/>
    <w:rsid w:val="00E308EA"/>
    <w:rsid w:val="00E3095D"/>
    <w:rsid w:val="00E310A4"/>
    <w:rsid w:val="00E31241"/>
    <w:rsid w:val="00E31789"/>
    <w:rsid w:val="00E31DCB"/>
    <w:rsid w:val="00E32512"/>
    <w:rsid w:val="00E3268C"/>
    <w:rsid w:val="00E32988"/>
    <w:rsid w:val="00E329BE"/>
    <w:rsid w:val="00E32D52"/>
    <w:rsid w:val="00E3325B"/>
    <w:rsid w:val="00E334A5"/>
    <w:rsid w:val="00E341C6"/>
    <w:rsid w:val="00E3452A"/>
    <w:rsid w:val="00E34967"/>
    <w:rsid w:val="00E34984"/>
    <w:rsid w:val="00E34A6F"/>
    <w:rsid w:val="00E350F1"/>
    <w:rsid w:val="00E35C97"/>
    <w:rsid w:val="00E35F48"/>
    <w:rsid w:val="00E363BF"/>
    <w:rsid w:val="00E368D6"/>
    <w:rsid w:val="00E36913"/>
    <w:rsid w:val="00E3766F"/>
    <w:rsid w:val="00E377C2"/>
    <w:rsid w:val="00E40138"/>
    <w:rsid w:val="00E4070B"/>
    <w:rsid w:val="00E40970"/>
    <w:rsid w:val="00E40ECE"/>
    <w:rsid w:val="00E40F9B"/>
    <w:rsid w:val="00E40FCE"/>
    <w:rsid w:val="00E41146"/>
    <w:rsid w:val="00E414A7"/>
    <w:rsid w:val="00E4153F"/>
    <w:rsid w:val="00E41568"/>
    <w:rsid w:val="00E416A6"/>
    <w:rsid w:val="00E425DA"/>
    <w:rsid w:val="00E427FA"/>
    <w:rsid w:val="00E42B4E"/>
    <w:rsid w:val="00E42FE3"/>
    <w:rsid w:val="00E43C8A"/>
    <w:rsid w:val="00E4459D"/>
    <w:rsid w:val="00E44BCB"/>
    <w:rsid w:val="00E455C5"/>
    <w:rsid w:val="00E45670"/>
    <w:rsid w:val="00E45681"/>
    <w:rsid w:val="00E45AD0"/>
    <w:rsid w:val="00E45C51"/>
    <w:rsid w:val="00E4615E"/>
    <w:rsid w:val="00E4676C"/>
    <w:rsid w:val="00E46D0F"/>
    <w:rsid w:val="00E4756E"/>
    <w:rsid w:val="00E478BC"/>
    <w:rsid w:val="00E478C2"/>
    <w:rsid w:val="00E478FC"/>
    <w:rsid w:val="00E47ABF"/>
    <w:rsid w:val="00E47CF4"/>
    <w:rsid w:val="00E47FD2"/>
    <w:rsid w:val="00E50448"/>
    <w:rsid w:val="00E50588"/>
    <w:rsid w:val="00E5068E"/>
    <w:rsid w:val="00E50B1A"/>
    <w:rsid w:val="00E50C46"/>
    <w:rsid w:val="00E5118F"/>
    <w:rsid w:val="00E5168A"/>
    <w:rsid w:val="00E519B7"/>
    <w:rsid w:val="00E51DEE"/>
    <w:rsid w:val="00E51E43"/>
    <w:rsid w:val="00E52005"/>
    <w:rsid w:val="00E523D0"/>
    <w:rsid w:val="00E524E2"/>
    <w:rsid w:val="00E53032"/>
    <w:rsid w:val="00E53131"/>
    <w:rsid w:val="00E532B0"/>
    <w:rsid w:val="00E53BD0"/>
    <w:rsid w:val="00E53E3B"/>
    <w:rsid w:val="00E53FDA"/>
    <w:rsid w:val="00E540A3"/>
    <w:rsid w:val="00E543CB"/>
    <w:rsid w:val="00E546AD"/>
    <w:rsid w:val="00E548C8"/>
    <w:rsid w:val="00E5534A"/>
    <w:rsid w:val="00E5542E"/>
    <w:rsid w:val="00E55A90"/>
    <w:rsid w:val="00E56CD8"/>
    <w:rsid w:val="00E56E12"/>
    <w:rsid w:val="00E570C0"/>
    <w:rsid w:val="00E574DE"/>
    <w:rsid w:val="00E577C2"/>
    <w:rsid w:val="00E5794C"/>
    <w:rsid w:val="00E57BC0"/>
    <w:rsid w:val="00E57CA7"/>
    <w:rsid w:val="00E57CC0"/>
    <w:rsid w:val="00E57D21"/>
    <w:rsid w:val="00E6008B"/>
    <w:rsid w:val="00E606F8"/>
    <w:rsid w:val="00E60940"/>
    <w:rsid w:val="00E61153"/>
    <w:rsid w:val="00E61856"/>
    <w:rsid w:val="00E61E34"/>
    <w:rsid w:val="00E620FB"/>
    <w:rsid w:val="00E6229F"/>
    <w:rsid w:val="00E6248D"/>
    <w:rsid w:val="00E62CE2"/>
    <w:rsid w:val="00E62D68"/>
    <w:rsid w:val="00E631E1"/>
    <w:rsid w:val="00E6401A"/>
    <w:rsid w:val="00E640DB"/>
    <w:rsid w:val="00E6434D"/>
    <w:rsid w:val="00E64593"/>
    <w:rsid w:val="00E646E5"/>
    <w:rsid w:val="00E647E2"/>
    <w:rsid w:val="00E648C1"/>
    <w:rsid w:val="00E64E1A"/>
    <w:rsid w:val="00E64F55"/>
    <w:rsid w:val="00E65473"/>
    <w:rsid w:val="00E654C1"/>
    <w:rsid w:val="00E65868"/>
    <w:rsid w:val="00E65DC5"/>
    <w:rsid w:val="00E662F5"/>
    <w:rsid w:val="00E6630F"/>
    <w:rsid w:val="00E663FA"/>
    <w:rsid w:val="00E66D9F"/>
    <w:rsid w:val="00E66E39"/>
    <w:rsid w:val="00E66EDF"/>
    <w:rsid w:val="00E67126"/>
    <w:rsid w:val="00E67352"/>
    <w:rsid w:val="00E67648"/>
    <w:rsid w:val="00E67B04"/>
    <w:rsid w:val="00E67E54"/>
    <w:rsid w:val="00E7002F"/>
    <w:rsid w:val="00E70BF7"/>
    <w:rsid w:val="00E70F7A"/>
    <w:rsid w:val="00E71951"/>
    <w:rsid w:val="00E72136"/>
    <w:rsid w:val="00E72591"/>
    <w:rsid w:val="00E7259E"/>
    <w:rsid w:val="00E726CF"/>
    <w:rsid w:val="00E72E0A"/>
    <w:rsid w:val="00E72E57"/>
    <w:rsid w:val="00E7318E"/>
    <w:rsid w:val="00E739A5"/>
    <w:rsid w:val="00E73AAD"/>
    <w:rsid w:val="00E73E5E"/>
    <w:rsid w:val="00E749E7"/>
    <w:rsid w:val="00E74FBC"/>
    <w:rsid w:val="00E74FC2"/>
    <w:rsid w:val="00E7506C"/>
    <w:rsid w:val="00E75BA3"/>
    <w:rsid w:val="00E75E3C"/>
    <w:rsid w:val="00E76B8E"/>
    <w:rsid w:val="00E7704E"/>
    <w:rsid w:val="00E77274"/>
    <w:rsid w:val="00E776CC"/>
    <w:rsid w:val="00E77705"/>
    <w:rsid w:val="00E77B37"/>
    <w:rsid w:val="00E77B5A"/>
    <w:rsid w:val="00E77FB0"/>
    <w:rsid w:val="00E800E6"/>
    <w:rsid w:val="00E80514"/>
    <w:rsid w:val="00E80980"/>
    <w:rsid w:val="00E80CA3"/>
    <w:rsid w:val="00E80E60"/>
    <w:rsid w:val="00E81084"/>
    <w:rsid w:val="00E81166"/>
    <w:rsid w:val="00E813C9"/>
    <w:rsid w:val="00E81621"/>
    <w:rsid w:val="00E81812"/>
    <w:rsid w:val="00E81D9C"/>
    <w:rsid w:val="00E82173"/>
    <w:rsid w:val="00E8278A"/>
    <w:rsid w:val="00E82C66"/>
    <w:rsid w:val="00E82E83"/>
    <w:rsid w:val="00E82EEB"/>
    <w:rsid w:val="00E83126"/>
    <w:rsid w:val="00E83566"/>
    <w:rsid w:val="00E8378D"/>
    <w:rsid w:val="00E8392F"/>
    <w:rsid w:val="00E83A0B"/>
    <w:rsid w:val="00E83CCE"/>
    <w:rsid w:val="00E83FEA"/>
    <w:rsid w:val="00E84261"/>
    <w:rsid w:val="00E84E04"/>
    <w:rsid w:val="00E84F85"/>
    <w:rsid w:val="00E8503D"/>
    <w:rsid w:val="00E85196"/>
    <w:rsid w:val="00E85498"/>
    <w:rsid w:val="00E85606"/>
    <w:rsid w:val="00E85640"/>
    <w:rsid w:val="00E85A37"/>
    <w:rsid w:val="00E85CD2"/>
    <w:rsid w:val="00E86167"/>
    <w:rsid w:val="00E861F5"/>
    <w:rsid w:val="00E869EB"/>
    <w:rsid w:val="00E8710B"/>
    <w:rsid w:val="00E871CD"/>
    <w:rsid w:val="00E876C7"/>
    <w:rsid w:val="00E878CE"/>
    <w:rsid w:val="00E87978"/>
    <w:rsid w:val="00E87ADD"/>
    <w:rsid w:val="00E87EE4"/>
    <w:rsid w:val="00E87FF8"/>
    <w:rsid w:val="00E90164"/>
    <w:rsid w:val="00E904A0"/>
    <w:rsid w:val="00E90D06"/>
    <w:rsid w:val="00E90E5F"/>
    <w:rsid w:val="00E90EA2"/>
    <w:rsid w:val="00E9106B"/>
    <w:rsid w:val="00E9166D"/>
    <w:rsid w:val="00E91EDA"/>
    <w:rsid w:val="00E921CC"/>
    <w:rsid w:val="00E9251F"/>
    <w:rsid w:val="00E92C05"/>
    <w:rsid w:val="00E92D37"/>
    <w:rsid w:val="00E92E05"/>
    <w:rsid w:val="00E92F22"/>
    <w:rsid w:val="00E92FAB"/>
    <w:rsid w:val="00E930E8"/>
    <w:rsid w:val="00E93281"/>
    <w:rsid w:val="00E93A4C"/>
    <w:rsid w:val="00E93C16"/>
    <w:rsid w:val="00E943EF"/>
    <w:rsid w:val="00E94959"/>
    <w:rsid w:val="00E94B16"/>
    <w:rsid w:val="00E95749"/>
    <w:rsid w:val="00E95B5B"/>
    <w:rsid w:val="00E95BB5"/>
    <w:rsid w:val="00E961E2"/>
    <w:rsid w:val="00E96255"/>
    <w:rsid w:val="00E962D3"/>
    <w:rsid w:val="00E96BD8"/>
    <w:rsid w:val="00E96D77"/>
    <w:rsid w:val="00E97389"/>
    <w:rsid w:val="00E9750C"/>
    <w:rsid w:val="00E97602"/>
    <w:rsid w:val="00E97D41"/>
    <w:rsid w:val="00E97D91"/>
    <w:rsid w:val="00EA0026"/>
    <w:rsid w:val="00EA0860"/>
    <w:rsid w:val="00EA0B88"/>
    <w:rsid w:val="00EA0CEF"/>
    <w:rsid w:val="00EA0DD1"/>
    <w:rsid w:val="00EA12CA"/>
    <w:rsid w:val="00EA1393"/>
    <w:rsid w:val="00EA13AB"/>
    <w:rsid w:val="00EA1D7D"/>
    <w:rsid w:val="00EA1F63"/>
    <w:rsid w:val="00EA21AB"/>
    <w:rsid w:val="00EA2294"/>
    <w:rsid w:val="00EA2C92"/>
    <w:rsid w:val="00EA2DDB"/>
    <w:rsid w:val="00EA3093"/>
    <w:rsid w:val="00EA348C"/>
    <w:rsid w:val="00EA3B39"/>
    <w:rsid w:val="00EA44D8"/>
    <w:rsid w:val="00EA5C08"/>
    <w:rsid w:val="00EA5C28"/>
    <w:rsid w:val="00EA6074"/>
    <w:rsid w:val="00EA6206"/>
    <w:rsid w:val="00EA64C6"/>
    <w:rsid w:val="00EA6AFB"/>
    <w:rsid w:val="00EA6D41"/>
    <w:rsid w:val="00EA708C"/>
    <w:rsid w:val="00EA7090"/>
    <w:rsid w:val="00EA7545"/>
    <w:rsid w:val="00EA79DB"/>
    <w:rsid w:val="00EA7AC1"/>
    <w:rsid w:val="00EA7E68"/>
    <w:rsid w:val="00EB03B9"/>
    <w:rsid w:val="00EB0AB2"/>
    <w:rsid w:val="00EB0AF5"/>
    <w:rsid w:val="00EB0C76"/>
    <w:rsid w:val="00EB12BC"/>
    <w:rsid w:val="00EB139F"/>
    <w:rsid w:val="00EB1570"/>
    <w:rsid w:val="00EB21C5"/>
    <w:rsid w:val="00EB23AE"/>
    <w:rsid w:val="00EB25D0"/>
    <w:rsid w:val="00EB26A9"/>
    <w:rsid w:val="00EB2D29"/>
    <w:rsid w:val="00EB2ED8"/>
    <w:rsid w:val="00EB365E"/>
    <w:rsid w:val="00EB3C69"/>
    <w:rsid w:val="00EB3EDA"/>
    <w:rsid w:val="00EB3FBE"/>
    <w:rsid w:val="00EB436F"/>
    <w:rsid w:val="00EB4762"/>
    <w:rsid w:val="00EB55CC"/>
    <w:rsid w:val="00EB5BE7"/>
    <w:rsid w:val="00EB5E11"/>
    <w:rsid w:val="00EB6265"/>
    <w:rsid w:val="00EB646D"/>
    <w:rsid w:val="00EB65F1"/>
    <w:rsid w:val="00EB666F"/>
    <w:rsid w:val="00EB67E5"/>
    <w:rsid w:val="00EB6973"/>
    <w:rsid w:val="00EB71C9"/>
    <w:rsid w:val="00EB720E"/>
    <w:rsid w:val="00EB768C"/>
    <w:rsid w:val="00EB7CB7"/>
    <w:rsid w:val="00EB7D0D"/>
    <w:rsid w:val="00EC0DAD"/>
    <w:rsid w:val="00EC11B1"/>
    <w:rsid w:val="00EC1215"/>
    <w:rsid w:val="00EC1400"/>
    <w:rsid w:val="00EC1711"/>
    <w:rsid w:val="00EC1AEE"/>
    <w:rsid w:val="00EC1C3F"/>
    <w:rsid w:val="00EC20AE"/>
    <w:rsid w:val="00EC2141"/>
    <w:rsid w:val="00EC21C8"/>
    <w:rsid w:val="00EC262B"/>
    <w:rsid w:val="00EC2734"/>
    <w:rsid w:val="00EC2ED7"/>
    <w:rsid w:val="00EC2F9D"/>
    <w:rsid w:val="00EC325D"/>
    <w:rsid w:val="00EC3286"/>
    <w:rsid w:val="00EC3AE3"/>
    <w:rsid w:val="00EC4295"/>
    <w:rsid w:val="00EC49B5"/>
    <w:rsid w:val="00EC4CBA"/>
    <w:rsid w:val="00EC54B4"/>
    <w:rsid w:val="00EC569C"/>
    <w:rsid w:val="00EC58A8"/>
    <w:rsid w:val="00EC5A12"/>
    <w:rsid w:val="00EC5B4D"/>
    <w:rsid w:val="00EC6560"/>
    <w:rsid w:val="00EC6B35"/>
    <w:rsid w:val="00EC70F3"/>
    <w:rsid w:val="00EC731A"/>
    <w:rsid w:val="00EC75F1"/>
    <w:rsid w:val="00EC7796"/>
    <w:rsid w:val="00EC7FC0"/>
    <w:rsid w:val="00ED0E3B"/>
    <w:rsid w:val="00ED0E58"/>
    <w:rsid w:val="00ED107D"/>
    <w:rsid w:val="00ED15B1"/>
    <w:rsid w:val="00ED18B9"/>
    <w:rsid w:val="00ED1A08"/>
    <w:rsid w:val="00ED1E2D"/>
    <w:rsid w:val="00ED1FF8"/>
    <w:rsid w:val="00ED2051"/>
    <w:rsid w:val="00ED2365"/>
    <w:rsid w:val="00ED2896"/>
    <w:rsid w:val="00ED2B90"/>
    <w:rsid w:val="00ED2E4E"/>
    <w:rsid w:val="00ED31D9"/>
    <w:rsid w:val="00ED32E4"/>
    <w:rsid w:val="00ED410E"/>
    <w:rsid w:val="00ED4361"/>
    <w:rsid w:val="00ED475B"/>
    <w:rsid w:val="00ED4DDB"/>
    <w:rsid w:val="00ED538C"/>
    <w:rsid w:val="00ED5394"/>
    <w:rsid w:val="00ED568B"/>
    <w:rsid w:val="00ED59ED"/>
    <w:rsid w:val="00ED5C86"/>
    <w:rsid w:val="00ED6965"/>
    <w:rsid w:val="00ED7327"/>
    <w:rsid w:val="00ED7A19"/>
    <w:rsid w:val="00EE031E"/>
    <w:rsid w:val="00EE059B"/>
    <w:rsid w:val="00EE094A"/>
    <w:rsid w:val="00EE0E11"/>
    <w:rsid w:val="00EE1055"/>
    <w:rsid w:val="00EE1B66"/>
    <w:rsid w:val="00EE1ED1"/>
    <w:rsid w:val="00EE250B"/>
    <w:rsid w:val="00EE2CF3"/>
    <w:rsid w:val="00EE31A7"/>
    <w:rsid w:val="00EE3B6C"/>
    <w:rsid w:val="00EE3F54"/>
    <w:rsid w:val="00EE422C"/>
    <w:rsid w:val="00EE44AD"/>
    <w:rsid w:val="00EE460F"/>
    <w:rsid w:val="00EE48F6"/>
    <w:rsid w:val="00EE4CDB"/>
    <w:rsid w:val="00EE4F50"/>
    <w:rsid w:val="00EE56B5"/>
    <w:rsid w:val="00EE5840"/>
    <w:rsid w:val="00EE5A0F"/>
    <w:rsid w:val="00EE5BCE"/>
    <w:rsid w:val="00EE5F4E"/>
    <w:rsid w:val="00EE6CC9"/>
    <w:rsid w:val="00EE6EBB"/>
    <w:rsid w:val="00EE728D"/>
    <w:rsid w:val="00EE77F4"/>
    <w:rsid w:val="00EE78F4"/>
    <w:rsid w:val="00EE7F8D"/>
    <w:rsid w:val="00EEE210"/>
    <w:rsid w:val="00EF03C3"/>
    <w:rsid w:val="00EF0675"/>
    <w:rsid w:val="00EF0A5E"/>
    <w:rsid w:val="00EF0D4C"/>
    <w:rsid w:val="00EF20CE"/>
    <w:rsid w:val="00EF2315"/>
    <w:rsid w:val="00EF2A23"/>
    <w:rsid w:val="00EF3363"/>
    <w:rsid w:val="00EF349D"/>
    <w:rsid w:val="00EF3695"/>
    <w:rsid w:val="00EF3A57"/>
    <w:rsid w:val="00EF3E98"/>
    <w:rsid w:val="00EF4757"/>
    <w:rsid w:val="00EF4830"/>
    <w:rsid w:val="00EF4C1F"/>
    <w:rsid w:val="00EF4D62"/>
    <w:rsid w:val="00EF6938"/>
    <w:rsid w:val="00EF70EF"/>
    <w:rsid w:val="00EF769C"/>
    <w:rsid w:val="00EF78F4"/>
    <w:rsid w:val="00EF79C8"/>
    <w:rsid w:val="00F00A81"/>
    <w:rsid w:val="00F00FA8"/>
    <w:rsid w:val="00F00FDA"/>
    <w:rsid w:val="00F01382"/>
    <w:rsid w:val="00F013A6"/>
    <w:rsid w:val="00F02415"/>
    <w:rsid w:val="00F02F26"/>
    <w:rsid w:val="00F036A3"/>
    <w:rsid w:val="00F036EE"/>
    <w:rsid w:val="00F03A10"/>
    <w:rsid w:val="00F03C51"/>
    <w:rsid w:val="00F0438D"/>
    <w:rsid w:val="00F04AB3"/>
    <w:rsid w:val="00F04FFB"/>
    <w:rsid w:val="00F05077"/>
    <w:rsid w:val="00F05795"/>
    <w:rsid w:val="00F05F79"/>
    <w:rsid w:val="00F06268"/>
    <w:rsid w:val="00F062E0"/>
    <w:rsid w:val="00F06671"/>
    <w:rsid w:val="00F06ADE"/>
    <w:rsid w:val="00F06BC4"/>
    <w:rsid w:val="00F06D79"/>
    <w:rsid w:val="00F06F35"/>
    <w:rsid w:val="00F0724F"/>
    <w:rsid w:val="00F07C5F"/>
    <w:rsid w:val="00F07EBB"/>
    <w:rsid w:val="00F10748"/>
    <w:rsid w:val="00F10891"/>
    <w:rsid w:val="00F1097B"/>
    <w:rsid w:val="00F10A19"/>
    <w:rsid w:val="00F10A5D"/>
    <w:rsid w:val="00F10D8F"/>
    <w:rsid w:val="00F11679"/>
    <w:rsid w:val="00F11DE4"/>
    <w:rsid w:val="00F11E64"/>
    <w:rsid w:val="00F127C0"/>
    <w:rsid w:val="00F12E0D"/>
    <w:rsid w:val="00F13041"/>
    <w:rsid w:val="00F1311F"/>
    <w:rsid w:val="00F132D1"/>
    <w:rsid w:val="00F13307"/>
    <w:rsid w:val="00F13473"/>
    <w:rsid w:val="00F13828"/>
    <w:rsid w:val="00F13911"/>
    <w:rsid w:val="00F14301"/>
    <w:rsid w:val="00F143F8"/>
    <w:rsid w:val="00F1449F"/>
    <w:rsid w:val="00F1491F"/>
    <w:rsid w:val="00F14B40"/>
    <w:rsid w:val="00F14DCA"/>
    <w:rsid w:val="00F1507C"/>
    <w:rsid w:val="00F154E4"/>
    <w:rsid w:val="00F15505"/>
    <w:rsid w:val="00F1556B"/>
    <w:rsid w:val="00F155A6"/>
    <w:rsid w:val="00F155CC"/>
    <w:rsid w:val="00F15C6F"/>
    <w:rsid w:val="00F15E03"/>
    <w:rsid w:val="00F16069"/>
    <w:rsid w:val="00F16EAE"/>
    <w:rsid w:val="00F1720D"/>
    <w:rsid w:val="00F1733E"/>
    <w:rsid w:val="00F173E1"/>
    <w:rsid w:val="00F174BB"/>
    <w:rsid w:val="00F17B61"/>
    <w:rsid w:val="00F17D36"/>
    <w:rsid w:val="00F17ED0"/>
    <w:rsid w:val="00F2006C"/>
    <w:rsid w:val="00F206E3"/>
    <w:rsid w:val="00F2073B"/>
    <w:rsid w:val="00F21688"/>
    <w:rsid w:val="00F21A0D"/>
    <w:rsid w:val="00F224AE"/>
    <w:rsid w:val="00F22615"/>
    <w:rsid w:val="00F2273C"/>
    <w:rsid w:val="00F22A37"/>
    <w:rsid w:val="00F23073"/>
    <w:rsid w:val="00F2332D"/>
    <w:rsid w:val="00F23B85"/>
    <w:rsid w:val="00F23DF9"/>
    <w:rsid w:val="00F241B7"/>
    <w:rsid w:val="00F24442"/>
    <w:rsid w:val="00F24491"/>
    <w:rsid w:val="00F245F2"/>
    <w:rsid w:val="00F246CB"/>
    <w:rsid w:val="00F24967"/>
    <w:rsid w:val="00F24BD0"/>
    <w:rsid w:val="00F24E84"/>
    <w:rsid w:val="00F253E2"/>
    <w:rsid w:val="00F2548B"/>
    <w:rsid w:val="00F2550E"/>
    <w:rsid w:val="00F2586E"/>
    <w:rsid w:val="00F25EBF"/>
    <w:rsid w:val="00F2657E"/>
    <w:rsid w:val="00F268EB"/>
    <w:rsid w:val="00F26CAE"/>
    <w:rsid w:val="00F26FA2"/>
    <w:rsid w:val="00F27569"/>
    <w:rsid w:val="00F27BFE"/>
    <w:rsid w:val="00F27C2E"/>
    <w:rsid w:val="00F30924"/>
    <w:rsid w:val="00F30A5F"/>
    <w:rsid w:val="00F30AEC"/>
    <w:rsid w:val="00F30F9E"/>
    <w:rsid w:val="00F31396"/>
    <w:rsid w:val="00F31986"/>
    <w:rsid w:val="00F32B61"/>
    <w:rsid w:val="00F32D7A"/>
    <w:rsid w:val="00F32E33"/>
    <w:rsid w:val="00F33BDE"/>
    <w:rsid w:val="00F33CC0"/>
    <w:rsid w:val="00F33D06"/>
    <w:rsid w:val="00F34342"/>
    <w:rsid w:val="00F35ADD"/>
    <w:rsid w:val="00F35BDF"/>
    <w:rsid w:val="00F36005"/>
    <w:rsid w:val="00F3604B"/>
    <w:rsid w:val="00F363FD"/>
    <w:rsid w:val="00F368F3"/>
    <w:rsid w:val="00F371BD"/>
    <w:rsid w:val="00F37304"/>
    <w:rsid w:val="00F37759"/>
    <w:rsid w:val="00F37F89"/>
    <w:rsid w:val="00F405C0"/>
    <w:rsid w:val="00F4092F"/>
    <w:rsid w:val="00F40DA7"/>
    <w:rsid w:val="00F413E6"/>
    <w:rsid w:val="00F416C1"/>
    <w:rsid w:val="00F41C17"/>
    <w:rsid w:val="00F41CC9"/>
    <w:rsid w:val="00F421BD"/>
    <w:rsid w:val="00F429D8"/>
    <w:rsid w:val="00F42E50"/>
    <w:rsid w:val="00F43466"/>
    <w:rsid w:val="00F43668"/>
    <w:rsid w:val="00F43706"/>
    <w:rsid w:val="00F43742"/>
    <w:rsid w:val="00F4374D"/>
    <w:rsid w:val="00F43C9A"/>
    <w:rsid w:val="00F44759"/>
    <w:rsid w:val="00F44C82"/>
    <w:rsid w:val="00F4547D"/>
    <w:rsid w:val="00F45A57"/>
    <w:rsid w:val="00F45B0C"/>
    <w:rsid w:val="00F45DFA"/>
    <w:rsid w:val="00F4636A"/>
    <w:rsid w:val="00F46BCE"/>
    <w:rsid w:val="00F46FB4"/>
    <w:rsid w:val="00F47586"/>
    <w:rsid w:val="00F47A38"/>
    <w:rsid w:val="00F47EA3"/>
    <w:rsid w:val="00F501A8"/>
    <w:rsid w:val="00F50E64"/>
    <w:rsid w:val="00F51324"/>
    <w:rsid w:val="00F51353"/>
    <w:rsid w:val="00F51706"/>
    <w:rsid w:val="00F51A2A"/>
    <w:rsid w:val="00F52070"/>
    <w:rsid w:val="00F52192"/>
    <w:rsid w:val="00F52351"/>
    <w:rsid w:val="00F52AF2"/>
    <w:rsid w:val="00F52BFE"/>
    <w:rsid w:val="00F52E06"/>
    <w:rsid w:val="00F53458"/>
    <w:rsid w:val="00F53734"/>
    <w:rsid w:val="00F53CC3"/>
    <w:rsid w:val="00F53D37"/>
    <w:rsid w:val="00F54AF5"/>
    <w:rsid w:val="00F550AD"/>
    <w:rsid w:val="00F559A2"/>
    <w:rsid w:val="00F55A3B"/>
    <w:rsid w:val="00F55B59"/>
    <w:rsid w:val="00F55D9F"/>
    <w:rsid w:val="00F55E6B"/>
    <w:rsid w:val="00F55FBA"/>
    <w:rsid w:val="00F562B0"/>
    <w:rsid w:val="00F565AE"/>
    <w:rsid w:val="00F566D2"/>
    <w:rsid w:val="00F569F3"/>
    <w:rsid w:val="00F60020"/>
    <w:rsid w:val="00F600F6"/>
    <w:rsid w:val="00F6021E"/>
    <w:rsid w:val="00F60276"/>
    <w:rsid w:val="00F60469"/>
    <w:rsid w:val="00F60B2D"/>
    <w:rsid w:val="00F60EDE"/>
    <w:rsid w:val="00F613A1"/>
    <w:rsid w:val="00F61A60"/>
    <w:rsid w:val="00F61CC0"/>
    <w:rsid w:val="00F621F0"/>
    <w:rsid w:val="00F62214"/>
    <w:rsid w:val="00F62320"/>
    <w:rsid w:val="00F6239C"/>
    <w:rsid w:val="00F627D7"/>
    <w:rsid w:val="00F63272"/>
    <w:rsid w:val="00F63436"/>
    <w:rsid w:val="00F634B0"/>
    <w:rsid w:val="00F63515"/>
    <w:rsid w:val="00F6363F"/>
    <w:rsid w:val="00F63A24"/>
    <w:rsid w:val="00F63A87"/>
    <w:rsid w:val="00F645A5"/>
    <w:rsid w:val="00F645B5"/>
    <w:rsid w:val="00F646D1"/>
    <w:rsid w:val="00F64881"/>
    <w:rsid w:val="00F648EA"/>
    <w:rsid w:val="00F64CF2"/>
    <w:rsid w:val="00F65300"/>
    <w:rsid w:val="00F6549A"/>
    <w:rsid w:val="00F654E7"/>
    <w:rsid w:val="00F65A15"/>
    <w:rsid w:val="00F65A28"/>
    <w:rsid w:val="00F65B65"/>
    <w:rsid w:val="00F66425"/>
    <w:rsid w:val="00F667AF"/>
    <w:rsid w:val="00F67350"/>
    <w:rsid w:val="00F6774A"/>
    <w:rsid w:val="00F679B5"/>
    <w:rsid w:val="00F67A65"/>
    <w:rsid w:val="00F70218"/>
    <w:rsid w:val="00F7029D"/>
    <w:rsid w:val="00F70885"/>
    <w:rsid w:val="00F7090A"/>
    <w:rsid w:val="00F70E54"/>
    <w:rsid w:val="00F70FE3"/>
    <w:rsid w:val="00F7108F"/>
    <w:rsid w:val="00F71302"/>
    <w:rsid w:val="00F713BC"/>
    <w:rsid w:val="00F71509"/>
    <w:rsid w:val="00F71A19"/>
    <w:rsid w:val="00F72610"/>
    <w:rsid w:val="00F72D0E"/>
    <w:rsid w:val="00F72EF8"/>
    <w:rsid w:val="00F73526"/>
    <w:rsid w:val="00F73AE2"/>
    <w:rsid w:val="00F73BFF"/>
    <w:rsid w:val="00F73F93"/>
    <w:rsid w:val="00F740C9"/>
    <w:rsid w:val="00F74132"/>
    <w:rsid w:val="00F754A3"/>
    <w:rsid w:val="00F756A5"/>
    <w:rsid w:val="00F759A3"/>
    <w:rsid w:val="00F75BC3"/>
    <w:rsid w:val="00F75F0D"/>
    <w:rsid w:val="00F76929"/>
    <w:rsid w:val="00F76A8B"/>
    <w:rsid w:val="00F76C86"/>
    <w:rsid w:val="00F76DA0"/>
    <w:rsid w:val="00F76DCD"/>
    <w:rsid w:val="00F773AD"/>
    <w:rsid w:val="00F774FB"/>
    <w:rsid w:val="00F77D4F"/>
    <w:rsid w:val="00F80BD1"/>
    <w:rsid w:val="00F8135E"/>
    <w:rsid w:val="00F818AC"/>
    <w:rsid w:val="00F82021"/>
    <w:rsid w:val="00F8241E"/>
    <w:rsid w:val="00F83190"/>
    <w:rsid w:val="00F83606"/>
    <w:rsid w:val="00F83FEE"/>
    <w:rsid w:val="00F8430E"/>
    <w:rsid w:val="00F84689"/>
    <w:rsid w:val="00F849A2"/>
    <w:rsid w:val="00F849E1"/>
    <w:rsid w:val="00F84B96"/>
    <w:rsid w:val="00F84E71"/>
    <w:rsid w:val="00F851C3"/>
    <w:rsid w:val="00F85D1B"/>
    <w:rsid w:val="00F85E43"/>
    <w:rsid w:val="00F86D80"/>
    <w:rsid w:val="00F86FA2"/>
    <w:rsid w:val="00F870E7"/>
    <w:rsid w:val="00F877AF"/>
    <w:rsid w:val="00F87AEA"/>
    <w:rsid w:val="00F87B6A"/>
    <w:rsid w:val="00F87D28"/>
    <w:rsid w:val="00F87E17"/>
    <w:rsid w:val="00F900AB"/>
    <w:rsid w:val="00F902D4"/>
    <w:rsid w:val="00F90896"/>
    <w:rsid w:val="00F90A80"/>
    <w:rsid w:val="00F90D1F"/>
    <w:rsid w:val="00F90ED6"/>
    <w:rsid w:val="00F9124E"/>
    <w:rsid w:val="00F912E4"/>
    <w:rsid w:val="00F91D4D"/>
    <w:rsid w:val="00F9200D"/>
    <w:rsid w:val="00F926BD"/>
    <w:rsid w:val="00F929AD"/>
    <w:rsid w:val="00F930F3"/>
    <w:rsid w:val="00F9317F"/>
    <w:rsid w:val="00F93AC8"/>
    <w:rsid w:val="00F93F2B"/>
    <w:rsid w:val="00F94198"/>
    <w:rsid w:val="00F94222"/>
    <w:rsid w:val="00F94ABA"/>
    <w:rsid w:val="00F94ACA"/>
    <w:rsid w:val="00F9569C"/>
    <w:rsid w:val="00F9586F"/>
    <w:rsid w:val="00F9589A"/>
    <w:rsid w:val="00F95E88"/>
    <w:rsid w:val="00F96337"/>
    <w:rsid w:val="00F96476"/>
    <w:rsid w:val="00F966B2"/>
    <w:rsid w:val="00F96817"/>
    <w:rsid w:val="00F96AAA"/>
    <w:rsid w:val="00F96E7A"/>
    <w:rsid w:val="00F96E89"/>
    <w:rsid w:val="00F97F4C"/>
    <w:rsid w:val="00F97FA3"/>
    <w:rsid w:val="00FA00B8"/>
    <w:rsid w:val="00FA03DF"/>
    <w:rsid w:val="00FA0439"/>
    <w:rsid w:val="00FA06E3"/>
    <w:rsid w:val="00FA0CF8"/>
    <w:rsid w:val="00FA15BB"/>
    <w:rsid w:val="00FA1A80"/>
    <w:rsid w:val="00FA1BCE"/>
    <w:rsid w:val="00FA1C2F"/>
    <w:rsid w:val="00FA1E8D"/>
    <w:rsid w:val="00FA26D2"/>
    <w:rsid w:val="00FA2785"/>
    <w:rsid w:val="00FA27A6"/>
    <w:rsid w:val="00FA285B"/>
    <w:rsid w:val="00FA2E41"/>
    <w:rsid w:val="00FA3361"/>
    <w:rsid w:val="00FA3425"/>
    <w:rsid w:val="00FA34A2"/>
    <w:rsid w:val="00FA3835"/>
    <w:rsid w:val="00FA3897"/>
    <w:rsid w:val="00FA4503"/>
    <w:rsid w:val="00FA468B"/>
    <w:rsid w:val="00FA4968"/>
    <w:rsid w:val="00FA4EDF"/>
    <w:rsid w:val="00FA4FB0"/>
    <w:rsid w:val="00FA51DB"/>
    <w:rsid w:val="00FA52B0"/>
    <w:rsid w:val="00FA53B3"/>
    <w:rsid w:val="00FA5572"/>
    <w:rsid w:val="00FA5A0E"/>
    <w:rsid w:val="00FA5CFC"/>
    <w:rsid w:val="00FA63C1"/>
    <w:rsid w:val="00FA6A7C"/>
    <w:rsid w:val="00FA6B5A"/>
    <w:rsid w:val="00FA6C4C"/>
    <w:rsid w:val="00FA7028"/>
    <w:rsid w:val="00FA7675"/>
    <w:rsid w:val="00FA79AF"/>
    <w:rsid w:val="00FA7EF5"/>
    <w:rsid w:val="00FB086A"/>
    <w:rsid w:val="00FB09B4"/>
    <w:rsid w:val="00FB0B2A"/>
    <w:rsid w:val="00FB0D2C"/>
    <w:rsid w:val="00FB0FF7"/>
    <w:rsid w:val="00FB1424"/>
    <w:rsid w:val="00FB19C0"/>
    <w:rsid w:val="00FB2569"/>
    <w:rsid w:val="00FB279F"/>
    <w:rsid w:val="00FB2B28"/>
    <w:rsid w:val="00FB2B52"/>
    <w:rsid w:val="00FB2E1F"/>
    <w:rsid w:val="00FB31B3"/>
    <w:rsid w:val="00FB389B"/>
    <w:rsid w:val="00FB390E"/>
    <w:rsid w:val="00FB3A4E"/>
    <w:rsid w:val="00FB3B76"/>
    <w:rsid w:val="00FB42EF"/>
    <w:rsid w:val="00FB4568"/>
    <w:rsid w:val="00FB45B1"/>
    <w:rsid w:val="00FB45FE"/>
    <w:rsid w:val="00FB4BA9"/>
    <w:rsid w:val="00FB4C73"/>
    <w:rsid w:val="00FB4DAB"/>
    <w:rsid w:val="00FB5309"/>
    <w:rsid w:val="00FB5A89"/>
    <w:rsid w:val="00FB5F34"/>
    <w:rsid w:val="00FB6148"/>
    <w:rsid w:val="00FB659F"/>
    <w:rsid w:val="00FB6692"/>
    <w:rsid w:val="00FB6A32"/>
    <w:rsid w:val="00FB6AC3"/>
    <w:rsid w:val="00FB6E61"/>
    <w:rsid w:val="00FB729B"/>
    <w:rsid w:val="00FB79A3"/>
    <w:rsid w:val="00FB7C3A"/>
    <w:rsid w:val="00FB7F40"/>
    <w:rsid w:val="00FB7F5C"/>
    <w:rsid w:val="00FC0858"/>
    <w:rsid w:val="00FC0881"/>
    <w:rsid w:val="00FC0A81"/>
    <w:rsid w:val="00FC0C99"/>
    <w:rsid w:val="00FC0F04"/>
    <w:rsid w:val="00FC1485"/>
    <w:rsid w:val="00FC23A4"/>
    <w:rsid w:val="00FC26C0"/>
    <w:rsid w:val="00FC2738"/>
    <w:rsid w:val="00FC2BE5"/>
    <w:rsid w:val="00FC2F75"/>
    <w:rsid w:val="00FC3135"/>
    <w:rsid w:val="00FC3505"/>
    <w:rsid w:val="00FC386D"/>
    <w:rsid w:val="00FC3AC6"/>
    <w:rsid w:val="00FC3C6B"/>
    <w:rsid w:val="00FC440B"/>
    <w:rsid w:val="00FC444A"/>
    <w:rsid w:val="00FC49C6"/>
    <w:rsid w:val="00FC4DBA"/>
    <w:rsid w:val="00FC4E77"/>
    <w:rsid w:val="00FC55D3"/>
    <w:rsid w:val="00FC5688"/>
    <w:rsid w:val="00FC578E"/>
    <w:rsid w:val="00FC5DED"/>
    <w:rsid w:val="00FC6054"/>
    <w:rsid w:val="00FC6614"/>
    <w:rsid w:val="00FC68B0"/>
    <w:rsid w:val="00FC6A75"/>
    <w:rsid w:val="00FC6B4D"/>
    <w:rsid w:val="00FC6BFD"/>
    <w:rsid w:val="00FC6D31"/>
    <w:rsid w:val="00FC7128"/>
    <w:rsid w:val="00FC7146"/>
    <w:rsid w:val="00FC77E0"/>
    <w:rsid w:val="00FC78CF"/>
    <w:rsid w:val="00FC7E49"/>
    <w:rsid w:val="00FC7F8D"/>
    <w:rsid w:val="00FD0190"/>
    <w:rsid w:val="00FD0C5F"/>
    <w:rsid w:val="00FD1E39"/>
    <w:rsid w:val="00FD1E5C"/>
    <w:rsid w:val="00FD1FBC"/>
    <w:rsid w:val="00FD2337"/>
    <w:rsid w:val="00FD26C2"/>
    <w:rsid w:val="00FD2965"/>
    <w:rsid w:val="00FD31F7"/>
    <w:rsid w:val="00FD357F"/>
    <w:rsid w:val="00FD37AF"/>
    <w:rsid w:val="00FD413A"/>
    <w:rsid w:val="00FD4431"/>
    <w:rsid w:val="00FD4F41"/>
    <w:rsid w:val="00FD5339"/>
    <w:rsid w:val="00FD54EC"/>
    <w:rsid w:val="00FD554A"/>
    <w:rsid w:val="00FD5DD1"/>
    <w:rsid w:val="00FD6C24"/>
    <w:rsid w:val="00FD6CAB"/>
    <w:rsid w:val="00FD6D0C"/>
    <w:rsid w:val="00FD715C"/>
    <w:rsid w:val="00FD716E"/>
    <w:rsid w:val="00FD7EF8"/>
    <w:rsid w:val="00FE00B3"/>
    <w:rsid w:val="00FE0350"/>
    <w:rsid w:val="00FE0428"/>
    <w:rsid w:val="00FE0959"/>
    <w:rsid w:val="00FE0AE9"/>
    <w:rsid w:val="00FE0D63"/>
    <w:rsid w:val="00FE130F"/>
    <w:rsid w:val="00FE17B1"/>
    <w:rsid w:val="00FE263A"/>
    <w:rsid w:val="00FE3553"/>
    <w:rsid w:val="00FE36FD"/>
    <w:rsid w:val="00FE44D0"/>
    <w:rsid w:val="00FE452A"/>
    <w:rsid w:val="00FE4698"/>
    <w:rsid w:val="00FE4792"/>
    <w:rsid w:val="00FE4895"/>
    <w:rsid w:val="00FE4910"/>
    <w:rsid w:val="00FE4B9E"/>
    <w:rsid w:val="00FE548A"/>
    <w:rsid w:val="00FE57F0"/>
    <w:rsid w:val="00FE5953"/>
    <w:rsid w:val="00FE5BCF"/>
    <w:rsid w:val="00FE604A"/>
    <w:rsid w:val="00FE6819"/>
    <w:rsid w:val="00FE6953"/>
    <w:rsid w:val="00FE6D9E"/>
    <w:rsid w:val="00FE6FCF"/>
    <w:rsid w:val="00FF024A"/>
    <w:rsid w:val="00FF036A"/>
    <w:rsid w:val="00FF074D"/>
    <w:rsid w:val="00FF0A78"/>
    <w:rsid w:val="00FF0C7B"/>
    <w:rsid w:val="00FF0D12"/>
    <w:rsid w:val="00FF1352"/>
    <w:rsid w:val="00FF1491"/>
    <w:rsid w:val="00FF1D5D"/>
    <w:rsid w:val="00FF1F0A"/>
    <w:rsid w:val="00FF22FF"/>
    <w:rsid w:val="00FF2CE6"/>
    <w:rsid w:val="00FF2E3B"/>
    <w:rsid w:val="00FF3008"/>
    <w:rsid w:val="00FF33D0"/>
    <w:rsid w:val="00FF3D32"/>
    <w:rsid w:val="00FF4327"/>
    <w:rsid w:val="00FF4855"/>
    <w:rsid w:val="00FF4B4B"/>
    <w:rsid w:val="00FF53FD"/>
    <w:rsid w:val="00FF59E7"/>
    <w:rsid w:val="00FF5A3E"/>
    <w:rsid w:val="00FF5C5B"/>
    <w:rsid w:val="00FF6324"/>
    <w:rsid w:val="00FF6971"/>
    <w:rsid w:val="00FF698B"/>
    <w:rsid w:val="00FF6B97"/>
    <w:rsid w:val="00FF783A"/>
    <w:rsid w:val="00FF7DAB"/>
    <w:rsid w:val="00FF7FC5"/>
    <w:rsid w:val="0107FFFD"/>
    <w:rsid w:val="01080A6D"/>
    <w:rsid w:val="010C31D5"/>
    <w:rsid w:val="01194544"/>
    <w:rsid w:val="012420CE"/>
    <w:rsid w:val="012EAF09"/>
    <w:rsid w:val="015228BD"/>
    <w:rsid w:val="01617254"/>
    <w:rsid w:val="016E7893"/>
    <w:rsid w:val="016F741E"/>
    <w:rsid w:val="019DA2D9"/>
    <w:rsid w:val="019EE2FB"/>
    <w:rsid w:val="01A0A730"/>
    <w:rsid w:val="01A9E500"/>
    <w:rsid w:val="01B36331"/>
    <w:rsid w:val="01B99075"/>
    <w:rsid w:val="01D18628"/>
    <w:rsid w:val="01E1C179"/>
    <w:rsid w:val="020CCBE0"/>
    <w:rsid w:val="021561C2"/>
    <w:rsid w:val="02352CE6"/>
    <w:rsid w:val="024148D5"/>
    <w:rsid w:val="02452C42"/>
    <w:rsid w:val="02453D9A"/>
    <w:rsid w:val="02672D09"/>
    <w:rsid w:val="026BC5F5"/>
    <w:rsid w:val="026CC92D"/>
    <w:rsid w:val="0270574A"/>
    <w:rsid w:val="0281EF34"/>
    <w:rsid w:val="02843E46"/>
    <w:rsid w:val="0287B427"/>
    <w:rsid w:val="028D366A"/>
    <w:rsid w:val="028E4557"/>
    <w:rsid w:val="028E549D"/>
    <w:rsid w:val="029F4F3C"/>
    <w:rsid w:val="02A80236"/>
    <w:rsid w:val="02F5A6FA"/>
    <w:rsid w:val="0305E9B7"/>
    <w:rsid w:val="03443356"/>
    <w:rsid w:val="036EF97D"/>
    <w:rsid w:val="03897CA0"/>
    <w:rsid w:val="038B8C07"/>
    <w:rsid w:val="03973475"/>
    <w:rsid w:val="03A3E10B"/>
    <w:rsid w:val="03B66893"/>
    <w:rsid w:val="03B80FF9"/>
    <w:rsid w:val="03B8B77C"/>
    <w:rsid w:val="03D1D95E"/>
    <w:rsid w:val="03DB2983"/>
    <w:rsid w:val="03F0CDDB"/>
    <w:rsid w:val="03F15143"/>
    <w:rsid w:val="040EC90C"/>
    <w:rsid w:val="04112F41"/>
    <w:rsid w:val="041703F2"/>
    <w:rsid w:val="041B427E"/>
    <w:rsid w:val="04279A9D"/>
    <w:rsid w:val="0436E903"/>
    <w:rsid w:val="0452D287"/>
    <w:rsid w:val="04597D3D"/>
    <w:rsid w:val="0468B497"/>
    <w:rsid w:val="04709CCB"/>
    <w:rsid w:val="04724217"/>
    <w:rsid w:val="0478A8D8"/>
    <w:rsid w:val="047EB9C2"/>
    <w:rsid w:val="0486482B"/>
    <w:rsid w:val="048DEC83"/>
    <w:rsid w:val="04B84FB7"/>
    <w:rsid w:val="04D6559B"/>
    <w:rsid w:val="04E16B47"/>
    <w:rsid w:val="04E8F85B"/>
    <w:rsid w:val="04F50CB5"/>
    <w:rsid w:val="04FB5D32"/>
    <w:rsid w:val="051E53C4"/>
    <w:rsid w:val="0549AAC2"/>
    <w:rsid w:val="056498D1"/>
    <w:rsid w:val="057087D3"/>
    <w:rsid w:val="059F64C3"/>
    <w:rsid w:val="05A1658F"/>
    <w:rsid w:val="05AFB7F1"/>
    <w:rsid w:val="05B4A88C"/>
    <w:rsid w:val="05B9010D"/>
    <w:rsid w:val="05B9879B"/>
    <w:rsid w:val="05C95D2F"/>
    <w:rsid w:val="05D8EB22"/>
    <w:rsid w:val="05DBDD8C"/>
    <w:rsid w:val="05ED0950"/>
    <w:rsid w:val="05F82C21"/>
    <w:rsid w:val="05FAD184"/>
    <w:rsid w:val="061285D7"/>
    <w:rsid w:val="062C2145"/>
    <w:rsid w:val="06418E29"/>
    <w:rsid w:val="066D4875"/>
    <w:rsid w:val="067B70C8"/>
    <w:rsid w:val="067FEFB6"/>
    <w:rsid w:val="06944314"/>
    <w:rsid w:val="069C715D"/>
    <w:rsid w:val="06A7B7B3"/>
    <w:rsid w:val="06BDAE97"/>
    <w:rsid w:val="06D41D4D"/>
    <w:rsid w:val="06D6BDB7"/>
    <w:rsid w:val="06DC4E97"/>
    <w:rsid w:val="06ED85D5"/>
    <w:rsid w:val="07007CFD"/>
    <w:rsid w:val="070828DF"/>
    <w:rsid w:val="070D62CA"/>
    <w:rsid w:val="07159BFB"/>
    <w:rsid w:val="072EBAAE"/>
    <w:rsid w:val="0731EF23"/>
    <w:rsid w:val="075078ED"/>
    <w:rsid w:val="075FEAC5"/>
    <w:rsid w:val="0760A78D"/>
    <w:rsid w:val="07794C24"/>
    <w:rsid w:val="077F5A25"/>
    <w:rsid w:val="079CF7F6"/>
    <w:rsid w:val="07B789CF"/>
    <w:rsid w:val="07D98220"/>
    <w:rsid w:val="07DE2456"/>
    <w:rsid w:val="07DF80AE"/>
    <w:rsid w:val="07E7DF9C"/>
    <w:rsid w:val="07FD6EF7"/>
    <w:rsid w:val="07FEE828"/>
    <w:rsid w:val="083062D4"/>
    <w:rsid w:val="083B6D57"/>
    <w:rsid w:val="083FA87B"/>
    <w:rsid w:val="0850541F"/>
    <w:rsid w:val="0859CFF2"/>
    <w:rsid w:val="085AF26B"/>
    <w:rsid w:val="0867BB93"/>
    <w:rsid w:val="08731F81"/>
    <w:rsid w:val="08A03305"/>
    <w:rsid w:val="08A6E590"/>
    <w:rsid w:val="08E369BB"/>
    <w:rsid w:val="08F0DBA3"/>
    <w:rsid w:val="08F929EF"/>
    <w:rsid w:val="08FD26F7"/>
    <w:rsid w:val="09010F20"/>
    <w:rsid w:val="091B39D0"/>
    <w:rsid w:val="092E9757"/>
    <w:rsid w:val="092FAF2A"/>
    <w:rsid w:val="09531A83"/>
    <w:rsid w:val="0971412C"/>
    <w:rsid w:val="09733A49"/>
    <w:rsid w:val="0979389D"/>
    <w:rsid w:val="097A8603"/>
    <w:rsid w:val="097C8106"/>
    <w:rsid w:val="09818CA0"/>
    <w:rsid w:val="098CAAF1"/>
    <w:rsid w:val="09962620"/>
    <w:rsid w:val="099BCE88"/>
    <w:rsid w:val="09B22E24"/>
    <w:rsid w:val="09CF2F13"/>
    <w:rsid w:val="09D138A0"/>
    <w:rsid w:val="09F30B92"/>
    <w:rsid w:val="09F8C249"/>
    <w:rsid w:val="0A1501E1"/>
    <w:rsid w:val="0A353CEE"/>
    <w:rsid w:val="0A3AFC6C"/>
    <w:rsid w:val="0A42B519"/>
    <w:rsid w:val="0A535DEB"/>
    <w:rsid w:val="0A583B94"/>
    <w:rsid w:val="0A6A6304"/>
    <w:rsid w:val="0A71C2B2"/>
    <w:rsid w:val="0A8627C2"/>
    <w:rsid w:val="0A9C1E08"/>
    <w:rsid w:val="0A9FF7CE"/>
    <w:rsid w:val="0AADAD08"/>
    <w:rsid w:val="0AB256FB"/>
    <w:rsid w:val="0AB50F8A"/>
    <w:rsid w:val="0AB51DC5"/>
    <w:rsid w:val="0AD5293F"/>
    <w:rsid w:val="0AD97B6F"/>
    <w:rsid w:val="0ADC172F"/>
    <w:rsid w:val="0AE1DEDF"/>
    <w:rsid w:val="0AE9AEBD"/>
    <w:rsid w:val="0B06AA8B"/>
    <w:rsid w:val="0B1126F2"/>
    <w:rsid w:val="0B1C6A1A"/>
    <w:rsid w:val="0B1DCA1B"/>
    <w:rsid w:val="0B1E9EB3"/>
    <w:rsid w:val="0B252024"/>
    <w:rsid w:val="0B2AA839"/>
    <w:rsid w:val="0B309380"/>
    <w:rsid w:val="0B36891F"/>
    <w:rsid w:val="0B4A9E67"/>
    <w:rsid w:val="0B795D9A"/>
    <w:rsid w:val="0B7D5F26"/>
    <w:rsid w:val="0B8C0B42"/>
    <w:rsid w:val="0BB23205"/>
    <w:rsid w:val="0BB7A852"/>
    <w:rsid w:val="0BD0C926"/>
    <w:rsid w:val="0BD2234B"/>
    <w:rsid w:val="0BD4E4B6"/>
    <w:rsid w:val="0C022BD1"/>
    <w:rsid w:val="0C12E08C"/>
    <w:rsid w:val="0C45480F"/>
    <w:rsid w:val="0C5AA618"/>
    <w:rsid w:val="0C5DC95E"/>
    <w:rsid w:val="0C67A526"/>
    <w:rsid w:val="0C700755"/>
    <w:rsid w:val="0C7071FC"/>
    <w:rsid w:val="0C7E70F3"/>
    <w:rsid w:val="0C94431D"/>
    <w:rsid w:val="0C9E6A56"/>
    <w:rsid w:val="0CA8E35A"/>
    <w:rsid w:val="0CBD0DC9"/>
    <w:rsid w:val="0CE72140"/>
    <w:rsid w:val="0CEA02A0"/>
    <w:rsid w:val="0D0D0889"/>
    <w:rsid w:val="0D2D8FB0"/>
    <w:rsid w:val="0D5DB071"/>
    <w:rsid w:val="0D672B11"/>
    <w:rsid w:val="0D75494E"/>
    <w:rsid w:val="0DA7E023"/>
    <w:rsid w:val="0DAF3709"/>
    <w:rsid w:val="0DB0021E"/>
    <w:rsid w:val="0DC3B9D0"/>
    <w:rsid w:val="0DCD1145"/>
    <w:rsid w:val="0DCE5B40"/>
    <w:rsid w:val="0DD0044A"/>
    <w:rsid w:val="0DD37594"/>
    <w:rsid w:val="0DF27EA3"/>
    <w:rsid w:val="0E033E06"/>
    <w:rsid w:val="0E15F901"/>
    <w:rsid w:val="0E1CF75B"/>
    <w:rsid w:val="0E4122C2"/>
    <w:rsid w:val="0E4BBEBE"/>
    <w:rsid w:val="0E555893"/>
    <w:rsid w:val="0E67FA52"/>
    <w:rsid w:val="0E6C0F12"/>
    <w:rsid w:val="0E7C4AF0"/>
    <w:rsid w:val="0E8C74DD"/>
    <w:rsid w:val="0EABD1DC"/>
    <w:rsid w:val="0EAD359C"/>
    <w:rsid w:val="0EB2C3EE"/>
    <w:rsid w:val="0ED6804C"/>
    <w:rsid w:val="0EF454A6"/>
    <w:rsid w:val="0F10249D"/>
    <w:rsid w:val="0F10FB99"/>
    <w:rsid w:val="0F15E1ED"/>
    <w:rsid w:val="0F24A5EC"/>
    <w:rsid w:val="0F357958"/>
    <w:rsid w:val="0F38DB55"/>
    <w:rsid w:val="0F4D484B"/>
    <w:rsid w:val="0F66129A"/>
    <w:rsid w:val="0F79ECFF"/>
    <w:rsid w:val="0F888B6D"/>
    <w:rsid w:val="0F8B03CD"/>
    <w:rsid w:val="0F8E259E"/>
    <w:rsid w:val="0F94C4B1"/>
    <w:rsid w:val="0F972923"/>
    <w:rsid w:val="0F9DF505"/>
    <w:rsid w:val="0F9E529A"/>
    <w:rsid w:val="0FAA0446"/>
    <w:rsid w:val="0FBF6453"/>
    <w:rsid w:val="0FC34153"/>
    <w:rsid w:val="0FC48400"/>
    <w:rsid w:val="0FD3986F"/>
    <w:rsid w:val="0FDDC508"/>
    <w:rsid w:val="0FE9831A"/>
    <w:rsid w:val="0FF95879"/>
    <w:rsid w:val="0FFFD397"/>
    <w:rsid w:val="1022A8D6"/>
    <w:rsid w:val="102776E7"/>
    <w:rsid w:val="104334BB"/>
    <w:rsid w:val="10611FD4"/>
    <w:rsid w:val="1070B8CB"/>
    <w:rsid w:val="108BC0B1"/>
    <w:rsid w:val="1099FB58"/>
    <w:rsid w:val="109DF12C"/>
    <w:rsid w:val="10A21115"/>
    <w:rsid w:val="10D40EC8"/>
    <w:rsid w:val="10E42F16"/>
    <w:rsid w:val="10E6886B"/>
    <w:rsid w:val="10EBA5EA"/>
    <w:rsid w:val="10F6F9B3"/>
    <w:rsid w:val="111600B3"/>
    <w:rsid w:val="113D842B"/>
    <w:rsid w:val="11428811"/>
    <w:rsid w:val="1148D53C"/>
    <w:rsid w:val="11526050"/>
    <w:rsid w:val="115AA6C5"/>
    <w:rsid w:val="11B9DFEB"/>
    <w:rsid w:val="11D10007"/>
    <w:rsid w:val="11D67BC4"/>
    <w:rsid w:val="11F886FF"/>
    <w:rsid w:val="1206816A"/>
    <w:rsid w:val="120AF7D4"/>
    <w:rsid w:val="12174687"/>
    <w:rsid w:val="125429ED"/>
    <w:rsid w:val="128EB7DA"/>
    <w:rsid w:val="12A0D63B"/>
    <w:rsid w:val="12A5F336"/>
    <w:rsid w:val="12B0BF3F"/>
    <w:rsid w:val="12B1D114"/>
    <w:rsid w:val="12B6E65D"/>
    <w:rsid w:val="12BD2066"/>
    <w:rsid w:val="12F678B4"/>
    <w:rsid w:val="13038614"/>
    <w:rsid w:val="131EEC4D"/>
    <w:rsid w:val="13283814"/>
    <w:rsid w:val="1332A320"/>
    <w:rsid w:val="133BFEB4"/>
    <w:rsid w:val="1355B04C"/>
    <w:rsid w:val="136890C7"/>
    <w:rsid w:val="1384E27C"/>
    <w:rsid w:val="1394992E"/>
    <w:rsid w:val="1398C096"/>
    <w:rsid w:val="13BBEA0C"/>
    <w:rsid w:val="13BCF676"/>
    <w:rsid w:val="13CA70CB"/>
    <w:rsid w:val="13E2F178"/>
    <w:rsid w:val="13ED95DA"/>
    <w:rsid w:val="13F29215"/>
    <w:rsid w:val="140A0AF4"/>
    <w:rsid w:val="142F6BA9"/>
    <w:rsid w:val="14320F34"/>
    <w:rsid w:val="1435472D"/>
    <w:rsid w:val="1437FF5F"/>
    <w:rsid w:val="143CA69C"/>
    <w:rsid w:val="14401AE6"/>
    <w:rsid w:val="144DF59D"/>
    <w:rsid w:val="145A6BE6"/>
    <w:rsid w:val="146A97AE"/>
    <w:rsid w:val="147524ED"/>
    <w:rsid w:val="147EFDDD"/>
    <w:rsid w:val="1480483E"/>
    <w:rsid w:val="14936E74"/>
    <w:rsid w:val="1493FE7E"/>
    <w:rsid w:val="14A7F277"/>
    <w:rsid w:val="14AA886A"/>
    <w:rsid w:val="14ABFDD3"/>
    <w:rsid w:val="14C13911"/>
    <w:rsid w:val="14D11524"/>
    <w:rsid w:val="14E25482"/>
    <w:rsid w:val="14E5D96C"/>
    <w:rsid w:val="14EC3993"/>
    <w:rsid w:val="14F35FDB"/>
    <w:rsid w:val="150CD7D5"/>
    <w:rsid w:val="15130695"/>
    <w:rsid w:val="151991D4"/>
    <w:rsid w:val="151B4E0A"/>
    <w:rsid w:val="1530698F"/>
    <w:rsid w:val="153AF066"/>
    <w:rsid w:val="156288B4"/>
    <w:rsid w:val="15641B30"/>
    <w:rsid w:val="1570A0E4"/>
    <w:rsid w:val="15768EFB"/>
    <w:rsid w:val="15859E71"/>
    <w:rsid w:val="15934836"/>
    <w:rsid w:val="1593EDD0"/>
    <w:rsid w:val="159582E2"/>
    <w:rsid w:val="15966BA6"/>
    <w:rsid w:val="159F802C"/>
    <w:rsid w:val="15A3F3AD"/>
    <w:rsid w:val="15BF9746"/>
    <w:rsid w:val="15C3783E"/>
    <w:rsid w:val="15CD9140"/>
    <w:rsid w:val="15E5F8D8"/>
    <w:rsid w:val="15E906E6"/>
    <w:rsid w:val="16006B45"/>
    <w:rsid w:val="1610CAEE"/>
    <w:rsid w:val="1630B2D1"/>
    <w:rsid w:val="16311F66"/>
    <w:rsid w:val="1659090B"/>
    <w:rsid w:val="165A6F28"/>
    <w:rsid w:val="165CD8DA"/>
    <w:rsid w:val="168D924E"/>
    <w:rsid w:val="1697D469"/>
    <w:rsid w:val="169CD10A"/>
    <w:rsid w:val="16A17EA1"/>
    <w:rsid w:val="16C33CD5"/>
    <w:rsid w:val="16CC0433"/>
    <w:rsid w:val="16DC3DB3"/>
    <w:rsid w:val="16F9F01A"/>
    <w:rsid w:val="16FBB3CE"/>
    <w:rsid w:val="17168866"/>
    <w:rsid w:val="171C82E9"/>
    <w:rsid w:val="173AA52C"/>
    <w:rsid w:val="17467FED"/>
    <w:rsid w:val="1756DB86"/>
    <w:rsid w:val="175B2DD5"/>
    <w:rsid w:val="175B8A9F"/>
    <w:rsid w:val="176B4F44"/>
    <w:rsid w:val="1788A918"/>
    <w:rsid w:val="17DED96E"/>
    <w:rsid w:val="17EC9506"/>
    <w:rsid w:val="18207B63"/>
    <w:rsid w:val="182D3F71"/>
    <w:rsid w:val="18438548"/>
    <w:rsid w:val="184AA757"/>
    <w:rsid w:val="184FBA6A"/>
    <w:rsid w:val="185B5B89"/>
    <w:rsid w:val="1869F098"/>
    <w:rsid w:val="1869F555"/>
    <w:rsid w:val="187F8845"/>
    <w:rsid w:val="1891B137"/>
    <w:rsid w:val="189720F5"/>
    <w:rsid w:val="18A09CD2"/>
    <w:rsid w:val="18B709F1"/>
    <w:rsid w:val="18BE392B"/>
    <w:rsid w:val="18CBC77C"/>
    <w:rsid w:val="18D748A7"/>
    <w:rsid w:val="18F9D2B1"/>
    <w:rsid w:val="1902D1E2"/>
    <w:rsid w:val="192237B4"/>
    <w:rsid w:val="193468BF"/>
    <w:rsid w:val="195B58A5"/>
    <w:rsid w:val="195B6FBF"/>
    <w:rsid w:val="19674DC5"/>
    <w:rsid w:val="196C2A5C"/>
    <w:rsid w:val="196E341F"/>
    <w:rsid w:val="19760344"/>
    <w:rsid w:val="199367E1"/>
    <w:rsid w:val="199380FA"/>
    <w:rsid w:val="19A01D49"/>
    <w:rsid w:val="19A53D7E"/>
    <w:rsid w:val="19AE9123"/>
    <w:rsid w:val="19E17044"/>
    <w:rsid w:val="19E677B8"/>
    <w:rsid w:val="19EC6F36"/>
    <w:rsid w:val="19EF7270"/>
    <w:rsid w:val="19FD1930"/>
    <w:rsid w:val="1A0ECD9A"/>
    <w:rsid w:val="1A261EBF"/>
    <w:rsid w:val="1A277C64"/>
    <w:rsid w:val="1A485C62"/>
    <w:rsid w:val="1A59B4B3"/>
    <w:rsid w:val="1A5BC467"/>
    <w:rsid w:val="1A71C941"/>
    <w:rsid w:val="1A7A5DEA"/>
    <w:rsid w:val="1A932019"/>
    <w:rsid w:val="1AB36FF8"/>
    <w:rsid w:val="1AB4D3F4"/>
    <w:rsid w:val="1AB924C8"/>
    <w:rsid w:val="1ABC081B"/>
    <w:rsid w:val="1ACB3E14"/>
    <w:rsid w:val="1B03905B"/>
    <w:rsid w:val="1B0DDA45"/>
    <w:rsid w:val="1B164867"/>
    <w:rsid w:val="1B271FB7"/>
    <w:rsid w:val="1B3FEB77"/>
    <w:rsid w:val="1B43CB15"/>
    <w:rsid w:val="1B4CD06F"/>
    <w:rsid w:val="1B60C231"/>
    <w:rsid w:val="1B812D55"/>
    <w:rsid w:val="1BA588F0"/>
    <w:rsid w:val="1BB46680"/>
    <w:rsid w:val="1BB9BD3E"/>
    <w:rsid w:val="1BCB2C07"/>
    <w:rsid w:val="1BDC7DBF"/>
    <w:rsid w:val="1BE909B9"/>
    <w:rsid w:val="1BF0AA2D"/>
    <w:rsid w:val="1BF5D9ED"/>
    <w:rsid w:val="1C097734"/>
    <w:rsid w:val="1C1BDB46"/>
    <w:rsid w:val="1C1CEA99"/>
    <w:rsid w:val="1C3177F8"/>
    <w:rsid w:val="1C47120C"/>
    <w:rsid w:val="1C6B3C17"/>
    <w:rsid w:val="1C7347B9"/>
    <w:rsid w:val="1C774804"/>
    <w:rsid w:val="1C83A720"/>
    <w:rsid w:val="1C9DE75B"/>
    <w:rsid w:val="1CA22571"/>
    <w:rsid w:val="1CAAD674"/>
    <w:rsid w:val="1CCF87CB"/>
    <w:rsid w:val="1CE6EC38"/>
    <w:rsid w:val="1CF569D1"/>
    <w:rsid w:val="1CF5B404"/>
    <w:rsid w:val="1CF83E35"/>
    <w:rsid w:val="1D0BECD7"/>
    <w:rsid w:val="1D2DDFB7"/>
    <w:rsid w:val="1D3B45B7"/>
    <w:rsid w:val="1D4D943A"/>
    <w:rsid w:val="1D650352"/>
    <w:rsid w:val="1D8E3C80"/>
    <w:rsid w:val="1DB5C814"/>
    <w:rsid w:val="1DDD90ED"/>
    <w:rsid w:val="1DE4B177"/>
    <w:rsid w:val="1DF99904"/>
    <w:rsid w:val="1E1336F4"/>
    <w:rsid w:val="1E2262CE"/>
    <w:rsid w:val="1E3D6103"/>
    <w:rsid w:val="1E3F7B3A"/>
    <w:rsid w:val="1E4C0B5E"/>
    <w:rsid w:val="1E5A7FAE"/>
    <w:rsid w:val="1E61D376"/>
    <w:rsid w:val="1E782DC7"/>
    <w:rsid w:val="1E81D538"/>
    <w:rsid w:val="1E96B9FF"/>
    <w:rsid w:val="1EA7BBE9"/>
    <w:rsid w:val="1EAC6D79"/>
    <w:rsid w:val="1EC9F870"/>
    <w:rsid w:val="1ECFC8D9"/>
    <w:rsid w:val="1EE9B2B0"/>
    <w:rsid w:val="1F212AFA"/>
    <w:rsid w:val="1F28624A"/>
    <w:rsid w:val="1F2B6E7F"/>
    <w:rsid w:val="1F3EF338"/>
    <w:rsid w:val="1F55590E"/>
    <w:rsid w:val="1F69CEBC"/>
    <w:rsid w:val="1F6FDCE3"/>
    <w:rsid w:val="1F705E14"/>
    <w:rsid w:val="1F8686EC"/>
    <w:rsid w:val="1F8B082B"/>
    <w:rsid w:val="1F9590A3"/>
    <w:rsid w:val="1F9EC42A"/>
    <w:rsid w:val="1FA93E2D"/>
    <w:rsid w:val="1FB1E66B"/>
    <w:rsid w:val="1FB87390"/>
    <w:rsid w:val="1FD953F8"/>
    <w:rsid w:val="1FD9C2C1"/>
    <w:rsid w:val="1FDF675F"/>
    <w:rsid w:val="1FE49F57"/>
    <w:rsid w:val="1FE80FFC"/>
    <w:rsid w:val="1FEAAD2E"/>
    <w:rsid w:val="1FEEB07A"/>
    <w:rsid w:val="1FFE956C"/>
    <w:rsid w:val="201DE2B6"/>
    <w:rsid w:val="203B3099"/>
    <w:rsid w:val="20491B06"/>
    <w:rsid w:val="20574DB3"/>
    <w:rsid w:val="205F0307"/>
    <w:rsid w:val="2060B483"/>
    <w:rsid w:val="2069FD23"/>
    <w:rsid w:val="2088BC1E"/>
    <w:rsid w:val="2099ABD0"/>
    <w:rsid w:val="20A5A714"/>
    <w:rsid w:val="20C71CB0"/>
    <w:rsid w:val="20C857A0"/>
    <w:rsid w:val="20DBB0D1"/>
    <w:rsid w:val="20DEDC66"/>
    <w:rsid w:val="20E82276"/>
    <w:rsid w:val="20F214B0"/>
    <w:rsid w:val="2114B848"/>
    <w:rsid w:val="21253879"/>
    <w:rsid w:val="2159CBFA"/>
    <w:rsid w:val="215B7F5E"/>
    <w:rsid w:val="216857EE"/>
    <w:rsid w:val="218DB61B"/>
    <w:rsid w:val="2195A76E"/>
    <w:rsid w:val="21B3ECF6"/>
    <w:rsid w:val="21B6D5CE"/>
    <w:rsid w:val="21EA7094"/>
    <w:rsid w:val="21F1899D"/>
    <w:rsid w:val="21F1A5C4"/>
    <w:rsid w:val="21F25699"/>
    <w:rsid w:val="22053C49"/>
    <w:rsid w:val="220574C9"/>
    <w:rsid w:val="22211C33"/>
    <w:rsid w:val="2258CBBC"/>
    <w:rsid w:val="2262CA09"/>
    <w:rsid w:val="2264187E"/>
    <w:rsid w:val="22680B68"/>
    <w:rsid w:val="22730BC0"/>
    <w:rsid w:val="22753163"/>
    <w:rsid w:val="22982547"/>
    <w:rsid w:val="229A5AA5"/>
    <w:rsid w:val="229CFAD1"/>
    <w:rsid w:val="22A91F5F"/>
    <w:rsid w:val="22D7CD81"/>
    <w:rsid w:val="22E65B2A"/>
    <w:rsid w:val="2331696E"/>
    <w:rsid w:val="23627160"/>
    <w:rsid w:val="237C9716"/>
    <w:rsid w:val="238638C5"/>
    <w:rsid w:val="238D59FE"/>
    <w:rsid w:val="23A69CD4"/>
    <w:rsid w:val="23B30C73"/>
    <w:rsid w:val="23CEAC99"/>
    <w:rsid w:val="23D00739"/>
    <w:rsid w:val="23EDC621"/>
    <w:rsid w:val="23F02798"/>
    <w:rsid w:val="240623B1"/>
    <w:rsid w:val="241CEF7B"/>
    <w:rsid w:val="242FAD5A"/>
    <w:rsid w:val="2432BC33"/>
    <w:rsid w:val="244D41E9"/>
    <w:rsid w:val="245F86C2"/>
    <w:rsid w:val="24688926"/>
    <w:rsid w:val="246BB2C5"/>
    <w:rsid w:val="24ADC317"/>
    <w:rsid w:val="24B3FB45"/>
    <w:rsid w:val="24C2219D"/>
    <w:rsid w:val="24C67F4C"/>
    <w:rsid w:val="24DE822E"/>
    <w:rsid w:val="24FC7193"/>
    <w:rsid w:val="2501055E"/>
    <w:rsid w:val="25292A5F"/>
    <w:rsid w:val="252F9F02"/>
    <w:rsid w:val="2533910A"/>
    <w:rsid w:val="25370E2F"/>
    <w:rsid w:val="254E4522"/>
    <w:rsid w:val="256DE57F"/>
    <w:rsid w:val="25710C7B"/>
    <w:rsid w:val="25764B84"/>
    <w:rsid w:val="257D863C"/>
    <w:rsid w:val="257E5EFF"/>
    <w:rsid w:val="2581801E"/>
    <w:rsid w:val="25B7C1C5"/>
    <w:rsid w:val="25C25D61"/>
    <w:rsid w:val="25C7C91B"/>
    <w:rsid w:val="25C82ECA"/>
    <w:rsid w:val="25D462D5"/>
    <w:rsid w:val="25E2A1EB"/>
    <w:rsid w:val="25E56AAE"/>
    <w:rsid w:val="25E89F31"/>
    <w:rsid w:val="25F65290"/>
    <w:rsid w:val="25F92908"/>
    <w:rsid w:val="261E62C5"/>
    <w:rsid w:val="262B7299"/>
    <w:rsid w:val="2638BE13"/>
    <w:rsid w:val="26473262"/>
    <w:rsid w:val="26742FE4"/>
    <w:rsid w:val="267E3792"/>
    <w:rsid w:val="268BBE29"/>
    <w:rsid w:val="26A8C5BB"/>
    <w:rsid w:val="26A91BB4"/>
    <w:rsid w:val="26AA97B0"/>
    <w:rsid w:val="26B2F4D4"/>
    <w:rsid w:val="26BCA04B"/>
    <w:rsid w:val="26C3C9DF"/>
    <w:rsid w:val="26C49F68"/>
    <w:rsid w:val="26CBCBB2"/>
    <w:rsid w:val="26D1B7B8"/>
    <w:rsid w:val="26DA4584"/>
    <w:rsid w:val="26E3186F"/>
    <w:rsid w:val="26E88B51"/>
    <w:rsid w:val="26F6DA05"/>
    <w:rsid w:val="26F8E6EF"/>
    <w:rsid w:val="26FB8617"/>
    <w:rsid w:val="272D9151"/>
    <w:rsid w:val="2733182D"/>
    <w:rsid w:val="273CF8AF"/>
    <w:rsid w:val="275A9EE4"/>
    <w:rsid w:val="27A0017D"/>
    <w:rsid w:val="27A0F0DD"/>
    <w:rsid w:val="27BB5622"/>
    <w:rsid w:val="27C0A380"/>
    <w:rsid w:val="27C83CD0"/>
    <w:rsid w:val="27D678EA"/>
    <w:rsid w:val="27E88788"/>
    <w:rsid w:val="27F1BF0C"/>
    <w:rsid w:val="28183711"/>
    <w:rsid w:val="2843B9CB"/>
    <w:rsid w:val="2847A2C4"/>
    <w:rsid w:val="28489825"/>
    <w:rsid w:val="284B64BA"/>
    <w:rsid w:val="2852CBBF"/>
    <w:rsid w:val="28A4995B"/>
    <w:rsid w:val="28ABBF2A"/>
    <w:rsid w:val="28AC0068"/>
    <w:rsid w:val="28C14ECC"/>
    <w:rsid w:val="28F150A3"/>
    <w:rsid w:val="28F80FD0"/>
    <w:rsid w:val="28FDAB9F"/>
    <w:rsid w:val="29052893"/>
    <w:rsid w:val="290D9935"/>
    <w:rsid w:val="290F8CE0"/>
    <w:rsid w:val="293E22FF"/>
    <w:rsid w:val="294A50DA"/>
    <w:rsid w:val="295842BF"/>
    <w:rsid w:val="295EBA5B"/>
    <w:rsid w:val="29610295"/>
    <w:rsid w:val="297C6A63"/>
    <w:rsid w:val="29829666"/>
    <w:rsid w:val="298457E9"/>
    <w:rsid w:val="29C1ED3D"/>
    <w:rsid w:val="29CA7AA9"/>
    <w:rsid w:val="29F948C4"/>
    <w:rsid w:val="29FF53BD"/>
    <w:rsid w:val="2A044CA6"/>
    <w:rsid w:val="2A065C79"/>
    <w:rsid w:val="2A08C3A5"/>
    <w:rsid w:val="2A09587A"/>
    <w:rsid w:val="2A19E9EE"/>
    <w:rsid w:val="2A1CE4A8"/>
    <w:rsid w:val="2A2022F7"/>
    <w:rsid w:val="2A2DFD2E"/>
    <w:rsid w:val="2A3AA779"/>
    <w:rsid w:val="2A54C1CB"/>
    <w:rsid w:val="2A584B22"/>
    <w:rsid w:val="2A668BD6"/>
    <w:rsid w:val="2A6B11BB"/>
    <w:rsid w:val="2A705503"/>
    <w:rsid w:val="2A8D218F"/>
    <w:rsid w:val="2A90B5A7"/>
    <w:rsid w:val="2AA8CAB5"/>
    <w:rsid w:val="2AB329CF"/>
    <w:rsid w:val="2AB34B75"/>
    <w:rsid w:val="2ABC1F92"/>
    <w:rsid w:val="2ACF4892"/>
    <w:rsid w:val="2ADAF449"/>
    <w:rsid w:val="2AE48093"/>
    <w:rsid w:val="2AF2FB67"/>
    <w:rsid w:val="2B12F5F3"/>
    <w:rsid w:val="2B192779"/>
    <w:rsid w:val="2B21F8AA"/>
    <w:rsid w:val="2B3153F2"/>
    <w:rsid w:val="2B53AA74"/>
    <w:rsid w:val="2B581290"/>
    <w:rsid w:val="2B58BE00"/>
    <w:rsid w:val="2B5F1F2F"/>
    <w:rsid w:val="2BA02793"/>
    <w:rsid w:val="2BA16803"/>
    <w:rsid w:val="2BA49406"/>
    <w:rsid w:val="2BA52B08"/>
    <w:rsid w:val="2BA8E991"/>
    <w:rsid w:val="2BAD6E39"/>
    <w:rsid w:val="2BB17C2E"/>
    <w:rsid w:val="2BC061E3"/>
    <w:rsid w:val="2BCD87F5"/>
    <w:rsid w:val="2BD524D1"/>
    <w:rsid w:val="2BE1E36C"/>
    <w:rsid w:val="2BF85105"/>
    <w:rsid w:val="2BF9B6BB"/>
    <w:rsid w:val="2BFECD37"/>
    <w:rsid w:val="2C334C07"/>
    <w:rsid w:val="2C3C03FE"/>
    <w:rsid w:val="2C44960E"/>
    <w:rsid w:val="2C65C9D1"/>
    <w:rsid w:val="2C7E99C3"/>
    <w:rsid w:val="2C8A18EA"/>
    <w:rsid w:val="2C8AE230"/>
    <w:rsid w:val="2C8EF6B6"/>
    <w:rsid w:val="2CAD0970"/>
    <w:rsid w:val="2CC20AA4"/>
    <w:rsid w:val="2CC4C1AA"/>
    <w:rsid w:val="2CCC9A1C"/>
    <w:rsid w:val="2CD2A236"/>
    <w:rsid w:val="2CEC4D32"/>
    <w:rsid w:val="2CF98424"/>
    <w:rsid w:val="2CFAEF90"/>
    <w:rsid w:val="2CFBB3B6"/>
    <w:rsid w:val="2D0AAF70"/>
    <w:rsid w:val="2D0F5C1F"/>
    <w:rsid w:val="2D173443"/>
    <w:rsid w:val="2D1AEEFC"/>
    <w:rsid w:val="2D281256"/>
    <w:rsid w:val="2D2BB693"/>
    <w:rsid w:val="2D44A015"/>
    <w:rsid w:val="2D595707"/>
    <w:rsid w:val="2D598CC4"/>
    <w:rsid w:val="2D5E4CE4"/>
    <w:rsid w:val="2D79B694"/>
    <w:rsid w:val="2D849C41"/>
    <w:rsid w:val="2D86F8DD"/>
    <w:rsid w:val="2D899D59"/>
    <w:rsid w:val="2DCF49BB"/>
    <w:rsid w:val="2DE03C86"/>
    <w:rsid w:val="2DE1C0A2"/>
    <w:rsid w:val="2DF04AAA"/>
    <w:rsid w:val="2DFFE227"/>
    <w:rsid w:val="2E01EAB6"/>
    <w:rsid w:val="2E2091DD"/>
    <w:rsid w:val="2E26E473"/>
    <w:rsid w:val="2E276333"/>
    <w:rsid w:val="2E28BD01"/>
    <w:rsid w:val="2E349C95"/>
    <w:rsid w:val="2E40B45B"/>
    <w:rsid w:val="2E50D785"/>
    <w:rsid w:val="2E60CA9C"/>
    <w:rsid w:val="2E669C1C"/>
    <w:rsid w:val="2E67AE53"/>
    <w:rsid w:val="2E881960"/>
    <w:rsid w:val="2E983EF5"/>
    <w:rsid w:val="2EA67FD1"/>
    <w:rsid w:val="2EBE06B9"/>
    <w:rsid w:val="2EC595A4"/>
    <w:rsid w:val="2EC8683E"/>
    <w:rsid w:val="2EDD0D3E"/>
    <w:rsid w:val="2EE60F4C"/>
    <w:rsid w:val="2EED6F9F"/>
    <w:rsid w:val="2EF52768"/>
    <w:rsid w:val="2EF664F4"/>
    <w:rsid w:val="2F3795E8"/>
    <w:rsid w:val="2F4EF863"/>
    <w:rsid w:val="2F5BBBF5"/>
    <w:rsid w:val="2F75FA18"/>
    <w:rsid w:val="2F95525D"/>
    <w:rsid w:val="2FAAF464"/>
    <w:rsid w:val="2FB1E953"/>
    <w:rsid w:val="2FC419E8"/>
    <w:rsid w:val="2FC80A35"/>
    <w:rsid w:val="2FCEB8D3"/>
    <w:rsid w:val="2FD8B883"/>
    <w:rsid w:val="2FEFF119"/>
    <w:rsid w:val="300C371E"/>
    <w:rsid w:val="3019F0CF"/>
    <w:rsid w:val="303964A7"/>
    <w:rsid w:val="30471809"/>
    <w:rsid w:val="3059D71A"/>
    <w:rsid w:val="306BDD06"/>
    <w:rsid w:val="3071723B"/>
    <w:rsid w:val="307C2AA5"/>
    <w:rsid w:val="3082A244"/>
    <w:rsid w:val="308E4F77"/>
    <w:rsid w:val="3093F044"/>
    <w:rsid w:val="30946C46"/>
    <w:rsid w:val="309EA6ED"/>
    <w:rsid w:val="30BB5201"/>
    <w:rsid w:val="30C14143"/>
    <w:rsid w:val="30CDD685"/>
    <w:rsid w:val="30D36649"/>
    <w:rsid w:val="30DF6EDA"/>
    <w:rsid w:val="30E08A1D"/>
    <w:rsid w:val="30E832EB"/>
    <w:rsid w:val="30ED8819"/>
    <w:rsid w:val="3101C7AA"/>
    <w:rsid w:val="3112B04E"/>
    <w:rsid w:val="313122BE"/>
    <w:rsid w:val="313F04EB"/>
    <w:rsid w:val="316BBB3C"/>
    <w:rsid w:val="31896867"/>
    <w:rsid w:val="31A4C441"/>
    <w:rsid w:val="31C243F9"/>
    <w:rsid w:val="31C43F31"/>
    <w:rsid w:val="31CA0A95"/>
    <w:rsid w:val="31CB0F87"/>
    <w:rsid w:val="31D7F354"/>
    <w:rsid w:val="31E936ED"/>
    <w:rsid w:val="31EFAEBB"/>
    <w:rsid w:val="3221A7FE"/>
    <w:rsid w:val="32258A55"/>
    <w:rsid w:val="323B1247"/>
    <w:rsid w:val="3266A028"/>
    <w:rsid w:val="3271370D"/>
    <w:rsid w:val="3274CE3E"/>
    <w:rsid w:val="328967EC"/>
    <w:rsid w:val="3291E297"/>
    <w:rsid w:val="32933EF9"/>
    <w:rsid w:val="32AC0C0A"/>
    <w:rsid w:val="32C34895"/>
    <w:rsid w:val="32C4C6C1"/>
    <w:rsid w:val="32CC642B"/>
    <w:rsid w:val="32CCF31F"/>
    <w:rsid w:val="32DB63DC"/>
    <w:rsid w:val="32E3F041"/>
    <w:rsid w:val="32FC1493"/>
    <w:rsid w:val="3338BD87"/>
    <w:rsid w:val="3356B6F9"/>
    <w:rsid w:val="33571606"/>
    <w:rsid w:val="335E8101"/>
    <w:rsid w:val="337CD8C5"/>
    <w:rsid w:val="33803D05"/>
    <w:rsid w:val="3386969A"/>
    <w:rsid w:val="33ACF2FE"/>
    <w:rsid w:val="33C0E0C2"/>
    <w:rsid w:val="33D0C9C6"/>
    <w:rsid w:val="33D899DA"/>
    <w:rsid w:val="33F10387"/>
    <w:rsid w:val="33FECA3B"/>
    <w:rsid w:val="34074A0B"/>
    <w:rsid w:val="3409712F"/>
    <w:rsid w:val="3414D423"/>
    <w:rsid w:val="34519411"/>
    <w:rsid w:val="345413E0"/>
    <w:rsid w:val="345B1867"/>
    <w:rsid w:val="345C1F5D"/>
    <w:rsid w:val="3474A17B"/>
    <w:rsid w:val="347EB015"/>
    <w:rsid w:val="349910A8"/>
    <w:rsid w:val="34AFF4F3"/>
    <w:rsid w:val="34C07535"/>
    <w:rsid w:val="34D29B0A"/>
    <w:rsid w:val="34DD2413"/>
    <w:rsid w:val="34ECD918"/>
    <w:rsid w:val="350166D2"/>
    <w:rsid w:val="35105734"/>
    <w:rsid w:val="351B80CF"/>
    <w:rsid w:val="351C430B"/>
    <w:rsid w:val="352625CC"/>
    <w:rsid w:val="3527328C"/>
    <w:rsid w:val="354918F1"/>
    <w:rsid w:val="354F0E51"/>
    <w:rsid w:val="35746A3B"/>
    <w:rsid w:val="357908A3"/>
    <w:rsid w:val="359A25F1"/>
    <w:rsid w:val="35ABBB10"/>
    <w:rsid w:val="35ABC66A"/>
    <w:rsid w:val="35B673AB"/>
    <w:rsid w:val="35B7085C"/>
    <w:rsid w:val="35C4F0FE"/>
    <w:rsid w:val="35D52C3B"/>
    <w:rsid w:val="35E5BDB8"/>
    <w:rsid w:val="35E6502E"/>
    <w:rsid w:val="35F5ECB9"/>
    <w:rsid w:val="35F97564"/>
    <w:rsid w:val="360A8F37"/>
    <w:rsid w:val="360FF9EE"/>
    <w:rsid w:val="361427AD"/>
    <w:rsid w:val="36158D31"/>
    <w:rsid w:val="361EA5DF"/>
    <w:rsid w:val="362542BF"/>
    <w:rsid w:val="36407D84"/>
    <w:rsid w:val="3646FA7B"/>
    <w:rsid w:val="36568A5D"/>
    <w:rsid w:val="365AEE16"/>
    <w:rsid w:val="366F6A8D"/>
    <w:rsid w:val="36976B38"/>
    <w:rsid w:val="369984B7"/>
    <w:rsid w:val="3699C8C3"/>
    <w:rsid w:val="36AA71EC"/>
    <w:rsid w:val="36CEF6C6"/>
    <w:rsid w:val="36D9264C"/>
    <w:rsid w:val="36E2467C"/>
    <w:rsid w:val="36E93F1F"/>
    <w:rsid w:val="3710580E"/>
    <w:rsid w:val="3714CD2B"/>
    <w:rsid w:val="3723C020"/>
    <w:rsid w:val="37297F70"/>
    <w:rsid w:val="3733956A"/>
    <w:rsid w:val="3738CCF8"/>
    <w:rsid w:val="373C4EB9"/>
    <w:rsid w:val="37521793"/>
    <w:rsid w:val="37570F57"/>
    <w:rsid w:val="376BCCA9"/>
    <w:rsid w:val="377A6E6C"/>
    <w:rsid w:val="37C00774"/>
    <w:rsid w:val="37C334BE"/>
    <w:rsid w:val="37CA88A5"/>
    <w:rsid w:val="37D40642"/>
    <w:rsid w:val="37E1CFCF"/>
    <w:rsid w:val="37F03B67"/>
    <w:rsid w:val="37F3FC40"/>
    <w:rsid w:val="38400ADC"/>
    <w:rsid w:val="3862B081"/>
    <w:rsid w:val="386A33D0"/>
    <w:rsid w:val="387EFB5A"/>
    <w:rsid w:val="387F110E"/>
    <w:rsid w:val="3886820A"/>
    <w:rsid w:val="3892E2A0"/>
    <w:rsid w:val="3899CCA8"/>
    <w:rsid w:val="38E57CC2"/>
    <w:rsid w:val="38E95420"/>
    <w:rsid w:val="38ED17C1"/>
    <w:rsid w:val="38EDE71E"/>
    <w:rsid w:val="38F5A752"/>
    <w:rsid w:val="3914E3F3"/>
    <w:rsid w:val="3933C5A7"/>
    <w:rsid w:val="393E205B"/>
    <w:rsid w:val="3952D73C"/>
    <w:rsid w:val="395E3E93"/>
    <w:rsid w:val="3965F3D9"/>
    <w:rsid w:val="396BE96D"/>
    <w:rsid w:val="397A11A5"/>
    <w:rsid w:val="399039F7"/>
    <w:rsid w:val="39944114"/>
    <w:rsid w:val="39AA638F"/>
    <w:rsid w:val="39B04E34"/>
    <w:rsid w:val="39B0ED41"/>
    <w:rsid w:val="39B23A37"/>
    <w:rsid w:val="39C016B3"/>
    <w:rsid w:val="39DE14C7"/>
    <w:rsid w:val="3A26D246"/>
    <w:rsid w:val="3A5B1505"/>
    <w:rsid w:val="3A79CC9B"/>
    <w:rsid w:val="3A7B25E3"/>
    <w:rsid w:val="3A8163D3"/>
    <w:rsid w:val="3A818840"/>
    <w:rsid w:val="3A8982C6"/>
    <w:rsid w:val="3AA63468"/>
    <w:rsid w:val="3AB0B454"/>
    <w:rsid w:val="3AD33D40"/>
    <w:rsid w:val="3AD95B56"/>
    <w:rsid w:val="3ADB99F5"/>
    <w:rsid w:val="3AE0BA75"/>
    <w:rsid w:val="3AE6A670"/>
    <w:rsid w:val="3AE899E8"/>
    <w:rsid w:val="3AEE6661"/>
    <w:rsid w:val="3AFF8C3F"/>
    <w:rsid w:val="3B0FF9C8"/>
    <w:rsid w:val="3B133520"/>
    <w:rsid w:val="3B2B711D"/>
    <w:rsid w:val="3B40F506"/>
    <w:rsid w:val="3B471706"/>
    <w:rsid w:val="3B52719E"/>
    <w:rsid w:val="3B5788BA"/>
    <w:rsid w:val="3B7F837A"/>
    <w:rsid w:val="3B8B09CA"/>
    <w:rsid w:val="3B989258"/>
    <w:rsid w:val="3B9DAA52"/>
    <w:rsid w:val="3BA64D7C"/>
    <w:rsid w:val="3BDB1A40"/>
    <w:rsid w:val="3BDD343C"/>
    <w:rsid w:val="3BDE89B1"/>
    <w:rsid w:val="3C1C4453"/>
    <w:rsid w:val="3C53A4EC"/>
    <w:rsid w:val="3C5C9263"/>
    <w:rsid w:val="3C5E1845"/>
    <w:rsid w:val="3C6F91E1"/>
    <w:rsid w:val="3C88201A"/>
    <w:rsid w:val="3CBE89D4"/>
    <w:rsid w:val="3CCEEEE0"/>
    <w:rsid w:val="3CD21C75"/>
    <w:rsid w:val="3CD258C0"/>
    <w:rsid w:val="3CEC530A"/>
    <w:rsid w:val="3CF65A04"/>
    <w:rsid w:val="3D1449B6"/>
    <w:rsid w:val="3D3548AF"/>
    <w:rsid w:val="3D54DB32"/>
    <w:rsid w:val="3D638FC3"/>
    <w:rsid w:val="3D6F09C2"/>
    <w:rsid w:val="3D7591E9"/>
    <w:rsid w:val="3D770519"/>
    <w:rsid w:val="3D86EC61"/>
    <w:rsid w:val="3D8C2C63"/>
    <w:rsid w:val="3D9BCAF8"/>
    <w:rsid w:val="3D9ECAA1"/>
    <w:rsid w:val="3DE23166"/>
    <w:rsid w:val="3DE985D5"/>
    <w:rsid w:val="3DEED525"/>
    <w:rsid w:val="3E004DDF"/>
    <w:rsid w:val="3E058385"/>
    <w:rsid w:val="3E063BEA"/>
    <w:rsid w:val="3E075A34"/>
    <w:rsid w:val="3E0E5ADA"/>
    <w:rsid w:val="3E1B4A12"/>
    <w:rsid w:val="3E1B9701"/>
    <w:rsid w:val="3E2951D6"/>
    <w:rsid w:val="3E398721"/>
    <w:rsid w:val="3E4A90E7"/>
    <w:rsid w:val="3E5AF09E"/>
    <w:rsid w:val="3E95B6F6"/>
    <w:rsid w:val="3EA5571B"/>
    <w:rsid w:val="3EA56226"/>
    <w:rsid w:val="3EA8C90E"/>
    <w:rsid w:val="3EDD9110"/>
    <w:rsid w:val="3EE1D806"/>
    <w:rsid w:val="3EE776AF"/>
    <w:rsid w:val="3EF67FFA"/>
    <w:rsid w:val="3EF9B073"/>
    <w:rsid w:val="3F149564"/>
    <w:rsid w:val="3F2B7824"/>
    <w:rsid w:val="3F48876C"/>
    <w:rsid w:val="3F6A4F7F"/>
    <w:rsid w:val="3F6EFB2B"/>
    <w:rsid w:val="3F7E110A"/>
    <w:rsid w:val="3F840C7C"/>
    <w:rsid w:val="3F857F22"/>
    <w:rsid w:val="3FB35EED"/>
    <w:rsid w:val="3FC57F0C"/>
    <w:rsid w:val="3FD37670"/>
    <w:rsid w:val="3FD5EFB1"/>
    <w:rsid w:val="4026AD17"/>
    <w:rsid w:val="4034DE82"/>
    <w:rsid w:val="40421CE5"/>
    <w:rsid w:val="405078FF"/>
    <w:rsid w:val="4052CE4E"/>
    <w:rsid w:val="4075AF58"/>
    <w:rsid w:val="407B89B8"/>
    <w:rsid w:val="4083E615"/>
    <w:rsid w:val="40882121"/>
    <w:rsid w:val="40A53C89"/>
    <w:rsid w:val="40B73A54"/>
    <w:rsid w:val="40C36865"/>
    <w:rsid w:val="40C5CDA9"/>
    <w:rsid w:val="40DA6C02"/>
    <w:rsid w:val="40DAE351"/>
    <w:rsid w:val="40F238EB"/>
    <w:rsid w:val="40FC754D"/>
    <w:rsid w:val="40FDE89D"/>
    <w:rsid w:val="4101BAEA"/>
    <w:rsid w:val="410F50B0"/>
    <w:rsid w:val="412190E6"/>
    <w:rsid w:val="413500BC"/>
    <w:rsid w:val="41565D50"/>
    <w:rsid w:val="41586691"/>
    <w:rsid w:val="416085ED"/>
    <w:rsid w:val="4167B01A"/>
    <w:rsid w:val="4179B998"/>
    <w:rsid w:val="418F4138"/>
    <w:rsid w:val="4191909B"/>
    <w:rsid w:val="41BBBE29"/>
    <w:rsid w:val="41CFB988"/>
    <w:rsid w:val="41DB7EA5"/>
    <w:rsid w:val="41E054AA"/>
    <w:rsid w:val="41F97CDF"/>
    <w:rsid w:val="421E147D"/>
    <w:rsid w:val="4231F958"/>
    <w:rsid w:val="42357DB6"/>
    <w:rsid w:val="4236EB7A"/>
    <w:rsid w:val="42612E62"/>
    <w:rsid w:val="42617A5D"/>
    <w:rsid w:val="4281D10B"/>
    <w:rsid w:val="42C5AB08"/>
    <w:rsid w:val="42D1F4CB"/>
    <w:rsid w:val="42D5D9F8"/>
    <w:rsid w:val="4311B261"/>
    <w:rsid w:val="4313F9E4"/>
    <w:rsid w:val="4315CEC1"/>
    <w:rsid w:val="431C8AB4"/>
    <w:rsid w:val="432977FD"/>
    <w:rsid w:val="432B1BB9"/>
    <w:rsid w:val="433292AA"/>
    <w:rsid w:val="43412DC1"/>
    <w:rsid w:val="436337BC"/>
    <w:rsid w:val="43648539"/>
    <w:rsid w:val="436E05AD"/>
    <w:rsid w:val="436E09B9"/>
    <w:rsid w:val="436EA33D"/>
    <w:rsid w:val="438103D8"/>
    <w:rsid w:val="43C5C9B5"/>
    <w:rsid w:val="43D277D2"/>
    <w:rsid w:val="43D48D8B"/>
    <w:rsid w:val="43E5E841"/>
    <w:rsid w:val="43EA2CDC"/>
    <w:rsid w:val="43EA6A5E"/>
    <w:rsid w:val="4403172C"/>
    <w:rsid w:val="44110FA4"/>
    <w:rsid w:val="4440B3DD"/>
    <w:rsid w:val="44442135"/>
    <w:rsid w:val="4445FE2A"/>
    <w:rsid w:val="44464AC0"/>
    <w:rsid w:val="445AE938"/>
    <w:rsid w:val="447B4E76"/>
    <w:rsid w:val="44A20F60"/>
    <w:rsid w:val="44B21C17"/>
    <w:rsid w:val="44BB06B3"/>
    <w:rsid w:val="44C50E68"/>
    <w:rsid w:val="44CBCB93"/>
    <w:rsid w:val="44CC87E5"/>
    <w:rsid w:val="44E931E9"/>
    <w:rsid w:val="44EC1958"/>
    <w:rsid w:val="44F5627C"/>
    <w:rsid w:val="44F91834"/>
    <w:rsid w:val="44FA6A26"/>
    <w:rsid w:val="4507C2BE"/>
    <w:rsid w:val="4511E151"/>
    <w:rsid w:val="45151501"/>
    <w:rsid w:val="45172947"/>
    <w:rsid w:val="452CA1BE"/>
    <w:rsid w:val="457294EF"/>
    <w:rsid w:val="45764A48"/>
    <w:rsid w:val="4580F00A"/>
    <w:rsid w:val="458AAB77"/>
    <w:rsid w:val="458CD556"/>
    <w:rsid w:val="45A19132"/>
    <w:rsid w:val="45AD09D8"/>
    <w:rsid w:val="45C01E61"/>
    <w:rsid w:val="45C7144D"/>
    <w:rsid w:val="45DD9778"/>
    <w:rsid w:val="45DF82A0"/>
    <w:rsid w:val="45E4F6B2"/>
    <w:rsid w:val="45EB129E"/>
    <w:rsid w:val="45F366FB"/>
    <w:rsid w:val="45FD4BCA"/>
    <w:rsid w:val="45FE90B6"/>
    <w:rsid w:val="4611950A"/>
    <w:rsid w:val="4625F423"/>
    <w:rsid w:val="46300C89"/>
    <w:rsid w:val="4641F24E"/>
    <w:rsid w:val="467080C4"/>
    <w:rsid w:val="46752B35"/>
    <w:rsid w:val="468DC53D"/>
    <w:rsid w:val="46990BDB"/>
    <w:rsid w:val="46A792D7"/>
    <w:rsid w:val="46AFA76E"/>
    <w:rsid w:val="46B97007"/>
    <w:rsid w:val="46BC49CC"/>
    <w:rsid w:val="46BE9803"/>
    <w:rsid w:val="46D9515E"/>
    <w:rsid w:val="46DE015C"/>
    <w:rsid w:val="47013D8E"/>
    <w:rsid w:val="4727C84B"/>
    <w:rsid w:val="473515A3"/>
    <w:rsid w:val="4737DEA9"/>
    <w:rsid w:val="47429063"/>
    <w:rsid w:val="474CBC9F"/>
    <w:rsid w:val="477A6020"/>
    <w:rsid w:val="478B3FF3"/>
    <w:rsid w:val="479BBAA5"/>
    <w:rsid w:val="47CBDCEA"/>
    <w:rsid w:val="47CC4C2A"/>
    <w:rsid w:val="47E2CB59"/>
    <w:rsid w:val="47F71092"/>
    <w:rsid w:val="4812D5AA"/>
    <w:rsid w:val="483DF064"/>
    <w:rsid w:val="484694A5"/>
    <w:rsid w:val="485E3D07"/>
    <w:rsid w:val="4863770A"/>
    <w:rsid w:val="48738072"/>
    <w:rsid w:val="4882D843"/>
    <w:rsid w:val="4889CA4D"/>
    <w:rsid w:val="488D0180"/>
    <w:rsid w:val="488D09F1"/>
    <w:rsid w:val="48B21715"/>
    <w:rsid w:val="48B5430C"/>
    <w:rsid w:val="48B63F45"/>
    <w:rsid w:val="48C438E9"/>
    <w:rsid w:val="48C844E8"/>
    <w:rsid w:val="48D280EF"/>
    <w:rsid w:val="48E6F404"/>
    <w:rsid w:val="48F2A2BF"/>
    <w:rsid w:val="491D5C2D"/>
    <w:rsid w:val="4926791C"/>
    <w:rsid w:val="492B9C6E"/>
    <w:rsid w:val="49340E48"/>
    <w:rsid w:val="495A02F6"/>
    <w:rsid w:val="4973D56E"/>
    <w:rsid w:val="4996F8F5"/>
    <w:rsid w:val="49A10323"/>
    <w:rsid w:val="49B2B5FA"/>
    <w:rsid w:val="49C31DEE"/>
    <w:rsid w:val="49C4DA7C"/>
    <w:rsid w:val="49C4E04C"/>
    <w:rsid w:val="4A08C34F"/>
    <w:rsid w:val="4A2D6E32"/>
    <w:rsid w:val="4A4D7ECD"/>
    <w:rsid w:val="4A5A557A"/>
    <w:rsid w:val="4A63BAB5"/>
    <w:rsid w:val="4A6B860E"/>
    <w:rsid w:val="4A6D9B34"/>
    <w:rsid w:val="4A808B01"/>
    <w:rsid w:val="4A8EE35A"/>
    <w:rsid w:val="4AAF71B6"/>
    <w:rsid w:val="4AB1089B"/>
    <w:rsid w:val="4ABA5CDF"/>
    <w:rsid w:val="4ADA244A"/>
    <w:rsid w:val="4AE03CE9"/>
    <w:rsid w:val="4AE45758"/>
    <w:rsid w:val="4AFF97A0"/>
    <w:rsid w:val="4B1229C8"/>
    <w:rsid w:val="4B39EC10"/>
    <w:rsid w:val="4B51DE92"/>
    <w:rsid w:val="4B6BC400"/>
    <w:rsid w:val="4B701760"/>
    <w:rsid w:val="4B82B5D6"/>
    <w:rsid w:val="4B8F584B"/>
    <w:rsid w:val="4B9C7451"/>
    <w:rsid w:val="4BA20E92"/>
    <w:rsid w:val="4BB4896C"/>
    <w:rsid w:val="4BB7D50B"/>
    <w:rsid w:val="4BDBF74E"/>
    <w:rsid w:val="4BF7088F"/>
    <w:rsid w:val="4C099B57"/>
    <w:rsid w:val="4C1730A9"/>
    <w:rsid w:val="4C24EF59"/>
    <w:rsid w:val="4C2C39C9"/>
    <w:rsid w:val="4C2CB269"/>
    <w:rsid w:val="4C408E5A"/>
    <w:rsid w:val="4C4A68BD"/>
    <w:rsid w:val="4C4CD8FC"/>
    <w:rsid w:val="4C751BC3"/>
    <w:rsid w:val="4C8A0653"/>
    <w:rsid w:val="4CA0F651"/>
    <w:rsid w:val="4CA37A73"/>
    <w:rsid w:val="4CD463EE"/>
    <w:rsid w:val="4CD85BE1"/>
    <w:rsid w:val="4CD8C1BA"/>
    <w:rsid w:val="4CE32E2C"/>
    <w:rsid w:val="4CED688E"/>
    <w:rsid w:val="4D01A50A"/>
    <w:rsid w:val="4D082D78"/>
    <w:rsid w:val="4D0DF049"/>
    <w:rsid w:val="4D1F2D5D"/>
    <w:rsid w:val="4D28136F"/>
    <w:rsid w:val="4D28B262"/>
    <w:rsid w:val="4D29DDFB"/>
    <w:rsid w:val="4D2DB6A7"/>
    <w:rsid w:val="4D32DEEE"/>
    <w:rsid w:val="4D4EB2C7"/>
    <w:rsid w:val="4D72D992"/>
    <w:rsid w:val="4D78DE41"/>
    <w:rsid w:val="4D830A42"/>
    <w:rsid w:val="4D856780"/>
    <w:rsid w:val="4D85D458"/>
    <w:rsid w:val="4D8FAAE5"/>
    <w:rsid w:val="4D98E2D0"/>
    <w:rsid w:val="4D9C73F9"/>
    <w:rsid w:val="4DAAE26E"/>
    <w:rsid w:val="4DCFB3D1"/>
    <w:rsid w:val="4DE06C97"/>
    <w:rsid w:val="4DE9EC3E"/>
    <w:rsid w:val="4DFC18EE"/>
    <w:rsid w:val="4E03645B"/>
    <w:rsid w:val="4E1516B1"/>
    <w:rsid w:val="4E4B6DF9"/>
    <w:rsid w:val="4E4D73D2"/>
    <w:rsid w:val="4E588168"/>
    <w:rsid w:val="4E5DAF79"/>
    <w:rsid w:val="4E7A684B"/>
    <w:rsid w:val="4E85F92D"/>
    <w:rsid w:val="4E8D9289"/>
    <w:rsid w:val="4E91D4E9"/>
    <w:rsid w:val="4E9A8157"/>
    <w:rsid w:val="4E9AA9EE"/>
    <w:rsid w:val="4E9CE46D"/>
    <w:rsid w:val="4ED5E9D4"/>
    <w:rsid w:val="4EF10B13"/>
    <w:rsid w:val="4EF12AD5"/>
    <w:rsid w:val="4EF3A055"/>
    <w:rsid w:val="4EFBF235"/>
    <w:rsid w:val="4F006426"/>
    <w:rsid w:val="4F0DF910"/>
    <w:rsid w:val="4F15C98C"/>
    <w:rsid w:val="4F172414"/>
    <w:rsid w:val="4F2609CA"/>
    <w:rsid w:val="4F300CD9"/>
    <w:rsid w:val="4F383EE7"/>
    <w:rsid w:val="4F595216"/>
    <w:rsid w:val="4F62547D"/>
    <w:rsid w:val="4F696637"/>
    <w:rsid w:val="4F7DF0E5"/>
    <w:rsid w:val="4F9B4A8C"/>
    <w:rsid w:val="4FA2CD9D"/>
    <w:rsid w:val="4FB625BE"/>
    <w:rsid w:val="4FC21275"/>
    <w:rsid w:val="4FCCC1D4"/>
    <w:rsid w:val="4FD562FA"/>
    <w:rsid w:val="4FDE5639"/>
    <w:rsid w:val="4FF1875A"/>
    <w:rsid w:val="4FFC91FF"/>
    <w:rsid w:val="5003826B"/>
    <w:rsid w:val="5018942A"/>
    <w:rsid w:val="501AB010"/>
    <w:rsid w:val="502114DF"/>
    <w:rsid w:val="50256C4A"/>
    <w:rsid w:val="50349D42"/>
    <w:rsid w:val="5048FFE6"/>
    <w:rsid w:val="504CFCA6"/>
    <w:rsid w:val="5054B2E0"/>
    <w:rsid w:val="50581F1B"/>
    <w:rsid w:val="50676333"/>
    <w:rsid w:val="509D319A"/>
    <w:rsid w:val="50ADABCA"/>
    <w:rsid w:val="50DDBAA1"/>
    <w:rsid w:val="50F1605C"/>
    <w:rsid w:val="50FAEB4B"/>
    <w:rsid w:val="50FE46D6"/>
    <w:rsid w:val="51323B05"/>
    <w:rsid w:val="5144C050"/>
    <w:rsid w:val="515244EA"/>
    <w:rsid w:val="5160FD62"/>
    <w:rsid w:val="51713CAC"/>
    <w:rsid w:val="51777F4E"/>
    <w:rsid w:val="518108A2"/>
    <w:rsid w:val="51816B4C"/>
    <w:rsid w:val="51830EBB"/>
    <w:rsid w:val="5187636F"/>
    <w:rsid w:val="518AC2AF"/>
    <w:rsid w:val="51915D84"/>
    <w:rsid w:val="519F229E"/>
    <w:rsid w:val="51A46803"/>
    <w:rsid w:val="51AD6A45"/>
    <w:rsid w:val="51C12016"/>
    <w:rsid w:val="51D832CC"/>
    <w:rsid w:val="51EC635B"/>
    <w:rsid w:val="51F60E77"/>
    <w:rsid w:val="52054E8E"/>
    <w:rsid w:val="520F87B3"/>
    <w:rsid w:val="52197A04"/>
    <w:rsid w:val="5220C1E6"/>
    <w:rsid w:val="5226540B"/>
    <w:rsid w:val="52345340"/>
    <w:rsid w:val="523C5404"/>
    <w:rsid w:val="523C7E95"/>
    <w:rsid w:val="523D4ADC"/>
    <w:rsid w:val="5249044E"/>
    <w:rsid w:val="52500622"/>
    <w:rsid w:val="5272A6A6"/>
    <w:rsid w:val="5281882F"/>
    <w:rsid w:val="52B5ECE8"/>
    <w:rsid w:val="52CF81FB"/>
    <w:rsid w:val="52D20DD7"/>
    <w:rsid w:val="5328C269"/>
    <w:rsid w:val="532954C0"/>
    <w:rsid w:val="53468689"/>
    <w:rsid w:val="534CC159"/>
    <w:rsid w:val="537D9961"/>
    <w:rsid w:val="5388F143"/>
    <w:rsid w:val="539732E2"/>
    <w:rsid w:val="53ABB91F"/>
    <w:rsid w:val="53CDAF20"/>
    <w:rsid w:val="53D9A717"/>
    <w:rsid w:val="5408164E"/>
    <w:rsid w:val="542EFBE5"/>
    <w:rsid w:val="54672446"/>
    <w:rsid w:val="549323D6"/>
    <w:rsid w:val="5499004E"/>
    <w:rsid w:val="54A75C87"/>
    <w:rsid w:val="54B68815"/>
    <w:rsid w:val="54BD88F8"/>
    <w:rsid w:val="54C6E3B0"/>
    <w:rsid w:val="54D48F8F"/>
    <w:rsid w:val="54E74C32"/>
    <w:rsid w:val="54F935AF"/>
    <w:rsid w:val="55037DAD"/>
    <w:rsid w:val="55108924"/>
    <w:rsid w:val="5510AF26"/>
    <w:rsid w:val="551BA707"/>
    <w:rsid w:val="552F2C9D"/>
    <w:rsid w:val="5534ECA0"/>
    <w:rsid w:val="554A91A8"/>
    <w:rsid w:val="5561DA0A"/>
    <w:rsid w:val="55681C3B"/>
    <w:rsid w:val="557282F2"/>
    <w:rsid w:val="5597CC8F"/>
    <w:rsid w:val="559D5E6B"/>
    <w:rsid w:val="55B20901"/>
    <w:rsid w:val="55C0C1AE"/>
    <w:rsid w:val="55C717FF"/>
    <w:rsid w:val="55EA7143"/>
    <w:rsid w:val="55FB6149"/>
    <w:rsid w:val="56136F94"/>
    <w:rsid w:val="5621B05A"/>
    <w:rsid w:val="562C1ED5"/>
    <w:rsid w:val="563CA4A9"/>
    <w:rsid w:val="563DF034"/>
    <w:rsid w:val="56403A15"/>
    <w:rsid w:val="5644BA42"/>
    <w:rsid w:val="564CECF8"/>
    <w:rsid w:val="5654A30C"/>
    <w:rsid w:val="56589221"/>
    <w:rsid w:val="565A45FC"/>
    <w:rsid w:val="568AC141"/>
    <w:rsid w:val="56A187D9"/>
    <w:rsid w:val="56A9AF09"/>
    <w:rsid w:val="56AD2F97"/>
    <w:rsid w:val="56B7BB71"/>
    <w:rsid w:val="56C536B8"/>
    <w:rsid w:val="56CED9EA"/>
    <w:rsid w:val="56D657CA"/>
    <w:rsid w:val="56DA60FF"/>
    <w:rsid w:val="56E0231A"/>
    <w:rsid w:val="56E4255B"/>
    <w:rsid w:val="56E66209"/>
    <w:rsid w:val="56ECD7BC"/>
    <w:rsid w:val="5717C33D"/>
    <w:rsid w:val="572535B4"/>
    <w:rsid w:val="5730C53A"/>
    <w:rsid w:val="5739ABB2"/>
    <w:rsid w:val="5741C076"/>
    <w:rsid w:val="5743A0BA"/>
    <w:rsid w:val="5749C1AB"/>
    <w:rsid w:val="5752E85D"/>
    <w:rsid w:val="57588244"/>
    <w:rsid w:val="576BD4D2"/>
    <w:rsid w:val="578C3A34"/>
    <w:rsid w:val="57B181A5"/>
    <w:rsid w:val="57C1B057"/>
    <w:rsid w:val="57C4C73E"/>
    <w:rsid w:val="57C62D1E"/>
    <w:rsid w:val="57CECD6A"/>
    <w:rsid w:val="57DF9025"/>
    <w:rsid w:val="57F614E3"/>
    <w:rsid w:val="5806B219"/>
    <w:rsid w:val="5834EE99"/>
    <w:rsid w:val="58516F84"/>
    <w:rsid w:val="585DB64E"/>
    <w:rsid w:val="58D534B5"/>
    <w:rsid w:val="58D74B6B"/>
    <w:rsid w:val="58FF2693"/>
    <w:rsid w:val="592647EF"/>
    <w:rsid w:val="592C9E75"/>
    <w:rsid w:val="594D331B"/>
    <w:rsid w:val="595B487A"/>
    <w:rsid w:val="5962F2B7"/>
    <w:rsid w:val="597B479A"/>
    <w:rsid w:val="5988E268"/>
    <w:rsid w:val="599D1D78"/>
    <w:rsid w:val="599DBEE5"/>
    <w:rsid w:val="59C49FCE"/>
    <w:rsid w:val="59C632D6"/>
    <w:rsid w:val="59C86E29"/>
    <w:rsid w:val="59F86986"/>
    <w:rsid w:val="5A0E34F0"/>
    <w:rsid w:val="5A1D7EFC"/>
    <w:rsid w:val="5A3297D2"/>
    <w:rsid w:val="5A3A5AA8"/>
    <w:rsid w:val="5A480734"/>
    <w:rsid w:val="5A485A98"/>
    <w:rsid w:val="5A4F23DB"/>
    <w:rsid w:val="5A4FB0BF"/>
    <w:rsid w:val="5A5D1FB2"/>
    <w:rsid w:val="5A719408"/>
    <w:rsid w:val="5A83E605"/>
    <w:rsid w:val="5A842DF8"/>
    <w:rsid w:val="5A8D684D"/>
    <w:rsid w:val="5AA40EBF"/>
    <w:rsid w:val="5AC57B64"/>
    <w:rsid w:val="5AC5F2EA"/>
    <w:rsid w:val="5AD7A27E"/>
    <w:rsid w:val="5AE39DC1"/>
    <w:rsid w:val="5B12918B"/>
    <w:rsid w:val="5B2437EB"/>
    <w:rsid w:val="5B37102D"/>
    <w:rsid w:val="5B5B8EEC"/>
    <w:rsid w:val="5B79BF57"/>
    <w:rsid w:val="5B7D0E1C"/>
    <w:rsid w:val="5BA65BA7"/>
    <w:rsid w:val="5BA77165"/>
    <w:rsid w:val="5BBAE5E3"/>
    <w:rsid w:val="5BC10CD2"/>
    <w:rsid w:val="5BE8A996"/>
    <w:rsid w:val="5C02E828"/>
    <w:rsid w:val="5C090BFC"/>
    <w:rsid w:val="5C0E7200"/>
    <w:rsid w:val="5C0F1D99"/>
    <w:rsid w:val="5C0FE55A"/>
    <w:rsid w:val="5C15D29D"/>
    <w:rsid w:val="5C2C14EE"/>
    <w:rsid w:val="5C3122ED"/>
    <w:rsid w:val="5C33A738"/>
    <w:rsid w:val="5C37CB85"/>
    <w:rsid w:val="5C3AAB13"/>
    <w:rsid w:val="5C440CE5"/>
    <w:rsid w:val="5C4C2179"/>
    <w:rsid w:val="5C59F175"/>
    <w:rsid w:val="5C5A3639"/>
    <w:rsid w:val="5C5CF052"/>
    <w:rsid w:val="5C779BF4"/>
    <w:rsid w:val="5C835286"/>
    <w:rsid w:val="5C9855BE"/>
    <w:rsid w:val="5CA3D1A1"/>
    <w:rsid w:val="5CC970BB"/>
    <w:rsid w:val="5CCDB2C2"/>
    <w:rsid w:val="5D17807A"/>
    <w:rsid w:val="5D4577C7"/>
    <w:rsid w:val="5D49F107"/>
    <w:rsid w:val="5D532BBD"/>
    <w:rsid w:val="5D574E73"/>
    <w:rsid w:val="5D6D0F0D"/>
    <w:rsid w:val="5DA4C955"/>
    <w:rsid w:val="5DAB5C0C"/>
    <w:rsid w:val="5DB58D9D"/>
    <w:rsid w:val="5DB85D8C"/>
    <w:rsid w:val="5DDE4288"/>
    <w:rsid w:val="5DEDC521"/>
    <w:rsid w:val="5E056AAC"/>
    <w:rsid w:val="5E06BAAD"/>
    <w:rsid w:val="5E49585F"/>
    <w:rsid w:val="5E4C2F84"/>
    <w:rsid w:val="5E629665"/>
    <w:rsid w:val="5E6501D6"/>
    <w:rsid w:val="5E769130"/>
    <w:rsid w:val="5E8D62F8"/>
    <w:rsid w:val="5EA0FE85"/>
    <w:rsid w:val="5EB22481"/>
    <w:rsid w:val="5EBB4BBE"/>
    <w:rsid w:val="5EC297F0"/>
    <w:rsid w:val="5EDC904F"/>
    <w:rsid w:val="5EF54DA2"/>
    <w:rsid w:val="5F097135"/>
    <w:rsid w:val="5F09F6F1"/>
    <w:rsid w:val="5F12719C"/>
    <w:rsid w:val="5F3C0184"/>
    <w:rsid w:val="5F45B150"/>
    <w:rsid w:val="5F4E2D2D"/>
    <w:rsid w:val="5F5AE929"/>
    <w:rsid w:val="5F73BED3"/>
    <w:rsid w:val="5F74CF00"/>
    <w:rsid w:val="5F876CED"/>
    <w:rsid w:val="5F95CDC3"/>
    <w:rsid w:val="5F9C47BD"/>
    <w:rsid w:val="5FC04621"/>
    <w:rsid w:val="5FC55BC1"/>
    <w:rsid w:val="5FC734EA"/>
    <w:rsid w:val="5FC93F67"/>
    <w:rsid w:val="5FE90109"/>
    <w:rsid w:val="5FF104AC"/>
    <w:rsid w:val="5FF92DA0"/>
    <w:rsid w:val="5FFAD480"/>
    <w:rsid w:val="60165E83"/>
    <w:rsid w:val="601890B0"/>
    <w:rsid w:val="60295122"/>
    <w:rsid w:val="603DD160"/>
    <w:rsid w:val="604F6996"/>
    <w:rsid w:val="60681AD2"/>
    <w:rsid w:val="6079CCCA"/>
    <w:rsid w:val="60843587"/>
    <w:rsid w:val="608B07A1"/>
    <w:rsid w:val="609C72AB"/>
    <w:rsid w:val="609E53CD"/>
    <w:rsid w:val="60E0B631"/>
    <w:rsid w:val="60E487E5"/>
    <w:rsid w:val="60E625D1"/>
    <w:rsid w:val="60FCC941"/>
    <w:rsid w:val="610E7CDA"/>
    <w:rsid w:val="610EADC9"/>
    <w:rsid w:val="6113034D"/>
    <w:rsid w:val="6133B9B3"/>
    <w:rsid w:val="61394861"/>
    <w:rsid w:val="614D48D9"/>
    <w:rsid w:val="616122F2"/>
    <w:rsid w:val="6183C01E"/>
    <w:rsid w:val="6185937F"/>
    <w:rsid w:val="61950B1D"/>
    <w:rsid w:val="619F1A83"/>
    <w:rsid w:val="61A48BA8"/>
    <w:rsid w:val="61B48DE3"/>
    <w:rsid w:val="61CB525F"/>
    <w:rsid w:val="61EB39F7"/>
    <w:rsid w:val="61F8EFF1"/>
    <w:rsid w:val="62046254"/>
    <w:rsid w:val="621282C9"/>
    <w:rsid w:val="6215158E"/>
    <w:rsid w:val="62159D2B"/>
    <w:rsid w:val="621BDF5D"/>
    <w:rsid w:val="622B9BE6"/>
    <w:rsid w:val="62644DBE"/>
    <w:rsid w:val="6265B9BF"/>
    <w:rsid w:val="62839404"/>
    <w:rsid w:val="62889853"/>
    <w:rsid w:val="6294C2AD"/>
    <w:rsid w:val="629899A2"/>
    <w:rsid w:val="62B0ED55"/>
    <w:rsid w:val="62C27BD2"/>
    <w:rsid w:val="62E7E693"/>
    <w:rsid w:val="62E8D0E9"/>
    <w:rsid w:val="62EC74C6"/>
    <w:rsid w:val="630FC14A"/>
    <w:rsid w:val="63155031"/>
    <w:rsid w:val="63164EC2"/>
    <w:rsid w:val="63181EBB"/>
    <w:rsid w:val="631CE2EF"/>
    <w:rsid w:val="631E506F"/>
    <w:rsid w:val="631EC918"/>
    <w:rsid w:val="633C4AC3"/>
    <w:rsid w:val="6360546A"/>
    <w:rsid w:val="637B82BB"/>
    <w:rsid w:val="63848C81"/>
    <w:rsid w:val="638F433B"/>
    <w:rsid w:val="638FF401"/>
    <w:rsid w:val="6392F44F"/>
    <w:rsid w:val="63A0D07E"/>
    <w:rsid w:val="63B85291"/>
    <w:rsid w:val="63C9C72D"/>
    <w:rsid w:val="63DCCCDF"/>
    <w:rsid w:val="63F385CC"/>
    <w:rsid w:val="63F6D04B"/>
    <w:rsid w:val="63FF4DF1"/>
    <w:rsid w:val="642491C7"/>
    <w:rsid w:val="6431CDB6"/>
    <w:rsid w:val="64346A03"/>
    <w:rsid w:val="645D06A5"/>
    <w:rsid w:val="6461B8DC"/>
    <w:rsid w:val="64650108"/>
    <w:rsid w:val="6475A934"/>
    <w:rsid w:val="647C8D94"/>
    <w:rsid w:val="64873A60"/>
    <w:rsid w:val="6497BA43"/>
    <w:rsid w:val="64B3228E"/>
    <w:rsid w:val="64B44B28"/>
    <w:rsid w:val="64BCCA54"/>
    <w:rsid w:val="64C05D79"/>
    <w:rsid w:val="64C7D3D5"/>
    <w:rsid w:val="64CD7FC3"/>
    <w:rsid w:val="64D7B1E4"/>
    <w:rsid w:val="64D97882"/>
    <w:rsid w:val="64E6E132"/>
    <w:rsid w:val="6500EC7D"/>
    <w:rsid w:val="651908BF"/>
    <w:rsid w:val="651B99E6"/>
    <w:rsid w:val="6522DAB9"/>
    <w:rsid w:val="652A048A"/>
    <w:rsid w:val="652E014C"/>
    <w:rsid w:val="653B029A"/>
    <w:rsid w:val="65483B87"/>
    <w:rsid w:val="655F108A"/>
    <w:rsid w:val="656A4A3D"/>
    <w:rsid w:val="6589E37B"/>
    <w:rsid w:val="658F6EC4"/>
    <w:rsid w:val="65A2E35F"/>
    <w:rsid w:val="65DD4631"/>
    <w:rsid w:val="65F8D706"/>
    <w:rsid w:val="664C9DEE"/>
    <w:rsid w:val="664D183F"/>
    <w:rsid w:val="6651A636"/>
    <w:rsid w:val="66619C75"/>
    <w:rsid w:val="6666A513"/>
    <w:rsid w:val="66881B00"/>
    <w:rsid w:val="66937EE1"/>
    <w:rsid w:val="66B064DF"/>
    <w:rsid w:val="66C25461"/>
    <w:rsid w:val="66C5F840"/>
    <w:rsid w:val="66D030AB"/>
    <w:rsid w:val="66ED3076"/>
    <w:rsid w:val="66FB0424"/>
    <w:rsid w:val="66FFBB00"/>
    <w:rsid w:val="670971AF"/>
    <w:rsid w:val="6718528B"/>
    <w:rsid w:val="672E1B55"/>
    <w:rsid w:val="67319118"/>
    <w:rsid w:val="6733B69E"/>
    <w:rsid w:val="6736D5EE"/>
    <w:rsid w:val="6744DD01"/>
    <w:rsid w:val="6769D733"/>
    <w:rsid w:val="67707579"/>
    <w:rsid w:val="67756790"/>
    <w:rsid w:val="678B4F15"/>
    <w:rsid w:val="678C5B4F"/>
    <w:rsid w:val="678C5FF3"/>
    <w:rsid w:val="6791DE95"/>
    <w:rsid w:val="679807D1"/>
    <w:rsid w:val="67C37C39"/>
    <w:rsid w:val="67D22202"/>
    <w:rsid w:val="681435A5"/>
    <w:rsid w:val="6846F3F0"/>
    <w:rsid w:val="685D7BB4"/>
    <w:rsid w:val="6863C8A4"/>
    <w:rsid w:val="687DFB3F"/>
    <w:rsid w:val="687F6D5B"/>
    <w:rsid w:val="689331DA"/>
    <w:rsid w:val="689FFE55"/>
    <w:rsid w:val="68A98591"/>
    <w:rsid w:val="68CB46CC"/>
    <w:rsid w:val="68E0AF28"/>
    <w:rsid w:val="68F51488"/>
    <w:rsid w:val="69079AD4"/>
    <w:rsid w:val="69137D90"/>
    <w:rsid w:val="691F0B7B"/>
    <w:rsid w:val="69396E8B"/>
    <w:rsid w:val="69410B93"/>
    <w:rsid w:val="694376FA"/>
    <w:rsid w:val="69438FA5"/>
    <w:rsid w:val="6947EC85"/>
    <w:rsid w:val="69510FBF"/>
    <w:rsid w:val="695142E6"/>
    <w:rsid w:val="696B9D5F"/>
    <w:rsid w:val="696E8AA7"/>
    <w:rsid w:val="69739F38"/>
    <w:rsid w:val="699F3DD1"/>
    <w:rsid w:val="69B6D588"/>
    <w:rsid w:val="69B9455F"/>
    <w:rsid w:val="69C3932F"/>
    <w:rsid w:val="69C73267"/>
    <w:rsid w:val="69E2CD65"/>
    <w:rsid w:val="6A01726F"/>
    <w:rsid w:val="6A25BFCB"/>
    <w:rsid w:val="6A6000FA"/>
    <w:rsid w:val="6A9E1097"/>
    <w:rsid w:val="6AAC6781"/>
    <w:rsid w:val="6AACA73E"/>
    <w:rsid w:val="6ACCF57B"/>
    <w:rsid w:val="6AD03F4C"/>
    <w:rsid w:val="6AD5EFD3"/>
    <w:rsid w:val="6ADDAA61"/>
    <w:rsid w:val="6AEC08B6"/>
    <w:rsid w:val="6AF09695"/>
    <w:rsid w:val="6AFA6B68"/>
    <w:rsid w:val="6AFD9336"/>
    <w:rsid w:val="6B0D4F92"/>
    <w:rsid w:val="6B170A54"/>
    <w:rsid w:val="6B1CECD1"/>
    <w:rsid w:val="6B25ACDA"/>
    <w:rsid w:val="6B2F0733"/>
    <w:rsid w:val="6B43DAE9"/>
    <w:rsid w:val="6B736D47"/>
    <w:rsid w:val="6B81A661"/>
    <w:rsid w:val="6B84B72B"/>
    <w:rsid w:val="6B868724"/>
    <w:rsid w:val="6B93848D"/>
    <w:rsid w:val="6B93C730"/>
    <w:rsid w:val="6BD45800"/>
    <w:rsid w:val="6BE37780"/>
    <w:rsid w:val="6BF0CCF5"/>
    <w:rsid w:val="6BF83391"/>
    <w:rsid w:val="6BF98099"/>
    <w:rsid w:val="6C004770"/>
    <w:rsid w:val="6C0AE1F1"/>
    <w:rsid w:val="6C5077C6"/>
    <w:rsid w:val="6C5B5344"/>
    <w:rsid w:val="6C66BADB"/>
    <w:rsid w:val="6C67A089"/>
    <w:rsid w:val="6C6CB6D3"/>
    <w:rsid w:val="6C7389EC"/>
    <w:rsid w:val="6C9A4688"/>
    <w:rsid w:val="6C9FA6A0"/>
    <w:rsid w:val="6CACA870"/>
    <w:rsid w:val="6CB99DA9"/>
    <w:rsid w:val="6CBCA693"/>
    <w:rsid w:val="6CCF39B1"/>
    <w:rsid w:val="6CD29047"/>
    <w:rsid w:val="6D0E04F7"/>
    <w:rsid w:val="6D1B85C3"/>
    <w:rsid w:val="6D2225EA"/>
    <w:rsid w:val="6D55AB2A"/>
    <w:rsid w:val="6D584FD2"/>
    <w:rsid w:val="6D6E3C79"/>
    <w:rsid w:val="6D6F129A"/>
    <w:rsid w:val="6D707365"/>
    <w:rsid w:val="6D7B2D24"/>
    <w:rsid w:val="6D84A07D"/>
    <w:rsid w:val="6D8ED44E"/>
    <w:rsid w:val="6D9FA270"/>
    <w:rsid w:val="6DCDC69F"/>
    <w:rsid w:val="6DD33880"/>
    <w:rsid w:val="6DD9D0CC"/>
    <w:rsid w:val="6DDB69BB"/>
    <w:rsid w:val="6DF2F688"/>
    <w:rsid w:val="6E00C601"/>
    <w:rsid w:val="6E10029A"/>
    <w:rsid w:val="6E1BF843"/>
    <w:rsid w:val="6E3EAB9A"/>
    <w:rsid w:val="6E537FF2"/>
    <w:rsid w:val="6E58E3FC"/>
    <w:rsid w:val="6E67A02B"/>
    <w:rsid w:val="6E89AF43"/>
    <w:rsid w:val="6E982494"/>
    <w:rsid w:val="6EA1A8A0"/>
    <w:rsid w:val="6EA29CB8"/>
    <w:rsid w:val="6EA4BDC0"/>
    <w:rsid w:val="6EA63EBD"/>
    <w:rsid w:val="6EBC1D71"/>
    <w:rsid w:val="6EBC2DA0"/>
    <w:rsid w:val="6EBC57ED"/>
    <w:rsid w:val="6ED1C740"/>
    <w:rsid w:val="6EFAD7DC"/>
    <w:rsid w:val="6F140454"/>
    <w:rsid w:val="6F423E06"/>
    <w:rsid w:val="6F42DF0D"/>
    <w:rsid w:val="6F525023"/>
    <w:rsid w:val="6F6F08E1"/>
    <w:rsid w:val="6F773A1C"/>
    <w:rsid w:val="6F8972ED"/>
    <w:rsid w:val="6F8C9B59"/>
    <w:rsid w:val="6F9AA7D1"/>
    <w:rsid w:val="6F9BB2EB"/>
    <w:rsid w:val="6F9E481E"/>
    <w:rsid w:val="6FA97F9C"/>
    <w:rsid w:val="6FACB3E6"/>
    <w:rsid w:val="6FD25CDE"/>
    <w:rsid w:val="6FD9A245"/>
    <w:rsid w:val="6FE05FA4"/>
    <w:rsid w:val="6FE96F8C"/>
    <w:rsid w:val="6FEC5AFF"/>
    <w:rsid w:val="6FF08A34"/>
    <w:rsid w:val="6FF3A40E"/>
    <w:rsid w:val="6FF63266"/>
    <w:rsid w:val="6FFA24FA"/>
    <w:rsid w:val="6FFF71F4"/>
    <w:rsid w:val="70009C82"/>
    <w:rsid w:val="7006DF7D"/>
    <w:rsid w:val="7069861E"/>
    <w:rsid w:val="706D7A54"/>
    <w:rsid w:val="707A9E38"/>
    <w:rsid w:val="707B4206"/>
    <w:rsid w:val="709901CF"/>
    <w:rsid w:val="70AB8B4F"/>
    <w:rsid w:val="70AC0D3A"/>
    <w:rsid w:val="70B85415"/>
    <w:rsid w:val="70B95644"/>
    <w:rsid w:val="70C26F60"/>
    <w:rsid w:val="70C66EA9"/>
    <w:rsid w:val="70C6EAB8"/>
    <w:rsid w:val="70D354B8"/>
    <w:rsid w:val="70DE9E04"/>
    <w:rsid w:val="70E1AC2B"/>
    <w:rsid w:val="70E2BD6D"/>
    <w:rsid w:val="70E521C8"/>
    <w:rsid w:val="70F8AA3D"/>
    <w:rsid w:val="70FDDB3F"/>
    <w:rsid w:val="71186394"/>
    <w:rsid w:val="712262B5"/>
    <w:rsid w:val="7150D4FF"/>
    <w:rsid w:val="7151D415"/>
    <w:rsid w:val="715BAAD6"/>
    <w:rsid w:val="71629804"/>
    <w:rsid w:val="717A7FE4"/>
    <w:rsid w:val="7180C910"/>
    <w:rsid w:val="71AA2C8B"/>
    <w:rsid w:val="71BE244F"/>
    <w:rsid w:val="71CF8CF7"/>
    <w:rsid w:val="71F26780"/>
    <w:rsid w:val="72234500"/>
    <w:rsid w:val="723E4EDB"/>
    <w:rsid w:val="7240F1E9"/>
    <w:rsid w:val="72652CC4"/>
    <w:rsid w:val="72686683"/>
    <w:rsid w:val="72B1CA46"/>
    <w:rsid w:val="72B334BB"/>
    <w:rsid w:val="72CEEA53"/>
    <w:rsid w:val="72DB84A5"/>
    <w:rsid w:val="72E39A47"/>
    <w:rsid w:val="72EB9F88"/>
    <w:rsid w:val="72F691B5"/>
    <w:rsid w:val="730523CA"/>
    <w:rsid w:val="730C50BA"/>
    <w:rsid w:val="7320340D"/>
    <w:rsid w:val="736D8ED2"/>
    <w:rsid w:val="73739578"/>
    <w:rsid w:val="73BDB57D"/>
    <w:rsid w:val="73BFFEE9"/>
    <w:rsid w:val="73C32DD9"/>
    <w:rsid w:val="73C9545B"/>
    <w:rsid w:val="73CAFC00"/>
    <w:rsid w:val="73D45D3C"/>
    <w:rsid w:val="73E9B87B"/>
    <w:rsid w:val="73F1E602"/>
    <w:rsid w:val="73F826FF"/>
    <w:rsid w:val="73FDED03"/>
    <w:rsid w:val="74054511"/>
    <w:rsid w:val="7406712C"/>
    <w:rsid w:val="740AF57A"/>
    <w:rsid w:val="74396E87"/>
    <w:rsid w:val="743B6241"/>
    <w:rsid w:val="743FC1CC"/>
    <w:rsid w:val="7449788E"/>
    <w:rsid w:val="74536541"/>
    <w:rsid w:val="745A88A7"/>
    <w:rsid w:val="7463FCB7"/>
    <w:rsid w:val="746BABD6"/>
    <w:rsid w:val="748F0E2F"/>
    <w:rsid w:val="749A7EFE"/>
    <w:rsid w:val="749EF249"/>
    <w:rsid w:val="74B2A958"/>
    <w:rsid w:val="74B82399"/>
    <w:rsid w:val="74D0D926"/>
    <w:rsid w:val="74E28FAB"/>
    <w:rsid w:val="74EABD2F"/>
    <w:rsid w:val="74EEDB24"/>
    <w:rsid w:val="750B9465"/>
    <w:rsid w:val="750F3897"/>
    <w:rsid w:val="751088D3"/>
    <w:rsid w:val="751E00E5"/>
    <w:rsid w:val="75236EFC"/>
    <w:rsid w:val="753775CD"/>
    <w:rsid w:val="7538B351"/>
    <w:rsid w:val="75397677"/>
    <w:rsid w:val="75556155"/>
    <w:rsid w:val="755B0641"/>
    <w:rsid w:val="755E658B"/>
    <w:rsid w:val="755F813E"/>
    <w:rsid w:val="7567630A"/>
    <w:rsid w:val="757616CA"/>
    <w:rsid w:val="75905575"/>
    <w:rsid w:val="75955D0F"/>
    <w:rsid w:val="75ACC752"/>
    <w:rsid w:val="75BE2875"/>
    <w:rsid w:val="75C97F2D"/>
    <w:rsid w:val="75D386EF"/>
    <w:rsid w:val="75F9A3DD"/>
    <w:rsid w:val="76060DE3"/>
    <w:rsid w:val="760BEE19"/>
    <w:rsid w:val="76139919"/>
    <w:rsid w:val="762E1C66"/>
    <w:rsid w:val="763E40ED"/>
    <w:rsid w:val="7643224B"/>
    <w:rsid w:val="76478EF0"/>
    <w:rsid w:val="7650DBA0"/>
    <w:rsid w:val="765724AA"/>
    <w:rsid w:val="765B1900"/>
    <w:rsid w:val="7667813E"/>
    <w:rsid w:val="766BB407"/>
    <w:rsid w:val="76B96C6D"/>
    <w:rsid w:val="76CA1FD2"/>
    <w:rsid w:val="76CDB141"/>
    <w:rsid w:val="76CE8A94"/>
    <w:rsid w:val="76F29FE5"/>
    <w:rsid w:val="772591D9"/>
    <w:rsid w:val="77308985"/>
    <w:rsid w:val="77328699"/>
    <w:rsid w:val="7733A70F"/>
    <w:rsid w:val="77372DF4"/>
    <w:rsid w:val="77408BAD"/>
    <w:rsid w:val="7742963C"/>
    <w:rsid w:val="77462D7B"/>
    <w:rsid w:val="77510787"/>
    <w:rsid w:val="775F40A1"/>
    <w:rsid w:val="7762009C"/>
    <w:rsid w:val="777262FD"/>
    <w:rsid w:val="77739A85"/>
    <w:rsid w:val="77B534DF"/>
    <w:rsid w:val="77C69CCA"/>
    <w:rsid w:val="77D9CCAE"/>
    <w:rsid w:val="77DD48EC"/>
    <w:rsid w:val="78057C53"/>
    <w:rsid w:val="7855001D"/>
    <w:rsid w:val="785F18F8"/>
    <w:rsid w:val="787D6471"/>
    <w:rsid w:val="78942554"/>
    <w:rsid w:val="7894D890"/>
    <w:rsid w:val="78D2FAE3"/>
    <w:rsid w:val="78D8965E"/>
    <w:rsid w:val="78F0ECC3"/>
    <w:rsid w:val="78FCF887"/>
    <w:rsid w:val="79011FEF"/>
    <w:rsid w:val="790424C1"/>
    <w:rsid w:val="790B3F01"/>
    <w:rsid w:val="79169CD8"/>
    <w:rsid w:val="7917FFA6"/>
    <w:rsid w:val="791CE194"/>
    <w:rsid w:val="791F3E31"/>
    <w:rsid w:val="792553AB"/>
    <w:rsid w:val="793E6923"/>
    <w:rsid w:val="793EC4AA"/>
    <w:rsid w:val="79516B67"/>
    <w:rsid w:val="79656F55"/>
    <w:rsid w:val="7969773D"/>
    <w:rsid w:val="796F88CB"/>
    <w:rsid w:val="79A9E512"/>
    <w:rsid w:val="79C45BE9"/>
    <w:rsid w:val="79E3F1B1"/>
    <w:rsid w:val="79F4E776"/>
    <w:rsid w:val="7A192F26"/>
    <w:rsid w:val="7A1BD149"/>
    <w:rsid w:val="7A1FEDA6"/>
    <w:rsid w:val="7A2CFECE"/>
    <w:rsid w:val="7A30D6AD"/>
    <w:rsid w:val="7A3DF137"/>
    <w:rsid w:val="7A714B14"/>
    <w:rsid w:val="7A737868"/>
    <w:rsid w:val="7A8B8D2A"/>
    <w:rsid w:val="7A906659"/>
    <w:rsid w:val="7A9F0E66"/>
    <w:rsid w:val="7AB7D825"/>
    <w:rsid w:val="7AC5F1C3"/>
    <w:rsid w:val="7AD33374"/>
    <w:rsid w:val="7AFFB4A8"/>
    <w:rsid w:val="7B0B592C"/>
    <w:rsid w:val="7B2C5739"/>
    <w:rsid w:val="7B5BCADE"/>
    <w:rsid w:val="7B6070DD"/>
    <w:rsid w:val="7BB869D6"/>
    <w:rsid w:val="7BBAA55B"/>
    <w:rsid w:val="7BBE0424"/>
    <w:rsid w:val="7BC3982C"/>
    <w:rsid w:val="7BCDCB9C"/>
    <w:rsid w:val="7BE49D94"/>
    <w:rsid w:val="7BF5B067"/>
    <w:rsid w:val="7BF6206C"/>
    <w:rsid w:val="7C0C3455"/>
    <w:rsid w:val="7C1AD7CF"/>
    <w:rsid w:val="7C1C4962"/>
    <w:rsid w:val="7C2944E5"/>
    <w:rsid w:val="7C343FFD"/>
    <w:rsid w:val="7C4D8BE9"/>
    <w:rsid w:val="7C51D352"/>
    <w:rsid w:val="7C5F9CA8"/>
    <w:rsid w:val="7C6D7FE8"/>
    <w:rsid w:val="7C806C33"/>
    <w:rsid w:val="7C85F709"/>
    <w:rsid w:val="7C890CD7"/>
    <w:rsid w:val="7C8E0130"/>
    <w:rsid w:val="7C9643BA"/>
    <w:rsid w:val="7C99B4F0"/>
    <w:rsid w:val="7C9C6C7B"/>
    <w:rsid w:val="7CAD3DD1"/>
    <w:rsid w:val="7CB2DB1F"/>
    <w:rsid w:val="7CB56434"/>
    <w:rsid w:val="7CC47A49"/>
    <w:rsid w:val="7CC8951E"/>
    <w:rsid w:val="7CCC875B"/>
    <w:rsid w:val="7CD0076F"/>
    <w:rsid w:val="7CD0EAC2"/>
    <w:rsid w:val="7CD296F0"/>
    <w:rsid w:val="7CD4254E"/>
    <w:rsid w:val="7CFD34F5"/>
    <w:rsid w:val="7D02BBA8"/>
    <w:rsid w:val="7D02EF8A"/>
    <w:rsid w:val="7D0BBA97"/>
    <w:rsid w:val="7D199C48"/>
    <w:rsid w:val="7D1A16F8"/>
    <w:rsid w:val="7D533870"/>
    <w:rsid w:val="7D8FA37C"/>
    <w:rsid w:val="7D8FD77E"/>
    <w:rsid w:val="7D99D532"/>
    <w:rsid w:val="7D9DBA1C"/>
    <w:rsid w:val="7D9ED341"/>
    <w:rsid w:val="7D9EEB26"/>
    <w:rsid w:val="7D9FD7EA"/>
    <w:rsid w:val="7DAB3FD7"/>
    <w:rsid w:val="7DC85E02"/>
    <w:rsid w:val="7DCA1A83"/>
    <w:rsid w:val="7DCBC9AE"/>
    <w:rsid w:val="7DD1AB20"/>
    <w:rsid w:val="7DD49112"/>
    <w:rsid w:val="7DDCEED9"/>
    <w:rsid w:val="7DE1A481"/>
    <w:rsid w:val="7DF50A8A"/>
    <w:rsid w:val="7E39FDDE"/>
    <w:rsid w:val="7E5651A0"/>
    <w:rsid w:val="7E6A1EE4"/>
    <w:rsid w:val="7E8CC4E9"/>
    <w:rsid w:val="7EB25996"/>
    <w:rsid w:val="7EBE92E5"/>
    <w:rsid w:val="7ED1EDD3"/>
    <w:rsid w:val="7EDA693D"/>
    <w:rsid w:val="7EDF8FE7"/>
    <w:rsid w:val="7F07FC94"/>
    <w:rsid w:val="7F0C6040"/>
    <w:rsid w:val="7F2CDA5B"/>
    <w:rsid w:val="7F2D5129"/>
    <w:rsid w:val="7F3F1F3F"/>
    <w:rsid w:val="7F5311AE"/>
    <w:rsid w:val="7F5595A7"/>
    <w:rsid w:val="7F61EEE8"/>
    <w:rsid w:val="7F633CF0"/>
    <w:rsid w:val="7F6B8702"/>
    <w:rsid w:val="7F7AD23A"/>
    <w:rsid w:val="7F812DF6"/>
    <w:rsid w:val="7F877788"/>
    <w:rsid w:val="7F9BFFD7"/>
    <w:rsid w:val="7F9CA066"/>
    <w:rsid w:val="7F9FA18C"/>
    <w:rsid w:val="7FB78458"/>
    <w:rsid w:val="7FBE5E92"/>
    <w:rsid w:val="7FC5A1F2"/>
    <w:rsid w:val="7FCA5214"/>
    <w:rsid w:val="7FD6F6D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59E3F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4146"/>
    <w:rPr>
      <w:rFonts w:ascii="Arial" w:hAnsi="Arial"/>
      <w:color w:val="000000" w:themeColor="text1"/>
    </w:rPr>
  </w:style>
  <w:style w:type="paragraph" w:styleId="Heading1">
    <w:name w:val="heading 1"/>
    <w:basedOn w:val="Normal"/>
    <w:next w:val="Normal"/>
    <w:link w:val="Heading1Char"/>
    <w:uiPriority w:val="9"/>
    <w:qFormat/>
    <w:rsid w:val="00A357FE"/>
    <w:pPr>
      <w:keepNext/>
      <w:keepLines/>
      <w:spacing w:before="240" w:after="720"/>
      <w:outlineLvl w:val="0"/>
    </w:pPr>
    <w:rPr>
      <w:rFonts w:eastAsiaTheme="majorEastAsia" w:cstheme="majorBidi"/>
      <w:b/>
      <w:color w:val="4B0885"/>
      <w:sz w:val="56"/>
      <w:szCs w:val="32"/>
    </w:rPr>
  </w:style>
  <w:style w:type="paragraph" w:styleId="Heading2">
    <w:name w:val="heading 2"/>
    <w:basedOn w:val="Normal"/>
    <w:next w:val="Bodycopy"/>
    <w:link w:val="Heading2Char"/>
    <w:uiPriority w:val="9"/>
    <w:unhideWhenUsed/>
    <w:qFormat/>
    <w:rsid w:val="00422AD4"/>
    <w:pPr>
      <w:keepNext/>
      <w:keepLines/>
      <w:spacing w:before="360" w:after="360" w:line="400" w:lineRule="exact"/>
      <w:outlineLvl w:val="1"/>
    </w:pPr>
    <w:rPr>
      <w:rFonts w:eastAsiaTheme="majorEastAsia" w:cstheme="majorBidi"/>
      <w:b/>
      <w:sz w:val="32"/>
      <w:szCs w:val="26"/>
    </w:rPr>
  </w:style>
  <w:style w:type="paragraph" w:styleId="Heading3">
    <w:name w:val="heading 3"/>
    <w:basedOn w:val="Normal"/>
    <w:next w:val="Bodycopy"/>
    <w:link w:val="Heading3Char"/>
    <w:uiPriority w:val="9"/>
    <w:unhideWhenUsed/>
    <w:qFormat/>
    <w:rsid w:val="006F4154"/>
    <w:pPr>
      <w:keepNext/>
      <w:keepLines/>
      <w:spacing w:before="180" w:after="120"/>
      <w:outlineLvl w:val="2"/>
    </w:pPr>
    <w:rPr>
      <w:rFonts w:eastAsiaTheme="majorEastAsia" w:cstheme="majorBidi"/>
      <w:b/>
      <w:color w:val="4B0885"/>
      <w:sz w:val="26"/>
      <w:szCs w:val="24"/>
    </w:rPr>
  </w:style>
  <w:style w:type="paragraph" w:styleId="Heading4">
    <w:name w:val="heading 4"/>
    <w:basedOn w:val="Normal"/>
    <w:next w:val="Bodycopy"/>
    <w:link w:val="Heading4Char"/>
    <w:uiPriority w:val="9"/>
    <w:unhideWhenUsed/>
    <w:qFormat/>
    <w:rsid w:val="006F4154"/>
    <w:pPr>
      <w:spacing w:before="160" w:after="120"/>
      <w:outlineLvl w:val="3"/>
    </w:pPr>
    <w:rPr>
      <w:rFonts w:cs="Arial"/>
      <w:b/>
      <w:bCs/>
      <w:color w:val="012749"/>
    </w:rPr>
  </w:style>
  <w:style w:type="paragraph" w:styleId="Heading5">
    <w:name w:val="heading 5"/>
    <w:basedOn w:val="Normal"/>
    <w:next w:val="Bodycopy"/>
    <w:link w:val="Heading5Char"/>
    <w:uiPriority w:val="9"/>
    <w:unhideWhenUsed/>
    <w:qFormat/>
    <w:rsid w:val="00FB7F40"/>
    <w:pPr>
      <w:spacing w:after="120"/>
      <w:outlineLvl w:val="4"/>
    </w:pPr>
    <w:rPr>
      <w:rFonts w:cs="Arial"/>
      <w:bCs/>
      <w:color w:val="4B0885"/>
      <w:sz w:val="24"/>
    </w:rPr>
  </w:style>
  <w:style w:type="paragraph" w:styleId="Heading6">
    <w:name w:val="heading 6"/>
    <w:basedOn w:val="Normal"/>
    <w:next w:val="Bodycopy"/>
    <w:link w:val="Heading6Char"/>
    <w:autoRedefine/>
    <w:uiPriority w:val="9"/>
    <w:unhideWhenUsed/>
    <w:qFormat/>
    <w:rsid w:val="00DF2A92"/>
    <w:pPr>
      <w:keepNext/>
      <w:keepLines/>
      <w:spacing w:before="40" w:after="80"/>
      <w:outlineLvl w:val="5"/>
    </w:pPr>
    <w:rPr>
      <w:rFonts w:asciiTheme="majorHAnsi" w:eastAsiaTheme="majorEastAsia" w:hAnsiTheme="majorHAnsi" w:cstheme="majorBidi"/>
      <w:b/>
      <w:color w:val="auto"/>
    </w:rPr>
  </w:style>
  <w:style w:type="paragraph" w:styleId="Heading7">
    <w:name w:val="heading 7"/>
    <w:basedOn w:val="Normal"/>
    <w:next w:val="Normal"/>
    <w:link w:val="Heading7Char"/>
    <w:uiPriority w:val="9"/>
    <w:unhideWhenUsed/>
    <w:qFormat/>
    <w:rsid w:val="00BA18F6"/>
    <w:pPr>
      <w:keepNext/>
      <w:keepLines/>
      <w:spacing w:before="40" w:after="0"/>
      <w:outlineLvl w:val="6"/>
    </w:pPr>
    <w:rPr>
      <w:rFonts w:asciiTheme="majorHAnsi" w:eastAsiaTheme="majorEastAsia" w:hAnsiTheme="majorHAnsi" w:cstheme="majorBidi"/>
      <w:i/>
      <w:iCs/>
      <w:color w:val="341461" w:themeColor="accent1" w:themeShade="7F"/>
    </w:rPr>
  </w:style>
  <w:style w:type="paragraph" w:styleId="Heading8">
    <w:name w:val="heading 8"/>
    <w:basedOn w:val="Normal"/>
    <w:next w:val="Normal"/>
    <w:link w:val="Heading8Char"/>
    <w:uiPriority w:val="9"/>
    <w:semiHidden/>
    <w:unhideWhenUsed/>
    <w:qFormat/>
    <w:rsid w:val="00435AB7"/>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35AB7"/>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tandTablelabel">
    <w:name w:val="Chart and Table label"/>
    <w:basedOn w:val="Normal"/>
    <w:qFormat/>
    <w:rsid w:val="007F7F71"/>
    <w:pPr>
      <w:spacing w:before="200" w:after="200"/>
    </w:pPr>
    <w:rPr>
      <w:b/>
      <w:sz w:val="20"/>
      <w:lang w:val="en-US"/>
    </w:rPr>
  </w:style>
  <w:style w:type="character" w:styleId="UnresolvedMention">
    <w:name w:val="Unresolved Mention"/>
    <w:basedOn w:val="DefaultParagraphFont"/>
    <w:uiPriority w:val="99"/>
    <w:semiHidden/>
    <w:unhideWhenUsed/>
    <w:rsid w:val="00E82EEB"/>
    <w:rPr>
      <w:color w:val="605E5C"/>
      <w:shd w:val="clear" w:color="auto" w:fill="E1DFDD"/>
    </w:rPr>
  </w:style>
  <w:style w:type="paragraph" w:styleId="Footer">
    <w:name w:val="footer"/>
    <w:basedOn w:val="Normal"/>
    <w:link w:val="FooterChar"/>
    <w:uiPriority w:val="99"/>
    <w:unhideWhenUsed/>
    <w:rsid w:val="002704C8"/>
    <w:pPr>
      <w:tabs>
        <w:tab w:val="left" w:pos="4513"/>
        <w:tab w:val="right" w:pos="9026"/>
      </w:tabs>
      <w:spacing w:after="0" w:line="240" w:lineRule="auto"/>
    </w:pPr>
    <w:rPr>
      <w:color w:val="2F005F"/>
      <w:spacing w:val="20"/>
      <w:sz w:val="17"/>
    </w:rPr>
  </w:style>
  <w:style w:type="character" w:customStyle="1" w:styleId="FooterChar">
    <w:name w:val="Footer Char"/>
    <w:basedOn w:val="DefaultParagraphFont"/>
    <w:link w:val="Footer"/>
    <w:uiPriority w:val="99"/>
    <w:rsid w:val="002704C8"/>
    <w:rPr>
      <w:rFonts w:ascii="Arial" w:hAnsi="Arial"/>
      <w:color w:val="2F005F"/>
      <w:spacing w:val="20"/>
      <w:sz w:val="17"/>
    </w:rPr>
  </w:style>
  <w:style w:type="paragraph" w:styleId="Title">
    <w:name w:val="Title"/>
    <w:basedOn w:val="Normal"/>
    <w:next w:val="Normal"/>
    <w:link w:val="TitleChar"/>
    <w:uiPriority w:val="1"/>
    <w:qFormat/>
    <w:rsid w:val="00A20BE9"/>
    <w:pPr>
      <w:spacing w:before="1080" w:after="240" w:line="276" w:lineRule="auto"/>
    </w:pPr>
    <w:rPr>
      <w:rFonts w:eastAsiaTheme="majorEastAsia" w:cstheme="majorBidi"/>
      <w:b/>
      <w:color w:val="441170" w:themeColor="text2"/>
      <w:spacing w:val="-6"/>
      <w:kern w:val="28"/>
      <w:sz w:val="72"/>
      <w:szCs w:val="56"/>
    </w:rPr>
  </w:style>
  <w:style w:type="character" w:customStyle="1" w:styleId="TitleChar">
    <w:name w:val="Title Char"/>
    <w:basedOn w:val="DefaultParagraphFont"/>
    <w:link w:val="Title"/>
    <w:uiPriority w:val="1"/>
    <w:rsid w:val="00A20BE9"/>
    <w:rPr>
      <w:rFonts w:ascii="Arial" w:eastAsiaTheme="majorEastAsia" w:hAnsi="Arial" w:cstheme="majorBidi"/>
      <w:b/>
      <w:color w:val="441170" w:themeColor="text2"/>
      <w:spacing w:val="-6"/>
      <w:kern w:val="28"/>
      <w:sz w:val="72"/>
      <w:szCs w:val="56"/>
    </w:rPr>
  </w:style>
  <w:style w:type="character" w:customStyle="1" w:styleId="Heading1Char">
    <w:name w:val="Heading 1 Char"/>
    <w:basedOn w:val="DefaultParagraphFont"/>
    <w:link w:val="Heading1"/>
    <w:uiPriority w:val="9"/>
    <w:rsid w:val="00A357FE"/>
    <w:rPr>
      <w:rFonts w:ascii="Arial" w:eastAsiaTheme="majorEastAsia" w:hAnsi="Arial" w:cstheme="majorBidi"/>
      <w:b/>
      <w:color w:val="4B0885"/>
      <w:sz w:val="56"/>
      <w:szCs w:val="32"/>
    </w:rPr>
  </w:style>
  <w:style w:type="paragraph" w:styleId="TOCHeading">
    <w:name w:val="TOC Heading"/>
    <w:basedOn w:val="Heading1"/>
    <w:next w:val="Normal"/>
    <w:uiPriority w:val="39"/>
    <w:unhideWhenUsed/>
    <w:qFormat/>
    <w:rsid w:val="000C051B"/>
    <w:pPr>
      <w:spacing w:after="360"/>
      <w:outlineLvl w:val="9"/>
    </w:pPr>
    <w:rPr>
      <w:lang w:val="en-US"/>
    </w:rPr>
  </w:style>
  <w:style w:type="paragraph" w:styleId="ListParagraph">
    <w:name w:val="List Paragraph"/>
    <w:aliases w:val="Bullet point,Content descriptions,DDM Gen Text,FooterText,L,List Paragraph - bullets,List Paragraph Number,List Paragraph1,List Paragraph11,NFP GP Bulleted List,Recommendation,Report subheading,bullet point list,numbered,リスト段落1,列出段落,列出段落1"/>
    <w:basedOn w:val="Normal"/>
    <w:link w:val="ListParagraphChar"/>
    <w:uiPriority w:val="34"/>
    <w:qFormat/>
    <w:rsid w:val="00E148F7"/>
    <w:pPr>
      <w:ind w:left="720"/>
      <w:contextualSpacing/>
    </w:pPr>
  </w:style>
  <w:style w:type="table" w:styleId="TableGrid">
    <w:name w:val="Table Grid"/>
    <w:basedOn w:val="TableNormal"/>
    <w:uiPriority w:val="39"/>
    <w:rsid w:val="00047F44"/>
    <w:pPr>
      <w:spacing w:after="0" w:line="240" w:lineRule="auto"/>
    </w:pPr>
    <w:rPr>
      <w:rFonts w:ascii="Arial" w:hAnsi="Arial"/>
      <w:sz w:val="14"/>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wordWrap/>
        <w:ind w:leftChars="0" w:left="0" w:rightChars="0" w:right="0"/>
        <w:jc w:val="left"/>
      </w:pPr>
      <w:rPr>
        <w:rFonts w:ascii="Arial" w:hAnsi="Arial"/>
      </w:rPr>
    </w:tblStylePr>
  </w:style>
  <w:style w:type="character" w:styleId="CommentReference">
    <w:name w:val="annotation reference"/>
    <w:basedOn w:val="DefaultParagraphFont"/>
    <w:uiPriority w:val="99"/>
    <w:semiHidden/>
    <w:unhideWhenUsed/>
    <w:rsid w:val="007F7DBD"/>
    <w:rPr>
      <w:sz w:val="16"/>
      <w:szCs w:val="16"/>
    </w:rPr>
  </w:style>
  <w:style w:type="paragraph" w:styleId="CommentText">
    <w:name w:val="annotation text"/>
    <w:basedOn w:val="Normal"/>
    <w:link w:val="CommentTextChar"/>
    <w:uiPriority w:val="99"/>
    <w:unhideWhenUsed/>
    <w:rsid w:val="007F7DBD"/>
    <w:pPr>
      <w:spacing w:line="240" w:lineRule="auto"/>
    </w:pPr>
    <w:rPr>
      <w:sz w:val="20"/>
      <w:szCs w:val="20"/>
    </w:rPr>
  </w:style>
  <w:style w:type="character" w:customStyle="1" w:styleId="CommentTextChar">
    <w:name w:val="Comment Text Char"/>
    <w:basedOn w:val="DefaultParagraphFont"/>
    <w:link w:val="CommentText"/>
    <w:uiPriority w:val="99"/>
    <w:rsid w:val="007F7DBD"/>
    <w:rPr>
      <w:sz w:val="20"/>
      <w:szCs w:val="20"/>
    </w:rPr>
  </w:style>
  <w:style w:type="paragraph" w:styleId="CommentSubject">
    <w:name w:val="annotation subject"/>
    <w:basedOn w:val="CommentText"/>
    <w:next w:val="CommentText"/>
    <w:link w:val="CommentSubjectChar"/>
    <w:uiPriority w:val="99"/>
    <w:semiHidden/>
    <w:unhideWhenUsed/>
    <w:rsid w:val="007F7DBD"/>
    <w:rPr>
      <w:b/>
      <w:bCs/>
    </w:rPr>
  </w:style>
  <w:style w:type="character" w:customStyle="1" w:styleId="CommentSubjectChar">
    <w:name w:val="Comment Subject Char"/>
    <w:basedOn w:val="CommentTextChar"/>
    <w:link w:val="CommentSubject"/>
    <w:uiPriority w:val="99"/>
    <w:semiHidden/>
    <w:rsid w:val="007F7DBD"/>
    <w:rPr>
      <w:b/>
      <w:bCs/>
      <w:sz w:val="20"/>
      <w:szCs w:val="20"/>
    </w:rPr>
  </w:style>
  <w:style w:type="paragraph" w:styleId="NoSpacing">
    <w:name w:val="No Spacing"/>
    <w:uiPriority w:val="1"/>
    <w:qFormat/>
    <w:rsid w:val="00A62216"/>
    <w:pPr>
      <w:spacing w:after="0" w:line="240" w:lineRule="auto"/>
    </w:pPr>
  </w:style>
  <w:style w:type="paragraph" w:customStyle="1" w:styleId="Bodycopy">
    <w:name w:val="Body copy"/>
    <w:link w:val="BodycopyChar"/>
    <w:qFormat/>
    <w:rsid w:val="0017023B"/>
    <w:pPr>
      <w:spacing w:after="120" w:line="300" w:lineRule="exact"/>
    </w:pPr>
    <w:rPr>
      <w:rFonts w:ascii="Arial" w:hAnsi="Arial"/>
      <w:color w:val="000000" w:themeColor="text1"/>
      <w:spacing w:val="2"/>
    </w:rPr>
  </w:style>
  <w:style w:type="table" w:styleId="PlainTable4">
    <w:name w:val="Plain Table 4"/>
    <w:basedOn w:val="TableNormal"/>
    <w:uiPriority w:val="44"/>
    <w:rsid w:val="006066C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Bullet">
    <w:name w:val="List Bullet"/>
    <w:basedOn w:val="Bodycopy"/>
    <w:next w:val="Bodycopy"/>
    <w:qFormat/>
    <w:rsid w:val="00C823A1"/>
    <w:pPr>
      <w:numPr>
        <w:numId w:val="1"/>
      </w:numPr>
      <w:ind w:left="340" w:hanging="340"/>
    </w:pPr>
    <w:rPr>
      <w:rFonts w:eastAsia="SimSun" w:cs="Times New Roman"/>
      <w:szCs w:val="20"/>
      <w:lang w:val="en-GB" w:eastAsia="en-GB"/>
    </w:rPr>
  </w:style>
  <w:style w:type="paragraph" w:customStyle="1" w:styleId="Tableheader">
    <w:name w:val="Table header"/>
    <w:basedOn w:val="Normal"/>
    <w:qFormat/>
    <w:rsid w:val="00C823A1"/>
    <w:pPr>
      <w:spacing w:before="120" w:after="120" w:line="240" w:lineRule="auto"/>
    </w:pPr>
    <w:rPr>
      <w:rFonts w:asciiTheme="minorHAnsi" w:hAnsiTheme="minorHAnsi"/>
      <w:color w:val="FFFFFF" w:themeColor="background1"/>
      <w:lang w:val="en-US"/>
    </w:rPr>
  </w:style>
  <w:style w:type="paragraph" w:customStyle="1" w:styleId="Tablebodycopy">
    <w:name w:val="Table body copy"/>
    <w:basedOn w:val="Normal"/>
    <w:qFormat/>
    <w:rsid w:val="00940CF6"/>
    <w:pPr>
      <w:spacing w:before="120" w:after="120" w:line="240" w:lineRule="auto"/>
    </w:pPr>
    <w:rPr>
      <w:lang w:val="en-US"/>
    </w:rPr>
  </w:style>
  <w:style w:type="character" w:customStyle="1" w:styleId="Heading2Char">
    <w:name w:val="Heading 2 Char"/>
    <w:basedOn w:val="DefaultParagraphFont"/>
    <w:link w:val="Heading2"/>
    <w:uiPriority w:val="9"/>
    <w:rsid w:val="00422AD4"/>
    <w:rPr>
      <w:rFonts w:ascii="Arial" w:eastAsiaTheme="majorEastAsia" w:hAnsi="Arial" w:cstheme="majorBidi"/>
      <w:b/>
      <w:color w:val="000000" w:themeColor="text1"/>
      <w:sz w:val="32"/>
      <w:szCs w:val="26"/>
    </w:rPr>
  </w:style>
  <w:style w:type="paragraph" w:styleId="TOC1">
    <w:name w:val="toc 1"/>
    <w:basedOn w:val="Normal"/>
    <w:next w:val="Normal"/>
    <w:autoRedefine/>
    <w:uiPriority w:val="39"/>
    <w:unhideWhenUsed/>
    <w:rsid w:val="00E17A15"/>
    <w:pPr>
      <w:tabs>
        <w:tab w:val="right" w:leader="dot" w:pos="9016"/>
      </w:tabs>
      <w:spacing w:before="160" w:after="120" w:line="240" w:lineRule="auto"/>
    </w:pPr>
    <w:rPr>
      <w:b/>
      <w:color w:val="441170" w:themeColor="text2"/>
    </w:rPr>
  </w:style>
  <w:style w:type="character" w:customStyle="1" w:styleId="Heading3Char">
    <w:name w:val="Heading 3 Char"/>
    <w:basedOn w:val="DefaultParagraphFont"/>
    <w:link w:val="Heading3"/>
    <w:uiPriority w:val="9"/>
    <w:rsid w:val="006F4154"/>
    <w:rPr>
      <w:rFonts w:ascii="Arial" w:eastAsiaTheme="majorEastAsia" w:hAnsi="Arial" w:cstheme="majorBidi"/>
      <w:b/>
      <w:color w:val="4B0885"/>
      <w:sz w:val="26"/>
      <w:szCs w:val="24"/>
    </w:rPr>
  </w:style>
  <w:style w:type="paragraph" w:styleId="TOC2">
    <w:name w:val="toc 2"/>
    <w:basedOn w:val="Normal"/>
    <w:next w:val="Normal"/>
    <w:autoRedefine/>
    <w:uiPriority w:val="39"/>
    <w:unhideWhenUsed/>
    <w:rsid w:val="00D53A88"/>
    <w:pPr>
      <w:tabs>
        <w:tab w:val="right" w:leader="dot" w:pos="9016"/>
      </w:tabs>
      <w:spacing w:after="120" w:line="240" w:lineRule="auto"/>
    </w:pPr>
    <w:rPr>
      <w:rFonts w:eastAsiaTheme="majorEastAsia" w:cstheme="majorBidi"/>
      <w:noProof/>
      <w:spacing w:val="6"/>
      <w:lang w:val="en-GB"/>
    </w:rPr>
  </w:style>
  <w:style w:type="paragraph" w:styleId="TOC4">
    <w:name w:val="toc 4"/>
    <w:basedOn w:val="Normal"/>
    <w:next w:val="Normal"/>
    <w:autoRedefine/>
    <w:uiPriority w:val="39"/>
    <w:unhideWhenUsed/>
    <w:rsid w:val="007B2AD6"/>
    <w:pPr>
      <w:tabs>
        <w:tab w:val="right" w:leader="dot" w:pos="9016"/>
      </w:tabs>
      <w:spacing w:after="100"/>
      <w:ind w:left="220"/>
    </w:pPr>
  </w:style>
  <w:style w:type="paragraph" w:styleId="TOC3">
    <w:name w:val="toc 3"/>
    <w:basedOn w:val="Normal"/>
    <w:next w:val="Normal"/>
    <w:autoRedefine/>
    <w:uiPriority w:val="39"/>
    <w:unhideWhenUsed/>
    <w:rsid w:val="007B2AD6"/>
    <w:pPr>
      <w:tabs>
        <w:tab w:val="right" w:leader="dot" w:pos="9016"/>
      </w:tabs>
      <w:spacing w:after="100"/>
      <w:ind w:left="220"/>
    </w:pPr>
  </w:style>
  <w:style w:type="paragraph" w:styleId="TOC5">
    <w:name w:val="toc 5"/>
    <w:basedOn w:val="Normal"/>
    <w:next w:val="Normal"/>
    <w:autoRedefine/>
    <w:uiPriority w:val="39"/>
    <w:unhideWhenUsed/>
    <w:rsid w:val="007B2AD6"/>
    <w:pPr>
      <w:tabs>
        <w:tab w:val="right" w:leader="dot" w:pos="9016"/>
      </w:tabs>
      <w:spacing w:after="100"/>
      <w:ind w:left="220"/>
    </w:pPr>
  </w:style>
  <w:style w:type="character" w:styleId="Hyperlink">
    <w:name w:val="Hyperlink"/>
    <w:aliases w:val="Fed Hyperlink"/>
    <w:basedOn w:val="DefaultParagraphFont"/>
    <w:uiPriority w:val="99"/>
    <w:unhideWhenUsed/>
    <w:rsid w:val="00150ADD"/>
    <w:rPr>
      <w:color w:val="auto"/>
      <w:u w:val="single"/>
    </w:rPr>
  </w:style>
  <w:style w:type="paragraph" w:customStyle="1" w:styleId="Dateoncover">
    <w:name w:val="Date on cover"/>
    <w:basedOn w:val="Normal"/>
    <w:qFormat/>
    <w:rsid w:val="00A20BE9"/>
    <w:rPr>
      <w:rFonts w:cs="Arial"/>
      <w:color w:val="FFFFFF" w:themeColor="background1"/>
      <w:sz w:val="40"/>
      <w:szCs w:val="40"/>
    </w:rPr>
  </w:style>
  <w:style w:type="paragraph" w:styleId="ListBullet2">
    <w:name w:val="List Bullet 2"/>
    <w:basedOn w:val="Bodycopy"/>
    <w:next w:val="Bodycopy"/>
    <w:qFormat/>
    <w:rsid w:val="00D04786"/>
    <w:pPr>
      <w:numPr>
        <w:ilvl w:val="1"/>
        <w:numId w:val="3"/>
      </w:numPr>
      <w:spacing w:line="280" w:lineRule="atLeast"/>
      <w:ind w:left="340"/>
    </w:pPr>
    <w:rPr>
      <w:rFonts w:eastAsia="SimSun" w:cs="Times New Roman"/>
      <w:spacing w:val="-1"/>
      <w:szCs w:val="20"/>
      <w:lang w:val="en-GB" w:eastAsia="en-GB"/>
    </w:rPr>
  </w:style>
  <w:style w:type="paragraph" w:styleId="ListBullet3">
    <w:name w:val="List Bullet 3"/>
    <w:basedOn w:val="Normal"/>
    <w:qFormat/>
    <w:rsid w:val="00BE68F3"/>
    <w:pPr>
      <w:numPr>
        <w:ilvl w:val="2"/>
        <w:numId w:val="3"/>
      </w:numPr>
      <w:spacing w:line="240" w:lineRule="atLeast"/>
    </w:pPr>
    <w:rPr>
      <w:rFonts w:eastAsia="SimSun" w:cs="Times New Roman"/>
      <w:spacing w:val="-1"/>
      <w:szCs w:val="20"/>
      <w:lang w:val="en-GB" w:eastAsia="en-GB"/>
    </w:rPr>
  </w:style>
  <w:style w:type="paragraph" w:styleId="ListBullet4">
    <w:name w:val="List Bullet 4"/>
    <w:basedOn w:val="ListBullet3"/>
    <w:semiHidden/>
    <w:rsid w:val="00597EF7"/>
    <w:pPr>
      <w:numPr>
        <w:ilvl w:val="3"/>
      </w:numPr>
    </w:pPr>
  </w:style>
  <w:style w:type="character" w:customStyle="1" w:styleId="Heading4Char">
    <w:name w:val="Heading 4 Char"/>
    <w:basedOn w:val="DefaultParagraphFont"/>
    <w:link w:val="Heading4"/>
    <w:uiPriority w:val="9"/>
    <w:rsid w:val="006F4154"/>
    <w:rPr>
      <w:rFonts w:ascii="Arial" w:hAnsi="Arial" w:cs="Arial"/>
      <w:b/>
      <w:bCs/>
      <w:color w:val="012749"/>
    </w:rPr>
  </w:style>
  <w:style w:type="character" w:customStyle="1" w:styleId="Heading5Char">
    <w:name w:val="Heading 5 Char"/>
    <w:basedOn w:val="DefaultParagraphFont"/>
    <w:link w:val="Heading5"/>
    <w:uiPriority w:val="9"/>
    <w:rsid w:val="00FB7F40"/>
    <w:rPr>
      <w:rFonts w:ascii="Arial" w:hAnsi="Arial" w:cs="Arial"/>
      <w:bCs/>
      <w:color w:val="4B0885"/>
      <w:sz w:val="24"/>
    </w:rPr>
  </w:style>
  <w:style w:type="character" w:customStyle="1" w:styleId="Heading6Char">
    <w:name w:val="Heading 6 Char"/>
    <w:basedOn w:val="DefaultParagraphFont"/>
    <w:link w:val="Heading6"/>
    <w:uiPriority w:val="9"/>
    <w:rsid w:val="00DF2A92"/>
    <w:rPr>
      <w:rFonts w:asciiTheme="majorHAnsi" w:eastAsiaTheme="majorEastAsia" w:hAnsiTheme="majorHAnsi" w:cstheme="majorBidi"/>
      <w:b/>
    </w:rPr>
  </w:style>
  <w:style w:type="character" w:customStyle="1" w:styleId="Heading7Char">
    <w:name w:val="Heading 7 Char"/>
    <w:basedOn w:val="DefaultParagraphFont"/>
    <w:link w:val="Heading7"/>
    <w:uiPriority w:val="9"/>
    <w:rsid w:val="00BA18F6"/>
    <w:rPr>
      <w:rFonts w:asciiTheme="majorHAnsi" w:eastAsiaTheme="majorEastAsia" w:hAnsiTheme="majorHAnsi" w:cstheme="majorBidi"/>
      <w:i/>
      <w:iCs/>
      <w:color w:val="341461" w:themeColor="accent1" w:themeShade="7F"/>
    </w:rPr>
  </w:style>
  <w:style w:type="paragraph" w:customStyle="1" w:styleId="coversubtitle">
    <w:name w:val="cover subtitle"/>
    <w:basedOn w:val="Bodycopy"/>
    <w:qFormat/>
    <w:rsid w:val="001C0CB2"/>
    <w:pPr>
      <w:spacing w:after="400"/>
    </w:pPr>
    <w:rPr>
      <w:sz w:val="40"/>
      <w:szCs w:val="40"/>
    </w:rPr>
  </w:style>
  <w:style w:type="paragraph" w:styleId="Header">
    <w:name w:val="header"/>
    <w:basedOn w:val="Normal"/>
    <w:link w:val="HeaderChar"/>
    <w:uiPriority w:val="99"/>
    <w:unhideWhenUsed/>
    <w:rsid w:val="00C40E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0E20"/>
    <w:rPr>
      <w:rFonts w:ascii="Arial" w:hAnsi="Arial"/>
      <w:color w:val="000000" w:themeColor="text1"/>
    </w:rPr>
  </w:style>
  <w:style w:type="paragraph" w:styleId="Subtitle">
    <w:name w:val="Subtitle"/>
    <w:basedOn w:val="Normal"/>
    <w:next w:val="Normal"/>
    <w:link w:val="SubtitleChar"/>
    <w:uiPriority w:val="1"/>
    <w:qFormat/>
    <w:rsid w:val="00CB5596"/>
    <w:pPr>
      <w:numPr>
        <w:ilvl w:val="1"/>
      </w:numPr>
    </w:pPr>
    <w:rPr>
      <w:rFonts w:asciiTheme="minorHAnsi" w:eastAsiaTheme="minorEastAsia" w:hAnsiTheme="minorHAnsi"/>
      <w:color w:val="5A5A5A" w:themeColor="text1" w:themeTint="A5"/>
      <w:spacing w:val="15"/>
    </w:rPr>
  </w:style>
  <w:style w:type="character" w:customStyle="1" w:styleId="SubtitleChar">
    <w:name w:val="Subtitle Char"/>
    <w:basedOn w:val="DefaultParagraphFont"/>
    <w:link w:val="Subtitle"/>
    <w:uiPriority w:val="1"/>
    <w:rsid w:val="00CB5596"/>
    <w:rPr>
      <w:rFonts w:eastAsiaTheme="minorEastAsia"/>
      <w:color w:val="5A5A5A" w:themeColor="text1" w:themeTint="A5"/>
      <w:spacing w:val="15"/>
    </w:rPr>
  </w:style>
  <w:style w:type="paragraph" w:styleId="IntenseQuote">
    <w:name w:val="Intense Quote"/>
    <w:basedOn w:val="Normal"/>
    <w:next w:val="Normal"/>
    <w:link w:val="IntenseQuoteChar"/>
    <w:autoRedefine/>
    <w:uiPriority w:val="30"/>
    <w:qFormat/>
    <w:rsid w:val="00477340"/>
    <w:pPr>
      <w:pBdr>
        <w:top w:val="single" w:sz="4" w:space="10" w:color="6929C4" w:themeColor="accent1"/>
        <w:bottom w:val="single" w:sz="4" w:space="10" w:color="6929C4" w:themeColor="accent1"/>
      </w:pBdr>
      <w:spacing w:before="360" w:after="360"/>
      <w:ind w:left="864" w:right="864"/>
      <w:jc w:val="center"/>
    </w:pPr>
    <w:rPr>
      <w:i/>
      <w:iCs/>
      <w:color w:val="4B0985"/>
    </w:rPr>
  </w:style>
  <w:style w:type="character" w:customStyle="1" w:styleId="IntenseQuoteChar">
    <w:name w:val="Intense Quote Char"/>
    <w:basedOn w:val="DefaultParagraphFont"/>
    <w:link w:val="IntenseQuote"/>
    <w:uiPriority w:val="30"/>
    <w:rsid w:val="00477340"/>
    <w:rPr>
      <w:rFonts w:ascii="Arial" w:hAnsi="Arial"/>
      <w:i/>
      <w:iCs/>
      <w:color w:val="4B0985"/>
    </w:rPr>
  </w:style>
  <w:style w:type="character" w:customStyle="1" w:styleId="normaltextrun">
    <w:name w:val="normaltextrun"/>
    <w:basedOn w:val="DefaultParagraphFont"/>
    <w:rsid w:val="002B37F6"/>
  </w:style>
  <w:style w:type="character" w:customStyle="1" w:styleId="contextualspellingandgrammarerror">
    <w:name w:val="contextualspellingandgrammarerror"/>
    <w:basedOn w:val="DefaultParagraphFont"/>
    <w:rsid w:val="002B37F6"/>
  </w:style>
  <w:style w:type="character" w:customStyle="1" w:styleId="eop">
    <w:name w:val="eop"/>
    <w:basedOn w:val="DefaultParagraphFont"/>
    <w:rsid w:val="002B37F6"/>
  </w:style>
  <w:style w:type="character" w:styleId="Mention">
    <w:name w:val="Mention"/>
    <w:basedOn w:val="DefaultParagraphFont"/>
    <w:uiPriority w:val="99"/>
    <w:unhideWhenUsed/>
    <w:rPr>
      <w:color w:val="2B579A"/>
      <w:shd w:val="clear" w:color="auto" w:fill="E6E6E6"/>
    </w:rPr>
  </w:style>
  <w:style w:type="paragraph" w:customStyle="1" w:styleId="paragraph">
    <w:name w:val="paragraph"/>
    <w:basedOn w:val="Normal"/>
    <w:rsid w:val="00CB396B"/>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superscript">
    <w:name w:val="superscript"/>
    <w:basedOn w:val="DefaultParagraphFont"/>
    <w:rsid w:val="00CB396B"/>
  </w:style>
  <w:style w:type="character" w:customStyle="1" w:styleId="scxw180710911">
    <w:name w:val="scxw180710911"/>
    <w:basedOn w:val="DefaultParagraphFont"/>
    <w:rsid w:val="00C20F45"/>
  </w:style>
  <w:style w:type="paragraph" w:styleId="Revision">
    <w:name w:val="Revision"/>
    <w:hidden/>
    <w:uiPriority w:val="99"/>
    <w:semiHidden/>
    <w:rsid w:val="001A7A62"/>
    <w:pPr>
      <w:spacing w:after="0" w:line="240" w:lineRule="auto"/>
    </w:pPr>
    <w:rPr>
      <w:rFonts w:ascii="Arial" w:hAnsi="Arial"/>
      <w:color w:val="000000" w:themeColor="text1"/>
    </w:rPr>
  </w:style>
  <w:style w:type="character" w:customStyle="1" w:styleId="ListParagraphChar">
    <w:name w:val="List Paragraph Char"/>
    <w:aliases w:val="Bullet point Char,Content descriptions Char,DDM Gen Text Char,FooterText Char,L Char,List Paragraph - bullets Char,List Paragraph Number Char,List Paragraph1 Char,List Paragraph11 Char,NFP GP Bulleted List Char,Recommendation Char"/>
    <w:link w:val="ListParagraph"/>
    <w:uiPriority w:val="34"/>
    <w:qFormat/>
    <w:locked/>
    <w:rsid w:val="00213B06"/>
    <w:rPr>
      <w:rFonts w:ascii="Arial" w:hAnsi="Arial"/>
      <w:color w:val="000000" w:themeColor="text1"/>
    </w:rPr>
  </w:style>
  <w:style w:type="paragraph" w:customStyle="1" w:styleId="Dotpoint1">
    <w:name w:val="Dotpoint1"/>
    <w:rsid w:val="00213B06"/>
    <w:pPr>
      <w:numPr>
        <w:numId w:val="4"/>
      </w:numPr>
      <w:tabs>
        <w:tab w:val="left" w:pos="284"/>
      </w:tabs>
      <w:spacing w:before="120" w:after="0" w:line="300" w:lineRule="exact"/>
    </w:pPr>
    <w:rPr>
      <w:rFonts w:ascii="Trebuchet MS" w:eastAsia="Times New Roman" w:hAnsi="Trebuchet MS" w:cs="Times New Roman"/>
      <w:color w:val="000000"/>
      <w:sz w:val="19"/>
      <w:szCs w:val="20"/>
    </w:rPr>
  </w:style>
  <w:style w:type="paragraph" w:styleId="FootnoteText">
    <w:name w:val="footnote text"/>
    <w:basedOn w:val="Normal"/>
    <w:link w:val="FootnoteTextChar"/>
    <w:uiPriority w:val="99"/>
    <w:semiHidden/>
    <w:unhideWhenUsed/>
    <w:rsid w:val="00213B06"/>
    <w:pPr>
      <w:spacing w:after="0" w:line="240" w:lineRule="auto"/>
    </w:pPr>
    <w:rPr>
      <w:rFonts w:asciiTheme="minorHAnsi" w:eastAsiaTheme="minorEastAsia" w:hAnsiTheme="minorHAnsi"/>
      <w:color w:val="0D0D0D" w:themeColor="text1" w:themeTint="F2"/>
      <w:sz w:val="20"/>
      <w:szCs w:val="20"/>
      <w:lang w:val="en-US" w:eastAsia="ja-JP"/>
    </w:rPr>
  </w:style>
  <w:style w:type="character" w:customStyle="1" w:styleId="FootnoteTextChar">
    <w:name w:val="Footnote Text Char"/>
    <w:basedOn w:val="DefaultParagraphFont"/>
    <w:link w:val="FootnoteText"/>
    <w:uiPriority w:val="99"/>
    <w:semiHidden/>
    <w:rsid w:val="00213B06"/>
    <w:rPr>
      <w:rFonts w:eastAsiaTheme="minorEastAsia"/>
      <w:color w:val="0D0D0D" w:themeColor="text1" w:themeTint="F2"/>
      <w:sz w:val="20"/>
      <w:szCs w:val="20"/>
      <w:lang w:val="en-US" w:eastAsia="ja-JP"/>
    </w:rPr>
  </w:style>
  <w:style w:type="character" w:styleId="FootnoteReference">
    <w:name w:val="footnote reference"/>
    <w:basedOn w:val="DefaultParagraphFont"/>
    <w:uiPriority w:val="99"/>
    <w:semiHidden/>
    <w:unhideWhenUsed/>
    <w:rsid w:val="00213B06"/>
    <w:rPr>
      <w:vertAlign w:val="superscript"/>
    </w:rPr>
  </w:style>
  <w:style w:type="character" w:customStyle="1" w:styleId="ui-provider">
    <w:name w:val="ui-provider"/>
    <w:basedOn w:val="DefaultParagraphFont"/>
    <w:rsid w:val="00213B06"/>
  </w:style>
  <w:style w:type="paragraph" w:customStyle="1" w:styleId="ListBullet6">
    <w:name w:val="List Bullet 6"/>
    <w:basedOn w:val="Bodycopy"/>
    <w:qFormat/>
    <w:rsid w:val="00C743BB"/>
    <w:pPr>
      <w:numPr>
        <w:numId w:val="15"/>
      </w:numPr>
    </w:pPr>
  </w:style>
  <w:style w:type="paragraph" w:styleId="NormalWeb">
    <w:name w:val="Normal (Web)"/>
    <w:basedOn w:val="Normal"/>
    <w:uiPriority w:val="99"/>
    <w:unhideWhenUsed/>
    <w:rsid w:val="00A147D1"/>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paragraph" w:styleId="Caption">
    <w:name w:val="caption"/>
    <w:basedOn w:val="ChartandTablelabel"/>
    <w:next w:val="Bodycopy"/>
    <w:uiPriority w:val="35"/>
    <w:unhideWhenUsed/>
    <w:qFormat/>
    <w:rsid w:val="003C49A1"/>
  </w:style>
  <w:style w:type="character" w:customStyle="1" w:styleId="Heading8Char">
    <w:name w:val="Heading 8 Char"/>
    <w:basedOn w:val="DefaultParagraphFont"/>
    <w:link w:val="Heading8"/>
    <w:uiPriority w:val="9"/>
    <w:semiHidden/>
    <w:rsid w:val="00B8071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8071F"/>
    <w:rPr>
      <w:rFonts w:asciiTheme="majorHAnsi" w:eastAsiaTheme="majorEastAsia" w:hAnsiTheme="majorHAnsi" w:cstheme="majorBidi"/>
      <w:i/>
      <w:iCs/>
      <w:color w:val="272727" w:themeColor="text1" w:themeTint="D8"/>
      <w:sz w:val="21"/>
      <w:szCs w:val="21"/>
    </w:rPr>
  </w:style>
  <w:style w:type="character" w:customStyle="1" w:styleId="QuoteChar">
    <w:name w:val="Quote Char"/>
    <w:basedOn w:val="DefaultParagraphFont"/>
    <w:link w:val="Quote"/>
    <w:uiPriority w:val="29"/>
    <w:rsid w:val="007E7BCE"/>
    <w:rPr>
      <w:rFonts w:ascii="Arial" w:hAnsi="Arial"/>
      <w:bCs/>
      <w:iCs/>
      <w:color w:val="4B0985"/>
      <w:spacing w:val="6"/>
    </w:rPr>
  </w:style>
  <w:style w:type="paragraph" w:styleId="Quote">
    <w:name w:val="Quote"/>
    <w:basedOn w:val="IntenseQuote"/>
    <w:next w:val="Bodycopy"/>
    <w:link w:val="QuoteChar"/>
    <w:uiPriority w:val="29"/>
    <w:qFormat/>
    <w:rsid w:val="007E7BCE"/>
    <w:pPr>
      <w:pBdr>
        <w:top w:val="single" w:sz="2" w:space="10" w:color="4B0985"/>
        <w:bottom w:val="single" w:sz="2" w:space="10" w:color="4B0985"/>
      </w:pBdr>
      <w:tabs>
        <w:tab w:val="left" w:pos="8931"/>
      </w:tabs>
      <w:spacing w:before="240" w:after="240"/>
      <w:ind w:left="0" w:right="0"/>
    </w:pPr>
    <w:rPr>
      <w:bCs/>
      <w:i w:val="0"/>
      <w:spacing w:val="6"/>
    </w:rPr>
  </w:style>
  <w:style w:type="table" w:customStyle="1" w:styleId="JSATable1">
    <w:name w:val="JSA Table 1"/>
    <w:basedOn w:val="TableNormal"/>
    <w:uiPriority w:val="99"/>
    <w:rsid w:val="009E7C74"/>
    <w:pPr>
      <w:spacing w:after="0" w:line="240" w:lineRule="auto"/>
    </w:pPr>
    <w:rPr>
      <w:sz w:val="20"/>
    </w:rPr>
    <w:tblPr>
      <w:tblStyleRowBandSize w:val="1"/>
      <w:tblStyleColBandSize w:val="1"/>
      <w:tblBorders>
        <w:bottom w:val="single" w:sz="8" w:space="0" w:color="2F005F"/>
      </w:tblBorders>
      <w:tblCellMar>
        <w:top w:w="113" w:type="dxa"/>
        <w:left w:w="0" w:type="dxa"/>
        <w:bottom w:w="113" w:type="dxa"/>
        <w:right w:w="0" w:type="dxa"/>
      </w:tblCellMar>
    </w:tblPr>
    <w:tcPr>
      <w:tcMar>
        <w:top w:w="0" w:type="dxa"/>
        <w:bottom w:w="0" w:type="dxa"/>
      </w:tcMar>
    </w:tcPr>
    <w:tblStylePr w:type="firstRow">
      <w:pPr>
        <w:jc w:val="center"/>
      </w:pPr>
      <w:rPr>
        <w:rFonts w:asciiTheme="minorHAnsi" w:hAnsiTheme="minorHAnsi"/>
        <w:b w:val="0"/>
        <w:i w:val="0"/>
        <w:sz w:val="20"/>
      </w:rPr>
      <w:tblPr/>
      <w:tcPr>
        <w:shd w:val="clear" w:color="auto" w:fill="2F005F"/>
      </w:tcPr>
    </w:tblStylePr>
    <w:tblStylePr w:type="lastRow">
      <w:rPr>
        <w:rFonts w:asciiTheme="minorHAnsi" w:hAnsiTheme="minorHAnsi"/>
        <w:sz w:val="20"/>
      </w:rPr>
      <w:tblPr/>
      <w:tcPr>
        <w:tcBorders>
          <w:top w:val="nil"/>
          <w:left w:val="nil"/>
          <w:bottom w:val="nil"/>
          <w:right w:val="nil"/>
          <w:insideH w:val="nil"/>
          <w:insideV w:val="nil"/>
          <w:tl2br w:val="nil"/>
          <w:tr2bl w:val="nil"/>
        </w:tcBorders>
      </w:tcPr>
    </w:tblStylePr>
    <w:tblStylePr w:type="firstCol">
      <w:pPr>
        <w:wordWrap/>
        <w:ind w:leftChars="0" w:left="170"/>
      </w:pPr>
      <w:rPr>
        <w:rFonts w:asciiTheme="minorHAnsi" w:hAnsiTheme="minorHAnsi"/>
        <w:sz w:val="20"/>
      </w:rPr>
    </w:tblStylePr>
    <w:tblStylePr w:type="lastCol">
      <w:rPr>
        <w:rFonts w:asciiTheme="minorHAnsi" w:hAnsiTheme="minorHAnsi"/>
        <w:sz w:val="20"/>
      </w:rPr>
    </w:tblStylePr>
    <w:tblStylePr w:type="band1Vert">
      <w:pPr>
        <w:wordWrap/>
        <w:ind w:leftChars="0" w:left="0"/>
        <w:jc w:val="left"/>
      </w:pPr>
      <w:rPr>
        <w:rFonts w:asciiTheme="minorHAnsi" w:hAnsiTheme="minorHAnsi"/>
        <w:sz w:val="20"/>
      </w:rPr>
    </w:tblStylePr>
    <w:tblStylePr w:type="band2Vert">
      <w:rPr>
        <w:rFonts w:asciiTheme="minorHAnsi" w:hAnsiTheme="minorHAnsi"/>
        <w:sz w:val="20"/>
      </w:rPr>
    </w:tblStylePr>
    <w:tblStylePr w:type="band1Horz">
      <w:rPr>
        <w:rFonts w:asciiTheme="minorHAnsi" w:hAnsiTheme="minorHAnsi"/>
        <w:sz w:val="20"/>
      </w:rPr>
      <w:tblPr/>
      <w:tcPr>
        <w:shd w:val="clear" w:color="auto" w:fill="FFFFFF" w:themeFill="background1"/>
      </w:tcPr>
    </w:tblStylePr>
    <w:tblStylePr w:type="band2Horz">
      <w:pPr>
        <w:jc w:val="left"/>
      </w:pPr>
      <w:rPr>
        <w:rFonts w:asciiTheme="minorHAnsi" w:hAnsiTheme="minorHAnsi"/>
        <w:sz w:val="20"/>
      </w:rPr>
      <w:tblPr/>
      <w:tcPr>
        <w:shd w:val="clear" w:color="auto" w:fill="EEF1F6"/>
      </w:tcPr>
    </w:tblStylePr>
    <w:tblStylePr w:type="nwCell">
      <w:rPr>
        <w:rFonts w:asciiTheme="minorHAnsi" w:hAnsiTheme="minorHAnsi"/>
        <w:sz w:val="22"/>
      </w:rPr>
    </w:tblStylePr>
  </w:style>
  <w:style w:type="paragraph" w:customStyle="1" w:styleId="Source">
    <w:name w:val="Source"/>
    <w:basedOn w:val="Normal"/>
    <w:next w:val="Normal"/>
    <w:qFormat/>
    <w:rsid w:val="0060735F"/>
    <w:pPr>
      <w:spacing w:before="120" w:after="120" w:line="240" w:lineRule="exact"/>
    </w:pPr>
    <w:rPr>
      <w:rFonts w:asciiTheme="minorHAnsi" w:hAnsiTheme="minorHAnsi"/>
      <w:color w:val="auto"/>
      <w:spacing w:val="6"/>
      <w:kern w:val="16"/>
      <w:sz w:val="18"/>
      <w:szCs w:val="18"/>
    </w:rPr>
  </w:style>
  <w:style w:type="character" w:styleId="Emphasis">
    <w:name w:val="Emphasis"/>
    <w:basedOn w:val="DefaultParagraphFont"/>
    <w:uiPriority w:val="20"/>
    <w:qFormat/>
    <w:rsid w:val="00CD0F33"/>
    <w:rPr>
      <w:i/>
      <w:iCs/>
    </w:rPr>
  </w:style>
  <w:style w:type="character" w:styleId="FollowedHyperlink">
    <w:name w:val="FollowedHyperlink"/>
    <w:basedOn w:val="DefaultParagraphFont"/>
    <w:uiPriority w:val="99"/>
    <w:semiHidden/>
    <w:unhideWhenUsed/>
    <w:rsid w:val="0062310D"/>
    <w:rPr>
      <w:color w:val="00B4FF" w:themeColor="followedHyperlink"/>
      <w:u w:val="single"/>
    </w:rPr>
  </w:style>
  <w:style w:type="character" w:styleId="Strong">
    <w:name w:val="Strong"/>
    <w:basedOn w:val="DefaultParagraphFont"/>
    <w:uiPriority w:val="22"/>
    <w:qFormat/>
    <w:rsid w:val="00AF2A98"/>
    <w:rPr>
      <w:b/>
      <w:bCs/>
    </w:rPr>
  </w:style>
  <w:style w:type="paragraph" w:styleId="EndnoteText">
    <w:name w:val="endnote text"/>
    <w:basedOn w:val="Bodycopy"/>
    <w:next w:val="Bodycopy"/>
    <w:link w:val="EndnoteTextChar"/>
    <w:uiPriority w:val="99"/>
    <w:unhideWhenUsed/>
    <w:qFormat/>
    <w:rsid w:val="006B2A61"/>
    <w:pPr>
      <w:spacing w:after="0" w:line="240" w:lineRule="exact"/>
    </w:pPr>
    <w:rPr>
      <w:spacing w:val="6"/>
      <w:sz w:val="18"/>
      <w:szCs w:val="20"/>
    </w:rPr>
  </w:style>
  <w:style w:type="character" w:customStyle="1" w:styleId="EndnoteTextChar">
    <w:name w:val="Endnote Text Char"/>
    <w:basedOn w:val="DefaultParagraphFont"/>
    <w:link w:val="EndnoteText"/>
    <w:uiPriority w:val="99"/>
    <w:rsid w:val="006B2A61"/>
    <w:rPr>
      <w:rFonts w:ascii="Arial" w:hAnsi="Arial"/>
      <w:color w:val="000000" w:themeColor="text1"/>
      <w:spacing w:val="6"/>
      <w:sz w:val="18"/>
      <w:szCs w:val="20"/>
    </w:rPr>
  </w:style>
  <w:style w:type="character" w:styleId="EndnoteReference">
    <w:name w:val="endnote reference"/>
    <w:basedOn w:val="DefaultParagraphFont"/>
    <w:uiPriority w:val="99"/>
    <w:semiHidden/>
    <w:unhideWhenUsed/>
    <w:rsid w:val="00EB2ED8"/>
    <w:rPr>
      <w:vertAlign w:val="superscript"/>
    </w:rPr>
  </w:style>
  <w:style w:type="paragraph" w:styleId="ListNumber">
    <w:name w:val="List Number"/>
    <w:basedOn w:val="Normal"/>
    <w:uiPriority w:val="99"/>
    <w:semiHidden/>
    <w:unhideWhenUsed/>
    <w:rsid w:val="00926486"/>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table-search-caveat-link">
    <w:name w:val="table-search-caveat-link"/>
    <w:basedOn w:val="DefaultParagraphFont"/>
    <w:rsid w:val="00BF3925"/>
  </w:style>
  <w:style w:type="paragraph" w:customStyle="1" w:styleId="standardelementalpha">
    <w:name w:val="standardelementalpha"/>
    <w:basedOn w:val="Normal"/>
    <w:rsid w:val="00BF3925"/>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table" w:customStyle="1" w:styleId="TableGrid0">
    <w:name w:val="TableGrid"/>
    <w:rsid w:val="00BF3925"/>
    <w:pPr>
      <w:spacing w:after="0" w:line="240" w:lineRule="auto"/>
    </w:pPr>
    <w:rPr>
      <w:rFonts w:eastAsiaTheme="minorEastAsia"/>
      <w:kern w:val="2"/>
      <w:lang w:eastAsia="en-AU"/>
      <w14:ligatures w14:val="standardContextual"/>
    </w:rPr>
    <w:tblPr>
      <w:tblCellMar>
        <w:top w:w="0" w:type="dxa"/>
        <w:left w:w="0" w:type="dxa"/>
        <w:bottom w:w="0" w:type="dxa"/>
        <w:right w:w="0" w:type="dxa"/>
      </w:tblCellMar>
    </w:tblPr>
  </w:style>
  <w:style w:type="character" w:customStyle="1" w:styleId="QuoteChar1">
    <w:name w:val="Quote Char1"/>
    <w:basedOn w:val="DefaultParagraphFont"/>
    <w:uiPriority w:val="29"/>
    <w:rsid w:val="00D04724"/>
    <w:rPr>
      <w:rFonts w:ascii="Arial" w:hAnsi="Arial"/>
      <w:i/>
      <w:iCs/>
      <w:color w:val="404040" w:themeColor="text1" w:themeTint="BF"/>
    </w:rPr>
  </w:style>
  <w:style w:type="character" w:customStyle="1" w:styleId="BodycopyChar">
    <w:name w:val="Body copy Char"/>
    <w:basedOn w:val="DefaultParagraphFont"/>
    <w:link w:val="Bodycopy"/>
    <w:rsid w:val="0017023B"/>
    <w:rPr>
      <w:rFonts w:ascii="Arial" w:hAnsi="Arial"/>
      <w:color w:val="000000" w:themeColor="text1"/>
      <w:spacing w:val="2"/>
    </w:rPr>
  </w:style>
  <w:style w:type="character" w:styleId="SubtleEmphasis">
    <w:name w:val="Subtle Emphasis"/>
    <w:basedOn w:val="DefaultParagraphFont"/>
    <w:uiPriority w:val="19"/>
    <w:qFormat/>
    <w:rsid w:val="00831EEF"/>
    <w:rPr>
      <w:i/>
      <w:iCs/>
      <w:color w:val="404040" w:themeColor="text1" w:themeTint="BF"/>
    </w:rPr>
  </w:style>
  <w:style w:type="character" w:customStyle="1" w:styleId="wacimagecontainer">
    <w:name w:val="wacimagecontainer"/>
    <w:basedOn w:val="DefaultParagraphFont"/>
    <w:rsid w:val="00CB7136"/>
  </w:style>
  <w:style w:type="character" w:customStyle="1" w:styleId="cf11">
    <w:name w:val="cf11"/>
    <w:basedOn w:val="DefaultParagraphFont"/>
    <w:rsid w:val="00A6421D"/>
    <w:rPr>
      <w:rFonts w:ascii="Segoe UI" w:hAnsi="Segoe UI" w:cs="Segoe UI" w:hint="default"/>
      <w:sz w:val="18"/>
      <w:szCs w:val="18"/>
    </w:rPr>
  </w:style>
  <w:style w:type="character" w:customStyle="1" w:styleId="findhit">
    <w:name w:val="findhit"/>
    <w:basedOn w:val="DefaultParagraphFont"/>
    <w:uiPriority w:val="1"/>
    <w:rsid w:val="00A6421D"/>
  </w:style>
  <w:style w:type="character" w:customStyle="1" w:styleId="scxw57973481">
    <w:name w:val="scxw57973481"/>
    <w:basedOn w:val="DefaultParagraphFont"/>
    <w:rsid w:val="00A6421D"/>
  </w:style>
  <w:style w:type="paragraph" w:customStyle="1" w:styleId="Breakoutbox">
    <w:name w:val="Breakout box"/>
    <w:basedOn w:val="Bodycopy"/>
    <w:next w:val="Bodycopy"/>
    <w:link w:val="BreakoutboxChar"/>
    <w:qFormat/>
    <w:rsid w:val="00FB7F40"/>
    <w:pPr>
      <w:pBdr>
        <w:top w:val="single" w:sz="36" w:space="5" w:color="F2F2F2" w:themeColor="background1" w:themeShade="F2"/>
        <w:left w:val="single" w:sz="36" w:space="10" w:color="4B0885"/>
        <w:bottom w:val="single" w:sz="36" w:space="5" w:color="F2F2F2" w:themeColor="background1" w:themeShade="F2"/>
        <w:right w:val="single" w:sz="36" w:space="10" w:color="F2F2F2" w:themeColor="background1" w:themeShade="F2"/>
      </w:pBdr>
      <w:shd w:val="clear" w:color="auto" w:fill="EEF1F6"/>
      <w:spacing w:line="257" w:lineRule="auto"/>
      <w:ind w:left="284"/>
    </w:pPr>
    <w:rPr>
      <w:rFonts w:eastAsia="Arial" w:cs="Arial"/>
    </w:rPr>
  </w:style>
  <w:style w:type="character" w:customStyle="1" w:styleId="BreakoutboxChar">
    <w:name w:val="Breakout box Char"/>
    <w:basedOn w:val="BodycopyChar"/>
    <w:link w:val="Breakoutbox"/>
    <w:rsid w:val="00FB7F40"/>
    <w:rPr>
      <w:rFonts w:ascii="Arial" w:eastAsia="Arial" w:hAnsi="Arial" w:cs="Arial"/>
      <w:color w:val="000000" w:themeColor="text1"/>
      <w:spacing w:val="2"/>
      <w:shd w:val="clear" w:color="auto" w:fill="EEF1F6"/>
    </w:rPr>
  </w:style>
  <w:style w:type="character" w:customStyle="1" w:styleId="scxw166548317">
    <w:name w:val="scxw166548317"/>
    <w:basedOn w:val="DefaultParagraphFont"/>
    <w:rsid w:val="00386683"/>
  </w:style>
  <w:style w:type="paragraph" w:customStyle="1" w:styleId="pf0">
    <w:name w:val="pf0"/>
    <w:basedOn w:val="Normal"/>
    <w:rsid w:val="00386683"/>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styleId="SubtleReference">
    <w:name w:val="Subtle Reference"/>
    <w:basedOn w:val="DefaultParagraphFont"/>
    <w:uiPriority w:val="31"/>
    <w:qFormat/>
    <w:rsid w:val="00386683"/>
    <w:rPr>
      <w:smallCaps/>
      <w:color w:val="5A5A5A" w:themeColor="text1" w:themeTint="A5"/>
    </w:rPr>
  </w:style>
  <w:style w:type="table" w:styleId="GridTable2-Accent1">
    <w:name w:val="Grid Table 2 Accent 1"/>
    <w:basedOn w:val="TableNormal"/>
    <w:uiPriority w:val="47"/>
    <w:rsid w:val="00386683"/>
    <w:pPr>
      <w:spacing w:after="0" w:line="240" w:lineRule="auto"/>
    </w:pPr>
    <w:tblPr>
      <w:tblStyleRowBandSize w:val="1"/>
      <w:tblStyleColBandSize w:val="1"/>
      <w:tblBorders>
        <w:top w:val="single" w:sz="2" w:space="0" w:color="A377E2" w:themeColor="accent1" w:themeTint="99"/>
        <w:bottom w:val="single" w:sz="2" w:space="0" w:color="A377E2" w:themeColor="accent1" w:themeTint="99"/>
        <w:insideH w:val="single" w:sz="2" w:space="0" w:color="A377E2" w:themeColor="accent1" w:themeTint="99"/>
        <w:insideV w:val="single" w:sz="2" w:space="0" w:color="A377E2" w:themeColor="accent1" w:themeTint="99"/>
      </w:tblBorders>
    </w:tblPr>
    <w:tblStylePr w:type="firstRow">
      <w:rPr>
        <w:b/>
        <w:bCs/>
      </w:rPr>
      <w:tblPr/>
      <w:tcPr>
        <w:tcBorders>
          <w:top w:val="nil"/>
          <w:bottom w:val="single" w:sz="12" w:space="0" w:color="A377E2" w:themeColor="accent1" w:themeTint="99"/>
          <w:insideH w:val="nil"/>
          <w:insideV w:val="nil"/>
        </w:tcBorders>
        <w:shd w:val="clear" w:color="auto" w:fill="FFFFFF" w:themeFill="background1"/>
      </w:tcPr>
    </w:tblStylePr>
    <w:tblStylePr w:type="lastRow">
      <w:rPr>
        <w:b/>
        <w:bCs/>
      </w:rPr>
      <w:tblPr/>
      <w:tcPr>
        <w:tcBorders>
          <w:top w:val="double" w:sz="2" w:space="0" w:color="A377E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D1F5" w:themeFill="accent1" w:themeFillTint="33"/>
      </w:tcPr>
    </w:tblStylePr>
    <w:tblStylePr w:type="band1Horz">
      <w:tblPr/>
      <w:tcPr>
        <w:shd w:val="clear" w:color="auto" w:fill="E0D1F5" w:themeFill="accent1" w:themeFillTint="33"/>
      </w:tcPr>
    </w:tblStylePr>
  </w:style>
  <w:style w:type="character" w:styleId="BookTitle">
    <w:name w:val="Book Title"/>
    <w:basedOn w:val="DefaultParagraphFont"/>
    <w:uiPriority w:val="33"/>
    <w:qFormat/>
    <w:rsid w:val="00386683"/>
    <w:rPr>
      <w:b/>
      <w:bCs/>
      <w:i/>
      <w:iCs/>
      <w:spacing w:val="5"/>
    </w:rPr>
  </w:style>
  <w:style w:type="paragraph" w:customStyle="1" w:styleId="Style1">
    <w:name w:val="Style1"/>
    <w:basedOn w:val="Bodycopy"/>
    <w:link w:val="Style1Char"/>
    <w:qFormat/>
    <w:rsid w:val="00150ADD"/>
    <w:pPr>
      <w:shd w:val="clear" w:color="auto" w:fill="D9D9D9" w:themeFill="background1" w:themeFillShade="D9"/>
    </w:pPr>
  </w:style>
  <w:style w:type="character" w:customStyle="1" w:styleId="Style1Char">
    <w:name w:val="Style1 Char"/>
    <w:basedOn w:val="BodycopyChar"/>
    <w:link w:val="Style1"/>
    <w:rsid w:val="00150ADD"/>
    <w:rPr>
      <w:rFonts w:ascii="Arial" w:hAnsi="Arial"/>
      <w:color w:val="000000" w:themeColor="text1"/>
      <w:spacing w:val="2"/>
      <w:shd w:val="clear" w:color="auto" w:fill="D9D9D9" w:themeFill="background1" w:themeFillShade="D9"/>
    </w:rPr>
  </w:style>
  <w:style w:type="paragraph" w:customStyle="1" w:styleId="Breakoutbox0">
    <w:name w:val="Break out box"/>
    <w:basedOn w:val="Style1"/>
    <w:link w:val="BreakoutboxChar0"/>
    <w:rsid w:val="00386683"/>
    <w:pPr>
      <w:pBdr>
        <w:left w:val="single" w:sz="12" w:space="4" w:color="005D5D" w:themeColor="accent2"/>
        <w:right w:val="single" w:sz="36" w:space="4" w:color="F2F2F2" w:themeColor="background1" w:themeShade="F2"/>
      </w:pBdr>
      <w:shd w:val="clear" w:color="auto" w:fill="F2F2F2" w:themeFill="background1" w:themeFillShade="F2"/>
    </w:pPr>
  </w:style>
  <w:style w:type="character" w:customStyle="1" w:styleId="BreakoutboxChar0">
    <w:name w:val="Break out box Char"/>
    <w:basedOn w:val="Style1Char"/>
    <w:link w:val="Breakoutbox0"/>
    <w:rsid w:val="00386683"/>
    <w:rPr>
      <w:rFonts w:ascii="Arial" w:hAnsi="Arial"/>
      <w:color w:val="000000" w:themeColor="text1"/>
      <w:spacing w:val="6"/>
      <w:shd w:val="clear" w:color="auto" w:fill="F2F2F2" w:themeFill="background1" w:themeFillShade="F2"/>
    </w:rPr>
  </w:style>
  <w:style w:type="paragraph" w:customStyle="1" w:styleId="xmsonormal">
    <w:name w:val="x_msonormal"/>
    <w:basedOn w:val="Normal"/>
    <w:rsid w:val="00752638"/>
    <w:pPr>
      <w:spacing w:after="0" w:line="240" w:lineRule="auto"/>
    </w:pPr>
    <w:rPr>
      <w:rFonts w:ascii="Calibri" w:hAnsi="Calibri" w:cs="Calibri"/>
      <w:color w:val="auto"/>
      <w:lang w:eastAsia="en-AU"/>
    </w:rPr>
  </w:style>
  <w:style w:type="paragraph" w:customStyle="1" w:styleId="TableHeader2">
    <w:name w:val="Table Header 2"/>
    <w:basedOn w:val="Normal"/>
    <w:qFormat/>
    <w:rsid w:val="007F7F71"/>
    <w:pPr>
      <w:spacing w:after="0" w:line="240" w:lineRule="auto"/>
      <w:jc w:val="center"/>
    </w:pPr>
    <w:rPr>
      <w:b/>
      <w:bCs/>
      <w:color w:val="FFFFFF" w:themeColor="background1"/>
      <w:spacing w:val="6"/>
      <w:sz w:val="18"/>
      <w:szCs w:val="18"/>
      <w:lang w:val="en-US"/>
    </w:rPr>
  </w:style>
  <w:style w:type="paragraph" w:customStyle="1" w:styleId="TableBody2">
    <w:name w:val="Table Body 2"/>
    <w:basedOn w:val="Normal"/>
    <w:qFormat/>
    <w:rsid w:val="007F7F71"/>
    <w:pPr>
      <w:spacing w:after="60" w:line="240" w:lineRule="auto"/>
      <w:jc w:val="center"/>
    </w:pPr>
    <w:rPr>
      <w:color w:val="auto"/>
      <w:spacing w:val="6"/>
      <w:sz w:val="18"/>
      <w:szCs w:val="18"/>
      <w:lang w:val="en-US"/>
    </w:rPr>
  </w:style>
  <w:style w:type="paragraph" w:customStyle="1" w:styleId="TableBody3">
    <w:name w:val="Table Body 3"/>
    <w:basedOn w:val="TableBody2"/>
    <w:qFormat/>
    <w:rsid w:val="00DE7246"/>
    <w:rPr>
      <w:b/>
      <w:color w:val="FFFFFF" w:themeColor="background1"/>
      <w:sz w:val="16"/>
      <w:szCs w:val="16"/>
      <w:lang w:val="en-AU"/>
    </w:rPr>
  </w:style>
  <w:style w:type="character" w:styleId="PlaceholderText">
    <w:name w:val="Placeholder Text"/>
    <w:basedOn w:val="DefaultParagraphFont"/>
    <w:uiPriority w:val="99"/>
    <w:semiHidden/>
    <w:rsid w:val="003B69F9"/>
    <w:rPr>
      <w:color w:val="808080"/>
    </w:rPr>
  </w:style>
  <w:style w:type="paragraph" w:customStyle="1" w:styleId="hiddentextheading">
    <w:name w:val="hidden text heading"/>
    <w:basedOn w:val="Bodycopy"/>
    <w:next w:val="hiddentextbody"/>
    <w:qFormat/>
    <w:rsid w:val="00EA0860"/>
    <w:pPr>
      <w:spacing w:before="40" w:after="0" w:line="240" w:lineRule="auto"/>
      <w:ind w:left="340" w:right="170" w:hanging="113"/>
    </w:pPr>
    <w:rPr>
      <w:b/>
      <w:bCs/>
      <w:sz w:val="10"/>
      <w:szCs w:val="14"/>
    </w:rPr>
  </w:style>
  <w:style w:type="paragraph" w:customStyle="1" w:styleId="hiddentextbody">
    <w:name w:val="hidden text body"/>
    <w:basedOn w:val="Bodycopy"/>
    <w:next w:val="Bodycopy"/>
    <w:qFormat/>
    <w:rsid w:val="00EA0860"/>
    <w:pPr>
      <w:numPr>
        <w:numId w:val="18"/>
      </w:numPr>
      <w:spacing w:after="0" w:line="240" w:lineRule="auto"/>
      <w:ind w:left="340" w:right="170" w:hanging="113"/>
    </w:pPr>
    <w:rPr>
      <w:bCs/>
      <w:sz w:val="10"/>
      <w:szCs w:val="14"/>
    </w:rPr>
  </w:style>
  <w:style w:type="table" w:customStyle="1" w:styleId="TableGrid1">
    <w:name w:val="Table Grid1"/>
    <w:basedOn w:val="TableNormal"/>
    <w:next w:val="TableGrid"/>
    <w:uiPriority w:val="59"/>
    <w:rsid w:val="00E17A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Emphasis">
    <w:name w:val="Intense Emphasis"/>
    <w:basedOn w:val="DefaultParagraphFont"/>
    <w:uiPriority w:val="21"/>
    <w:qFormat/>
    <w:rsid w:val="00E17A15"/>
    <w:rPr>
      <w:i/>
      <w:iCs/>
      <w:color w:val="6929C4" w:themeColor="accent1"/>
    </w:rPr>
  </w:style>
  <w:style w:type="character" w:customStyle="1" w:styleId="cf01">
    <w:name w:val="cf01"/>
    <w:basedOn w:val="DefaultParagraphFont"/>
    <w:rsid w:val="00E17A15"/>
    <w:rPr>
      <w:rFonts w:ascii="Segoe UI" w:hAnsi="Segoe UI" w:cs="Segoe UI" w:hint="default"/>
      <w:sz w:val="18"/>
      <w:szCs w:val="18"/>
    </w:rPr>
  </w:style>
  <w:style w:type="table" w:customStyle="1" w:styleId="JSATable11">
    <w:name w:val="JSA Table 11"/>
    <w:basedOn w:val="TableNormal"/>
    <w:uiPriority w:val="99"/>
    <w:rsid w:val="00E17A15"/>
    <w:pPr>
      <w:spacing w:after="0" w:line="240" w:lineRule="auto"/>
    </w:pPr>
    <w:tblPr>
      <w:tblStyleRowBandSize w:val="1"/>
      <w:tblBorders>
        <w:bottom w:val="single" w:sz="4" w:space="0" w:color="4B0885"/>
      </w:tblBorders>
    </w:tblPr>
    <w:tblStylePr w:type="firstRow">
      <w:tblPr/>
      <w:tcPr>
        <w:shd w:val="clear" w:color="auto" w:fill="2F005F"/>
      </w:tcPr>
    </w:tblStylePr>
    <w:tblStylePr w:type="band2Horz">
      <w:tblPr/>
      <w:tcPr>
        <w:shd w:val="clear" w:color="auto" w:fill="E6E6E6"/>
      </w:tcPr>
    </w:tblStylePr>
  </w:style>
  <w:style w:type="paragraph" w:styleId="BodyText">
    <w:name w:val="Body Text"/>
    <w:basedOn w:val="Normal"/>
    <w:link w:val="BodyTextChar"/>
    <w:qFormat/>
    <w:rsid w:val="00E17A15"/>
    <w:pPr>
      <w:spacing w:before="120" w:after="120" w:line="276" w:lineRule="auto"/>
    </w:pPr>
    <w:rPr>
      <w:rFonts w:ascii="Calibri" w:eastAsia="Times New Roman" w:hAnsi="Calibri" w:cs="Times New Roman"/>
      <w:color w:val="auto"/>
      <w:lang w:eastAsia="en-AU"/>
    </w:rPr>
  </w:style>
  <w:style w:type="character" w:customStyle="1" w:styleId="BodyTextChar">
    <w:name w:val="Body Text Char"/>
    <w:basedOn w:val="DefaultParagraphFont"/>
    <w:link w:val="BodyText"/>
    <w:rsid w:val="00E17A15"/>
    <w:rPr>
      <w:rFonts w:ascii="Calibri" w:eastAsia="Times New Roman" w:hAnsi="Calibri" w:cs="Times New Roman"/>
      <w:lang w:eastAsia="en-AU"/>
    </w:rPr>
  </w:style>
  <w:style w:type="paragraph" w:styleId="BalloonText">
    <w:name w:val="Balloon Text"/>
    <w:basedOn w:val="Normal"/>
    <w:link w:val="BalloonTextChar"/>
    <w:uiPriority w:val="99"/>
    <w:semiHidden/>
    <w:unhideWhenUsed/>
    <w:rsid w:val="00DD0A3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D0A32"/>
    <w:rPr>
      <w:rFonts w:ascii="Segoe UI" w:hAnsi="Segoe UI" w:cs="Segoe UI"/>
      <w:color w:val="000000" w:themeColor="text1"/>
      <w:sz w:val="18"/>
      <w:szCs w:val="18"/>
    </w:rPr>
  </w:style>
  <w:style w:type="paragraph" w:styleId="Bibliography">
    <w:name w:val="Bibliography"/>
    <w:basedOn w:val="Normal"/>
    <w:next w:val="Normal"/>
    <w:uiPriority w:val="37"/>
    <w:semiHidden/>
    <w:unhideWhenUsed/>
    <w:rsid w:val="00DD0A32"/>
  </w:style>
  <w:style w:type="paragraph" w:styleId="BlockText">
    <w:name w:val="Block Text"/>
    <w:basedOn w:val="Normal"/>
    <w:uiPriority w:val="99"/>
    <w:semiHidden/>
    <w:unhideWhenUsed/>
    <w:rsid w:val="00DD0A32"/>
    <w:pPr>
      <w:pBdr>
        <w:top w:val="single" w:sz="2" w:space="10" w:color="6929C4" w:themeColor="accent1"/>
        <w:left w:val="single" w:sz="2" w:space="10" w:color="6929C4" w:themeColor="accent1"/>
        <w:bottom w:val="single" w:sz="2" w:space="10" w:color="6929C4" w:themeColor="accent1"/>
        <w:right w:val="single" w:sz="2" w:space="10" w:color="6929C4" w:themeColor="accent1"/>
      </w:pBdr>
      <w:ind w:left="1152" w:right="1152"/>
    </w:pPr>
    <w:rPr>
      <w:rFonts w:asciiTheme="minorHAnsi" w:eastAsiaTheme="minorEastAsia" w:hAnsiTheme="minorHAnsi"/>
      <w:i/>
      <w:iCs/>
      <w:color w:val="6929C4" w:themeColor="accent1"/>
    </w:rPr>
  </w:style>
  <w:style w:type="paragraph" w:styleId="BodyText2">
    <w:name w:val="Body Text 2"/>
    <w:basedOn w:val="Normal"/>
    <w:link w:val="BodyText2Char"/>
    <w:uiPriority w:val="99"/>
    <w:semiHidden/>
    <w:unhideWhenUsed/>
    <w:rsid w:val="00DD0A32"/>
    <w:pPr>
      <w:spacing w:after="120" w:line="480" w:lineRule="auto"/>
    </w:pPr>
  </w:style>
  <w:style w:type="character" w:customStyle="1" w:styleId="BodyText2Char">
    <w:name w:val="Body Text 2 Char"/>
    <w:basedOn w:val="DefaultParagraphFont"/>
    <w:link w:val="BodyText2"/>
    <w:uiPriority w:val="99"/>
    <w:semiHidden/>
    <w:rsid w:val="00DD0A32"/>
    <w:rPr>
      <w:rFonts w:ascii="Arial" w:hAnsi="Arial"/>
      <w:color w:val="000000" w:themeColor="text1"/>
    </w:rPr>
  </w:style>
  <w:style w:type="paragraph" w:styleId="BodyText3">
    <w:name w:val="Body Text 3"/>
    <w:basedOn w:val="Normal"/>
    <w:link w:val="BodyText3Char"/>
    <w:uiPriority w:val="99"/>
    <w:semiHidden/>
    <w:unhideWhenUsed/>
    <w:rsid w:val="00DD0A32"/>
    <w:pPr>
      <w:spacing w:after="120"/>
    </w:pPr>
    <w:rPr>
      <w:sz w:val="16"/>
      <w:szCs w:val="16"/>
    </w:rPr>
  </w:style>
  <w:style w:type="character" w:customStyle="1" w:styleId="BodyText3Char">
    <w:name w:val="Body Text 3 Char"/>
    <w:basedOn w:val="DefaultParagraphFont"/>
    <w:link w:val="BodyText3"/>
    <w:uiPriority w:val="99"/>
    <w:semiHidden/>
    <w:rsid w:val="00DD0A32"/>
    <w:rPr>
      <w:rFonts w:ascii="Arial" w:hAnsi="Arial"/>
      <w:color w:val="000000" w:themeColor="text1"/>
      <w:sz w:val="16"/>
      <w:szCs w:val="16"/>
    </w:rPr>
  </w:style>
  <w:style w:type="paragraph" w:styleId="BodyTextFirstIndent">
    <w:name w:val="Body Text First Indent"/>
    <w:basedOn w:val="BodyText"/>
    <w:link w:val="BodyTextFirstIndentChar"/>
    <w:uiPriority w:val="99"/>
    <w:semiHidden/>
    <w:unhideWhenUsed/>
    <w:rsid w:val="00DD0A32"/>
    <w:pPr>
      <w:spacing w:before="0" w:after="160" w:line="259" w:lineRule="auto"/>
      <w:ind w:firstLine="360"/>
    </w:pPr>
    <w:rPr>
      <w:rFonts w:ascii="Arial" w:eastAsiaTheme="minorHAnsi" w:hAnsi="Arial" w:cstheme="minorBidi"/>
      <w:color w:val="000000" w:themeColor="text1"/>
      <w:lang w:eastAsia="en-US"/>
    </w:rPr>
  </w:style>
  <w:style w:type="character" w:customStyle="1" w:styleId="BodyTextFirstIndentChar">
    <w:name w:val="Body Text First Indent Char"/>
    <w:basedOn w:val="BodyTextChar"/>
    <w:link w:val="BodyTextFirstIndent"/>
    <w:uiPriority w:val="99"/>
    <w:semiHidden/>
    <w:rsid w:val="00DD0A32"/>
    <w:rPr>
      <w:rFonts w:ascii="Arial" w:eastAsia="Times New Roman" w:hAnsi="Arial" w:cs="Times New Roman"/>
      <w:color w:val="000000" w:themeColor="text1"/>
      <w:lang w:eastAsia="en-AU"/>
    </w:rPr>
  </w:style>
  <w:style w:type="paragraph" w:styleId="BodyTextIndent">
    <w:name w:val="Body Text Indent"/>
    <w:basedOn w:val="Normal"/>
    <w:link w:val="BodyTextIndentChar"/>
    <w:uiPriority w:val="99"/>
    <w:semiHidden/>
    <w:unhideWhenUsed/>
    <w:rsid w:val="00DD0A32"/>
    <w:pPr>
      <w:spacing w:after="120"/>
      <w:ind w:left="283"/>
    </w:pPr>
  </w:style>
  <w:style w:type="character" w:customStyle="1" w:styleId="BodyTextIndentChar">
    <w:name w:val="Body Text Indent Char"/>
    <w:basedOn w:val="DefaultParagraphFont"/>
    <w:link w:val="BodyTextIndent"/>
    <w:uiPriority w:val="99"/>
    <w:semiHidden/>
    <w:rsid w:val="00DD0A32"/>
    <w:rPr>
      <w:rFonts w:ascii="Arial" w:hAnsi="Arial"/>
      <w:color w:val="000000" w:themeColor="text1"/>
    </w:rPr>
  </w:style>
  <w:style w:type="paragraph" w:styleId="BodyTextFirstIndent2">
    <w:name w:val="Body Text First Indent 2"/>
    <w:basedOn w:val="BodyTextIndent"/>
    <w:link w:val="BodyTextFirstIndent2Char"/>
    <w:uiPriority w:val="99"/>
    <w:semiHidden/>
    <w:unhideWhenUsed/>
    <w:rsid w:val="00DD0A32"/>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DD0A32"/>
    <w:rPr>
      <w:rFonts w:ascii="Arial" w:hAnsi="Arial"/>
      <w:color w:val="000000" w:themeColor="text1"/>
    </w:rPr>
  </w:style>
  <w:style w:type="paragraph" w:styleId="BodyTextIndent2">
    <w:name w:val="Body Text Indent 2"/>
    <w:basedOn w:val="Normal"/>
    <w:link w:val="BodyTextIndent2Char"/>
    <w:uiPriority w:val="99"/>
    <w:semiHidden/>
    <w:unhideWhenUsed/>
    <w:rsid w:val="00DD0A32"/>
    <w:pPr>
      <w:spacing w:after="120" w:line="480" w:lineRule="auto"/>
      <w:ind w:left="283"/>
    </w:pPr>
  </w:style>
  <w:style w:type="character" w:customStyle="1" w:styleId="BodyTextIndent2Char">
    <w:name w:val="Body Text Indent 2 Char"/>
    <w:basedOn w:val="DefaultParagraphFont"/>
    <w:link w:val="BodyTextIndent2"/>
    <w:uiPriority w:val="99"/>
    <w:semiHidden/>
    <w:rsid w:val="00DD0A32"/>
    <w:rPr>
      <w:rFonts w:ascii="Arial" w:hAnsi="Arial"/>
      <w:color w:val="000000" w:themeColor="text1"/>
    </w:rPr>
  </w:style>
  <w:style w:type="paragraph" w:styleId="BodyTextIndent3">
    <w:name w:val="Body Text Indent 3"/>
    <w:basedOn w:val="Normal"/>
    <w:link w:val="BodyTextIndent3Char"/>
    <w:uiPriority w:val="99"/>
    <w:semiHidden/>
    <w:unhideWhenUsed/>
    <w:rsid w:val="00DD0A32"/>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DD0A32"/>
    <w:rPr>
      <w:rFonts w:ascii="Arial" w:hAnsi="Arial"/>
      <w:color w:val="000000" w:themeColor="text1"/>
      <w:sz w:val="16"/>
      <w:szCs w:val="16"/>
    </w:rPr>
  </w:style>
  <w:style w:type="paragraph" w:styleId="Closing">
    <w:name w:val="Closing"/>
    <w:basedOn w:val="Normal"/>
    <w:link w:val="ClosingChar"/>
    <w:uiPriority w:val="99"/>
    <w:semiHidden/>
    <w:unhideWhenUsed/>
    <w:rsid w:val="00DD0A32"/>
    <w:pPr>
      <w:spacing w:after="0" w:line="240" w:lineRule="auto"/>
      <w:ind w:left="4252"/>
    </w:pPr>
  </w:style>
  <w:style w:type="character" w:customStyle="1" w:styleId="ClosingChar">
    <w:name w:val="Closing Char"/>
    <w:basedOn w:val="DefaultParagraphFont"/>
    <w:link w:val="Closing"/>
    <w:uiPriority w:val="99"/>
    <w:semiHidden/>
    <w:rsid w:val="00DD0A32"/>
    <w:rPr>
      <w:rFonts w:ascii="Arial" w:hAnsi="Arial"/>
      <w:color w:val="000000" w:themeColor="text1"/>
    </w:rPr>
  </w:style>
  <w:style w:type="paragraph" w:styleId="Date">
    <w:name w:val="Date"/>
    <w:basedOn w:val="Normal"/>
    <w:next w:val="Normal"/>
    <w:link w:val="DateChar"/>
    <w:uiPriority w:val="99"/>
    <w:semiHidden/>
    <w:unhideWhenUsed/>
    <w:rsid w:val="00DD0A32"/>
  </w:style>
  <w:style w:type="character" w:customStyle="1" w:styleId="DateChar">
    <w:name w:val="Date Char"/>
    <w:basedOn w:val="DefaultParagraphFont"/>
    <w:link w:val="Date"/>
    <w:uiPriority w:val="99"/>
    <w:semiHidden/>
    <w:rsid w:val="00DD0A32"/>
    <w:rPr>
      <w:rFonts w:ascii="Arial" w:hAnsi="Arial"/>
      <w:color w:val="000000" w:themeColor="text1"/>
    </w:rPr>
  </w:style>
  <w:style w:type="paragraph" w:styleId="DocumentMap">
    <w:name w:val="Document Map"/>
    <w:basedOn w:val="Normal"/>
    <w:link w:val="DocumentMapChar"/>
    <w:uiPriority w:val="99"/>
    <w:semiHidden/>
    <w:unhideWhenUsed/>
    <w:rsid w:val="00DD0A32"/>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DD0A32"/>
    <w:rPr>
      <w:rFonts w:ascii="Segoe UI" w:hAnsi="Segoe UI" w:cs="Segoe UI"/>
      <w:color w:val="000000" w:themeColor="text1"/>
      <w:sz w:val="16"/>
      <w:szCs w:val="16"/>
    </w:rPr>
  </w:style>
  <w:style w:type="paragraph" w:styleId="E-mailSignature">
    <w:name w:val="E-mail Signature"/>
    <w:basedOn w:val="Normal"/>
    <w:link w:val="E-mailSignatureChar"/>
    <w:uiPriority w:val="99"/>
    <w:semiHidden/>
    <w:unhideWhenUsed/>
    <w:rsid w:val="00DD0A32"/>
    <w:pPr>
      <w:spacing w:after="0" w:line="240" w:lineRule="auto"/>
    </w:pPr>
  </w:style>
  <w:style w:type="character" w:customStyle="1" w:styleId="E-mailSignatureChar">
    <w:name w:val="E-mail Signature Char"/>
    <w:basedOn w:val="DefaultParagraphFont"/>
    <w:link w:val="E-mailSignature"/>
    <w:uiPriority w:val="99"/>
    <w:semiHidden/>
    <w:rsid w:val="00DD0A32"/>
    <w:rPr>
      <w:rFonts w:ascii="Arial" w:hAnsi="Arial"/>
      <w:color w:val="000000" w:themeColor="text1"/>
    </w:rPr>
  </w:style>
  <w:style w:type="paragraph" w:styleId="EnvelopeAddress">
    <w:name w:val="envelope address"/>
    <w:basedOn w:val="Normal"/>
    <w:uiPriority w:val="99"/>
    <w:semiHidden/>
    <w:unhideWhenUsed/>
    <w:rsid w:val="00DD0A32"/>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DD0A32"/>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DD0A32"/>
    <w:pPr>
      <w:spacing w:after="0" w:line="240" w:lineRule="auto"/>
    </w:pPr>
    <w:rPr>
      <w:i/>
      <w:iCs/>
    </w:rPr>
  </w:style>
  <w:style w:type="character" w:customStyle="1" w:styleId="HTMLAddressChar">
    <w:name w:val="HTML Address Char"/>
    <w:basedOn w:val="DefaultParagraphFont"/>
    <w:link w:val="HTMLAddress"/>
    <w:uiPriority w:val="99"/>
    <w:semiHidden/>
    <w:rsid w:val="00DD0A32"/>
    <w:rPr>
      <w:rFonts w:ascii="Arial" w:hAnsi="Arial"/>
      <w:i/>
      <w:iCs/>
      <w:color w:val="000000" w:themeColor="text1"/>
    </w:rPr>
  </w:style>
  <w:style w:type="paragraph" w:styleId="HTMLPreformatted">
    <w:name w:val="HTML Preformatted"/>
    <w:basedOn w:val="Normal"/>
    <w:link w:val="HTMLPreformattedChar"/>
    <w:uiPriority w:val="99"/>
    <w:semiHidden/>
    <w:unhideWhenUsed/>
    <w:rsid w:val="00DD0A32"/>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DD0A32"/>
    <w:rPr>
      <w:rFonts w:ascii="Consolas" w:hAnsi="Consolas"/>
      <w:color w:val="000000" w:themeColor="text1"/>
      <w:sz w:val="20"/>
      <w:szCs w:val="20"/>
    </w:rPr>
  </w:style>
  <w:style w:type="paragraph" w:styleId="Index1">
    <w:name w:val="index 1"/>
    <w:basedOn w:val="Normal"/>
    <w:next w:val="Normal"/>
    <w:autoRedefine/>
    <w:uiPriority w:val="99"/>
    <w:semiHidden/>
    <w:unhideWhenUsed/>
    <w:rsid w:val="00DD0A32"/>
    <w:pPr>
      <w:spacing w:after="0" w:line="240" w:lineRule="auto"/>
      <w:ind w:left="220" w:hanging="220"/>
    </w:pPr>
  </w:style>
  <w:style w:type="paragraph" w:styleId="Index2">
    <w:name w:val="index 2"/>
    <w:basedOn w:val="Normal"/>
    <w:next w:val="Normal"/>
    <w:autoRedefine/>
    <w:uiPriority w:val="99"/>
    <w:semiHidden/>
    <w:unhideWhenUsed/>
    <w:rsid w:val="00DD0A32"/>
    <w:pPr>
      <w:spacing w:after="0" w:line="240" w:lineRule="auto"/>
      <w:ind w:left="440" w:hanging="220"/>
    </w:pPr>
  </w:style>
  <w:style w:type="paragraph" w:styleId="Index3">
    <w:name w:val="index 3"/>
    <w:basedOn w:val="Normal"/>
    <w:next w:val="Normal"/>
    <w:autoRedefine/>
    <w:uiPriority w:val="99"/>
    <w:semiHidden/>
    <w:unhideWhenUsed/>
    <w:rsid w:val="00DD0A32"/>
    <w:pPr>
      <w:spacing w:after="0" w:line="240" w:lineRule="auto"/>
      <w:ind w:left="660" w:hanging="220"/>
    </w:pPr>
  </w:style>
  <w:style w:type="paragraph" w:styleId="Index4">
    <w:name w:val="index 4"/>
    <w:basedOn w:val="Normal"/>
    <w:next w:val="Normal"/>
    <w:autoRedefine/>
    <w:uiPriority w:val="99"/>
    <w:semiHidden/>
    <w:unhideWhenUsed/>
    <w:rsid w:val="00DD0A32"/>
    <w:pPr>
      <w:spacing w:after="0" w:line="240" w:lineRule="auto"/>
      <w:ind w:left="880" w:hanging="220"/>
    </w:pPr>
  </w:style>
  <w:style w:type="paragraph" w:styleId="Index5">
    <w:name w:val="index 5"/>
    <w:basedOn w:val="Normal"/>
    <w:next w:val="Normal"/>
    <w:autoRedefine/>
    <w:uiPriority w:val="99"/>
    <w:semiHidden/>
    <w:unhideWhenUsed/>
    <w:rsid w:val="00DD0A32"/>
    <w:pPr>
      <w:spacing w:after="0" w:line="240" w:lineRule="auto"/>
      <w:ind w:left="1100" w:hanging="220"/>
    </w:pPr>
  </w:style>
  <w:style w:type="paragraph" w:styleId="Index6">
    <w:name w:val="index 6"/>
    <w:basedOn w:val="Normal"/>
    <w:next w:val="Normal"/>
    <w:autoRedefine/>
    <w:uiPriority w:val="99"/>
    <w:semiHidden/>
    <w:unhideWhenUsed/>
    <w:rsid w:val="00DD0A32"/>
    <w:pPr>
      <w:spacing w:after="0" w:line="240" w:lineRule="auto"/>
      <w:ind w:left="1320" w:hanging="220"/>
    </w:pPr>
  </w:style>
  <w:style w:type="paragraph" w:styleId="Index7">
    <w:name w:val="index 7"/>
    <w:basedOn w:val="Normal"/>
    <w:next w:val="Normal"/>
    <w:autoRedefine/>
    <w:uiPriority w:val="99"/>
    <w:semiHidden/>
    <w:unhideWhenUsed/>
    <w:rsid w:val="00DD0A32"/>
    <w:pPr>
      <w:spacing w:after="0" w:line="240" w:lineRule="auto"/>
      <w:ind w:left="1540" w:hanging="220"/>
    </w:pPr>
  </w:style>
  <w:style w:type="paragraph" w:styleId="Index8">
    <w:name w:val="index 8"/>
    <w:basedOn w:val="Normal"/>
    <w:next w:val="Normal"/>
    <w:autoRedefine/>
    <w:uiPriority w:val="99"/>
    <w:semiHidden/>
    <w:unhideWhenUsed/>
    <w:rsid w:val="00DD0A32"/>
    <w:pPr>
      <w:spacing w:after="0" w:line="240" w:lineRule="auto"/>
      <w:ind w:left="1760" w:hanging="220"/>
    </w:pPr>
  </w:style>
  <w:style w:type="paragraph" w:styleId="Index9">
    <w:name w:val="index 9"/>
    <w:basedOn w:val="Normal"/>
    <w:next w:val="Normal"/>
    <w:autoRedefine/>
    <w:uiPriority w:val="99"/>
    <w:semiHidden/>
    <w:unhideWhenUsed/>
    <w:rsid w:val="00DD0A32"/>
    <w:pPr>
      <w:spacing w:after="0" w:line="240" w:lineRule="auto"/>
      <w:ind w:left="1980" w:hanging="220"/>
    </w:pPr>
  </w:style>
  <w:style w:type="paragraph" w:styleId="IndexHeading">
    <w:name w:val="index heading"/>
    <w:basedOn w:val="Normal"/>
    <w:next w:val="Index1"/>
    <w:uiPriority w:val="99"/>
    <w:semiHidden/>
    <w:unhideWhenUsed/>
    <w:rsid w:val="00DD0A32"/>
    <w:rPr>
      <w:rFonts w:asciiTheme="majorHAnsi" w:eastAsiaTheme="majorEastAsia" w:hAnsiTheme="majorHAnsi" w:cstheme="majorBidi"/>
      <w:b/>
      <w:bCs/>
    </w:rPr>
  </w:style>
  <w:style w:type="paragraph" w:styleId="List">
    <w:name w:val="List"/>
    <w:basedOn w:val="Normal"/>
    <w:uiPriority w:val="99"/>
    <w:semiHidden/>
    <w:unhideWhenUsed/>
    <w:rsid w:val="00DD0A32"/>
    <w:pPr>
      <w:ind w:left="283" w:hanging="283"/>
      <w:contextualSpacing/>
    </w:pPr>
  </w:style>
  <w:style w:type="paragraph" w:styleId="List2">
    <w:name w:val="List 2"/>
    <w:basedOn w:val="Normal"/>
    <w:uiPriority w:val="99"/>
    <w:semiHidden/>
    <w:unhideWhenUsed/>
    <w:rsid w:val="00DD0A32"/>
    <w:pPr>
      <w:ind w:left="566" w:hanging="283"/>
      <w:contextualSpacing/>
    </w:pPr>
  </w:style>
  <w:style w:type="paragraph" w:styleId="List3">
    <w:name w:val="List 3"/>
    <w:basedOn w:val="Normal"/>
    <w:uiPriority w:val="99"/>
    <w:semiHidden/>
    <w:unhideWhenUsed/>
    <w:rsid w:val="00DD0A32"/>
    <w:pPr>
      <w:ind w:left="849" w:hanging="283"/>
      <w:contextualSpacing/>
    </w:pPr>
  </w:style>
  <w:style w:type="paragraph" w:styleId="List4">
    <w:name w:val="List 4"/>
    <w:basedOn w:val="Normal"/>
    <w:uiPriority w:val="99"/>
    <w:semiHidden/>
    <w:unhideWhenUsed/>
    <w:rsid w:val="00DD0A32"/>
    <w:pPr>
      <w:ind w:left="1132" w:hanging="283"/>
      <w:contextualSpacing/>
    </w:pPr>
  </w:style>
  <w:style w:type="paragraph" w:styleId="List5">
    <w:name w:val="List 5"/>
    <w:basedOn w:val="Normal"/>
    <w:uiPriority w:val="99"/>
    <w:semiHidden/>
    <w:unhideWhenUsed/>
    <w:rsid w:val="00DD0A32"/>
    <w:pPr>
      <w:ind w:left="1415" w:hanging="283"/>
      <w:contextualSpacing/>
    </w:pPr>
  </w:style>
  <w:style w:type="paragraph" w:styleId="ListBullet5">
    <w:name w:val="List Bullet 5"/>
    <w:basedOn w:val="Normal"/>
    <w:uiPriority w:val="99"/>
    <w:semiHidden/>
    <w:unhideWhenUsed/>
    <w:rsid w:val="00DD0A32"/>
    <w:pPr>
      <w:numPr>
        <w:numId w:val="23"/>
      </w:numPr>
      <w:contextualSpacing/>
    </w:pPr>
  </w:style>
  <w:style w:type="paragraph" w:styleId="ListContinue">
    <w:name w:val="List Continue"/>
    <w:basedOn w:val="Normal"/>
    <w:uiPriority w:val="99"/>
    <w:semiHidden/>
    <w:unhideWhenUsed/>
    <w:rsid w:val="00DD0A32"/>
    <w:pPr>
      <w:spacing w:after="120"/>
      <w:ind w:left="283"/>
      <w:contextualSpacing/>
    </w:pPr>
  </w:style>
  <w:style w:type="paragraph" w:styleId="ListContinue2">
    <w:name w:val="List Continue 2"/>
    <w:basedOn w:val="Normal"/>
    <w:uiPriority w:val="99"/>
    <w:semiHidden/>
    <w:unhideWhenUsed/>
    <w:rsid w:val="00DD0A32"/>
    <w:pPr>
      <w:spacing w:after="120"/>
      <w:ind w:left="566"/>
      <w:contextualSpacing/>
    </w:pPr>
  </w:style>
  <w:style w:type="paragraph" w:styleId="ListContinue3">
    <w:name w:val="List Continue 3"/>
    <w:basedOn w:val="Normal"/>
    <w:uiPriority w:val="99"/>
    <w:semiHidden/>
    <w:unhideWhenUsed/>
    <w:rsid w:val="00DD0A32"/>
    <w:pPr>
      <w:spacing w:after="120"/>
      <w:ind w:left="849"/>
      <w:contextualSpacing/>
    </w:pPr>
  </w:style>
  <w:style w:type="paragraph" w:styleId="ListContinue4">
    <w:name w:val="List Continue 4"/>
    <w:basedOn w:val="Normal"/>
    <w:uiPriority w:val="99"/>
    <w:semiHidden/>
    <w:unhideWhenUsed/>
    <w:rsid w:val="00DD0A32"/>
    <w:pPr>
      <w:spacing w:after="120"/>
      <w:ind w:left="1132"/>
      <w:contextualSpacing/>
    </w:pPr>
  </w:style>
  <w:style w:type="paragraph" w:styleId="ListContinue5">
    <w:name w:val="List Continue 5"/>
    <w:basedOn w:val="Normal"/>
    <w:uiPriority w:val="99"/>
    <w:semiHidden/>
    <w:unhideWhenUsed/>
    <w:rsid w:val="00DD0A32"/>
    <w:pPr>
      <w:spacing w:after="120"/>
      <w:ind w:left="1415"/>
      <w:contextualSpacing/>
    </w:pPr>
  </w:style>
  <w:style w:type="paragraph" w:styleId="ListNumber2">
    <w:name w:val="List Number 2"/>
    <w:basedOn w:val="Normal"/>
    <w:uiPriority w:val="99"/>
    <w:semiHidden/>
    <w:unhideWhenUsed/>
    <w:rsid w:val="00DD0A32"/>
    <w:pPr>
      <w:numPr>
        <w:numId w:val="24"/>
      </w:numPr>
      <w:contextualSpacing/>
    </w:pPr>
  </w:style>
  <w:style w:type="paragraph" w:styleId="ListNumber3">
    <w:name w:val="List Number 3"/>
    <w:basedOn w:val="Normal"/>
    <w:uiPriority w:val="99"/>
    <w:semiHidden/>
    <w:unhideWhenUsed/>
    <w:rsid w:val="00DD0A32"/>
    <w:pPr>
      <w:numPr>
        <w:numId w:val="25"/>
      </w:numPr>
      <w:contextualSpacing/>
    </w:pPr>
  </w:style>
  <w:style w:type="paragraph" w:styleId="ListNumber4">
    <w:name w:val="List Number 4"/>
    <w:basedOn w:val="Normal"/>
    <w:uiPriority w:val="99"/>
    <w:semiHidden/>
    <w:unhideWhenUsed/>
    <w:rsid w:val="00DD0A32"/>
    <w:pPr>
      <w:numPr>
        <w:numId w:val="26"/>
      </w:numPr>
      <w:contextualSpacing/>
    </w:pPr>
  </w:style>
  <w:style w:type="paragraph" w:styleId="ListNumber5">
    <w:name w:val="List Number 5"/>
    <w:basedOn w:val="Normal"/>
    <w:uiPriority w:val="99"/>
    <w:semiHidden/>
    <w:unhideWhenUsed/>
    <w:rsid w:val="00DD0A32"/>
    <w:pPr>
      <w:numPr>
        <w:numId w:val="27"/>
      </w:numPr>
      <w:contextualSpacing/>
    </w:pPr>
  </w:style>
  <w:style w:type="paragraph" w:styleId="MacroText">
    <w:name w:val="macro"/>
    <w:link w:val="MacroTextChar"/>
    <w:uiPriority w:val="99"/>
    <w:semiHidden/>
    <w:unhideWhenUsed/>
    <w:rsid w:val="00DD0A32"/>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olor w:val="000000" w:themeColor="text1"/>
      <w:sz w:val="20"/>
      <w:szCs w:val="20"/>
    </w:rPr>
  </w:style>
  <w:style w:type="character" w:customStyle="1" w:styleId="MacroTextChar">
    <w:name w:val="Macro Text Char"/>
    <w:basedOn w:val="DefaultParagraphFont"/>
    <w:link w:val="MacroText"/>
    <w:uiPriority w:val="99"/>
    <w:semiHidden/>
    <w:rsid w:val="00DD0A32"/>
    <w:rPr>
      <w:rFonts w:ascii="Consolas" w:hAnsi="Consolas"/>
      <w:color w:val="000000" w:themeColor="text1"/>
      <w:sz w:val="20"/>
      <w:szCs w:val="20"/>
    </w:rPr>
  </w:style>
  <w:style w:type="paragraph" w:styleId="MessageHeader">
    <w:name w:val="Message Header"/>
    <w:basedOn w:val="Normal"/>
    <w:link w:val="MessageHeaderChar"/>
    <w:uiPriority w:val="99"/>
    <w:semiHidden/>
    <w:unhideWhenUsed/>
    <w:rsid w:val="00DD0A32"/>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DD0A32"/>
    <w:rPr>
      <w:rFonts w:asciiTheme="majorHAnsi" w:eastAsiaTheme="majorEastAsia" w:hAnsiTheme="majorHAnsi" w:cstheme="majorBidi"/>
      <w:color w:val="000000" w:themeColor="text1"/>
      <w:sz w:val="24"/>
      <w:szCs w:val="24"/>
      <w:shd w:val="pct20" w:color="auto" w:fill="auto"/>
    </w:rPr>
  </w:style>
  <w:style w:type="paragraph" w:styleId="NormalIndent">
    <w:name w:val="Normal Indent"/>
    <w:basedOn w:val="Normal"/>
    <w:uiPriority w:val="99"/>
    <w:semiHidden/>
    <w:unhideWhenUsed/>
    <w:rsid w:val="00DD0A32"/>
    <w:pPr>
      <w:ind w:left="720"/>
    </w:pPr>
  </w:style>
  <w:style w:type="paragraph" w:styleId="NoteHeading">
    <w:name w:val="Note Heading"/>
    <w:basedOn w:val="Normal"/>
    <w:next w:val="Normal"/>
    <w:link w:val="NoteHeadingChar"/>
    <w:uiPriority w:val="99"/>
    <w:semiHidden/>
    <w:unhideWhenUsed/>
    <w:rsid w:val="00DD0A32"/>
    <w:pPr>
      <w:spacing w:after="0" w:line="240" w:lineRule="auto"/>
    </w:pPr>
  </w:style>
  <w:style w:type="character" w:customStyle="1" w:styleId="NoteHeadingChar">
    <w:name w:val="Note Heading Char"/>
    <w:basedOn w:val="DefaultParagraphFont"/>
    <w:link w:val="NoteHeading"/>
    <w:uiPriority w:val="99"/>
    <w:semiHidden/>
    <w:rsid w:val="00DD0A32"/>
    <w:rPr>
      <w:rFonts w:ascii="Arial" w:hAnsi="Arial"/>
      <w:color w:val="000000" w:themeColor="text1"/>
    </w:rPr>
  </w:style>
  <w:style w:type="paragraph" w:styleId="PlainText">
    <w:name w:val="Plain Text"/>
    <w:basedOn w:val="Normal"/>
    <w:link w:val="PlainTextChar"/>
    <w:uiPriority w:val="99"/>
    <w:semiHidden/>
    <w:unhideWhenUsed/>
    <w:rsid w:val="00DD0A32"/>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DD0A32"/>
    <w:rPr>
      <w:rFonts w:ascii="Consolas" w:hAnsi="Consolas"/>
      <w:color w:val="000000" w:themeColor="text1"/>
      <w:sz w:val="21"/>
      <w:szCs w:val="21"/>
    </w:rPr>
  </w:style>
  <w:style w:type="paragraph" w:styleId="Salutation">
    <w:name w:val="Salutation"/>
    <w:basedOn w:val="Normal"/>
    <w:next w:val="Normal"/>
    <w:link w:val="SalutationChar"/>
    <w:uiPriority w:val="99"/>
    <w:semiHidden/>
    <w:unhideWhenUsed/>
    <w:rsid w:val="00DD0A32"/>
  </w:style>
  <w:style w:type="character" w:customStyle="1" w:styleId="SalutationChar">
    <w:name w:val="Salutation Char"/>
    <w:basedOn w:val="DefaultParagraphFont"/>
    <w:link w:val="Salutation"/>
    <w:uiPriority w:val="99"/>
    <w:semiHidden/>
    <w:rsid w:val="00DD0A32"/>
    <w:rPr>
      <w:rFonts w:ascii="Arial" w:hAnsi="Arial"/>
      <w:color w:val="000000" w:themeColor="text1"/>
    </w:rPr>
  </w:style>
  <w:style w:type="paragraph" w:styleId="Signature">
    <w:name w:val="Signature"/>
    <w:basedOn w:val="Normal"/>
    <w:link w:val="SignatureChar"/>
    <w:uiPriority w:val="99"/>
    <w:semiHidden/>
    <w:unhideWhenUsed/>
    <w:rsid w:val="00DD0A32"/>
    <w:pPr>
      <w:spacing w:after="0" w:line="240" w:lineRule="auto"/>
      <w:ind w:left="4252"/>
    </w:pPr>
  </w:style>
  <w:style w:type="character" w:customStyle="1" w:styleId="SignatureChar">
    <w:name w:val="Signature Char"/>
    <w:basedOn w:val="DefaultParagraphFont"/>
    <w:link w:val="Signature"/>
    <w:uiPriority w:val="99"/>
    <w:semiHidden/>
    <w:rsid w:val="00DD0A32"/>
    <w:rPr>
      <w:rFonts w:ascii="Arial" w:hAnsi="Arial"/>
      <w:color w:val="000000" w:themeColor="text1"/>
    </w:rPr>
  </w:style>
  <w:style w:type="paragraph" w:styleId="TableofAuthorities">
    <w:name w:val="table of authorities"/>
    <w:basedOn w:val="Normal"/>
    <w:next w:val="Normal"/>
    <w:uiPriority w:val="99"/>
    <w:semiHidden/>
    <w:unhideWhenUsed/>
    <w:rsid w:val="00DD0A32"/>
    <w:pPr>
      <w:spacing w:after="0"/>
      <w:ind w:left="220" w:hanging="220"/>
    </w:pPr>
  </w:style>
  <w:style w:type="paragraph" w:styleId="TableofFigures">
    <w:name w:val="table of figures"/>
    <w:basedOn w:val="Normal"/>
    <w:next w:val="Normal"/>
    <w:uiPriority w:val="99"/>
    <w:semiHidden/>
    <w:unhideWhenUsed/>
    <w:rsid w:val="00DD0A32"/>
    <w:pPr>
      <w:spacing w:after="0"/>
    </w:pPr>
  </w:style>
  <w:style w:type="paragraph" w:styleId="TOAHeading">
    <w:name w:val="toa heading"/>
    <w:basedOn w:val="Normal"/>
    <w:next w:val="Normal"/>
    <w:uiPriority w:val="99"/>
    <w:semiHidden/>
    <w:unhideWhenUsed/>
    <w:rsid w:val="00DD0A32"/>
    <w:pPr>
      <w:spacing w:before="120"/>
    </w:pPr>
    <w:rPr>
      <w:rFonts w:asciiTheme="majorHAnsi" w:eastAsiaTheme="majorEastAsia" w:hAnsiTheme="majorHAnsi" w:cstheme="majorBidi"/>
      <w:b/>
      <w:bCs/>
      <w:sz w:val="24"/>
      <w:szCs w:val="24"/>
    </w:rPr>
  </w:style>
  <w:style w:type="paragraph" w:styleId="TOC6">
    <w:name w:val="toc 6"/>
    <w:basedOn w:val="Normal"/>
    <w:next w:val="Normal"/>
    <w:autoRedefine/>
    <w:uiPriority w:val="39"/>
    <w:semiHidden/>
    <w:unhideWhenUsed/>
    <w:rsid w:val="00DD0A32"/>
    <w:pPr>
      <w:spacing w:after="100"/>
      <w:ind w:left="1100"/>
    </w:pPr>
  </w:style>
  <w:style w:type="paragraph" w:styleId="TOC7">
    <w:name w:val="toc 7"/>
    <w:basedOn w:val="Normal"/>
    <w:next w:val="Normal"/>
    <w:autoRedefine/>
    <w:uiPriority w:val="39"/>
    <w:semiHidden/>
    <w:unhideWhenUsed/>
    <w:rsid w:val="00DD0A32"/>
    <w:pPr>
      <w:spacing w:after="100"/>
      <w:ind w:left="1320"/>
    </w:pPr>
  </w:style>
  <w:style w:type="paragraph" w:styleId="TOC8">
    <w:name w:val="toc 8"/>
    <w:basedOn w:val="Normal"/>
    <w:next w:val="Normal"/>
    <w:autoRedefine/>
    <w:uiPriority w:val="39"/>
    <w:semiHidden/>
    <w:unhideWhenUsed/>
    <w:rsid w:val="00DD0A32"/>
    <w:pPr>
      <w:spacing w:after="100"/>
      <w:ind w:left="1540"/>
    </w:pPr>
  </w:style>
  <w:style w:type="paragraph" w:styleId="TOC9">
    <w:name w:val="toc 9"/>
    <w:basedOn w:val="Normal"/>
    <w:next w:val="Normal"/>
    <w:autoRedefine/>
    <w:uiPriority w:val="39"/>
    <w:semiHidden/>
    <w:unhideWhenUsed/>
    <w:rsid w:val="00DD0A32"/>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553176">
      <w:bodyDiv w:val="1"/>
      <w:marLeft w:val="0"/>
      <w:marRight w:val="0"/>
      <w:marTop w:val="0"/>
      <w:marBottom w:val="0"/>
      <w:divBdr>
        <w:top w:val="none" w:sz="0" w:space="0" w:color="auto"/>
        <w:left w:val="none" w:sz="0" w:space="0" w:color="auto"/>
        <w:bottom w:val="none" w:sz="0" w:space="0" w:color="auto"/>
        <w:right w:val="none" w:sz="0" w:space="0" w:color="auto"/>
      </w:divBdr>
      <w:divsChild>
        <w:div w:id="31734478">
          <w:marLeft w:val="3154"/>
          <w:marRight w:val="0"/>
          <w:marTop w:val="0"/>
          <w:marBottom w:val="0"/>
          <w:divBdr>
            <w:top w:val="none" w:sz="0" w:space="0" w:color="auto"/>
            <w:left w:val="none" w:sz="0" w:space="0" w:color="auto"/>
            <w:bottom w:val="none" w:sz="0" w:space="0" w:color="auto"/>
            <w:right w:val="none" w:sz="0" w:space="0" w:color="auto"/>
          </w:divBdr>
        </w:div>
        <w:div w:id="117846483">
          <w:marLeft w:val="994"/>
          <w:marRight w:val="0"/>
          <w:marTop w:val="0"/>
          <w:marBottom w:val="0"/>
          <w:divBdr>
            <w:top w:val="none" w:sz="0" w:space="0" w:color="auto"/>
            <w:left w:val="none" w:sz="0" w:space="0" w:color="auto"/>
            <w:bottom w:val="none" w:sz="0" w:space="0" w:color="auto"/>
            <w:right w:val="none" w:sz="0" w:space="0" w:color="auto"/>
          </w:divBdr>
        </w:div>
        <w:div w:id="173812858">
          <w:marLeft w:val="2434"/>
          <w:marRight w:val="0"/>
          <w:marTop w:val="0"/>
          <w:marBottom w:val="0"/>
          <w:divBdr>
            <w:top w:val="none" w:sz="0" w:space="0" w:color="auto"/>
            <w:left w:val="none" w:sz="0" w:space="0" w:color="auto"/>
            <w:bottom w:val="none" w:sz="0" w:space="0" w:color="auto"/>
            <w:right w:val="none" w:sz="0" w:space="0" w:color="auto"/>
          </w:divBdr>
        </w:div>
        <w:div w:id="185412302">
          <w:marLeft w:val="3154"/>
          <w:marRight w:val="0"/>
          <w:marTop w:val="0"/>
          <w:marBottom w:val="0"/>
          <w:divBdr>
            <w:top w:val="none" w:sz="0" w:space="0" w:color="auto"/>
            <w:left w:val="none" w:sz="0" w:space="0" w:color="auto"/>
            <w:bottom w:val="none" w:sz="0" w:space="0" w:color="auto"/>
            <w:right w:val="none" w:sz="0" w:space="0" w:color="auto"/>
          </w:divBdr>
        </w:div>
        <w:div w:id="256599074">
          <w:marLeft w:val="3154"/>
          <w:marRight w:val="0"/>
          <w:marTop w:val="0"/>
          <w:marBottom w:val="0"/>
          <w:divBdr>
            <w:top w:val="none" w:sz="0" w:space="0" w:color="auto"/>
            <w:left w:val="none" w:sz="0" w:space="0" w:color="auto"/>
            <w:bottom w:val="none" w:sz="0" w:space="0" w:color="auto"/>
            <w:right w:val="none" w:sz="0" w:space="0" w:color="auto"/>
          </w:divBdr>
        </w:div>
        <w:div w:id="364789634">
          <w:marLeft w:val="274"/>
          <w:marRight w:val="0"/>
          <w:marTop w:val="0"/>
          <w:marBottom w:val="0"/>
          <w:divBdr>
            <w:top w:val="none" w:sz="0" w:space="0" w:color="auto"/>
            <w:left w:val="none" w:sz="0" w:space="0" w:color="auto"/>
            <w:bottom w:val="none" w:sz="0" w:space="0" w:color="auto"/>
            <w:right w:val="none" w:sz="0" w:space="0" w:color="auto"/>
          </w:divBdr>
        </w:div>
        <w:div w:id="550460926">
          <w:marLeft w:val="3154"/>
          <w:marRight w:val="0"/>
          <w:marTop w:val="0"/>
          <w:marBottom w:val="0"/>
          <w:divBdr>
            <w:top w:val="none" w:sz="0" w:space="0" w:color="auto"/>
            <w:left w:val="none" w:sz="0" w:space="0" w:color="auto"/>
            <w:bottom w:val="none" w:sz="0" w:space="0" w:color="auto"/>
            <w:right w:val="none" w:sz="0" w:space="0" w:color="auto"/>
          </w:divBdr>
        </w:div>
        <w:div w:id="647980345">
          <w:marLeft w:val="3154"/>
          <w:marRight w:val="0"/>
          <w:marTop w:val="0"/>
          <w:marBottom w:val="0"/>
          <w:divBdr>
            <w:top w:val="none" w:sz="0" w:space="0" w:color="auto"/>
            <w:left w:val="none" w:sz="0" w:space="0" w:color="auto"/>
            <w:bottom w:val="none" w:sz="0" w:space="0" w:color="auto"/>
            <w:right w:val="none" w:sz="0" w:space="0" w:color="auto"/>
          </w:divBdr>
        </w:div>
        <w:div w:id="676620251">
          <w:marLeft w:val="2434"/>
          <w:marRight w:val="0"/>
          <w:marTop w:val="0"/>
          <w:marBottom w:val="0"/>
          <w:divBdr>
            <w:top w:val="none" w:sz="0" w:space="0" w:color="auto"/>
            <w:left w:val="none" w:sz="0" w:space="0" w:color="auto"/>
            <w:bottom w:val="none" w:sz="0" w:space="0" w:color="auto"/>
            <w:right w:val="none" w:sz="0" w:space="0" w:color="auto"/>
          </w:divBdr>
        </w:div>
        <w:div w:id="801726779">
          <w:marLeft w:val="3154"/>
          <w:marRight w:val="0"/>
          <w:marTop w:val="0"/>
          <w:marBottom w:val="0"/>
          <w:divBdr>
            <w:top w:val="none" w:sz="0" w:space="0" w:color="auto"/>
            <w:left w:val="none" w:sz="0" w:space="0" w:color="auto"/>
            <w:bottom w:val="none" w:sz="0" w:space="0" w:color="auto"/>
            <w:right w:val="none" w:sz="0" w:space="0" w:color="auto"/>
          </w:divBdr>
        </w:div>
        <w:div w:id="1225606616">
          <w:marLeft w:val="1714"/>
          <w:marRight w:val="0"/>
          <w:marTop w:val="0"/>
          <w:marBottom w:val="0"/>
          <w:divBdr>
            <w:top w:val="none" w:sz="0" w:space="0" w:color="auto"/>
            <w:left w:val="none" w:sz="0" w:space="0" w:color="auto"/>
            <w:bottom w:val="none" w:sz="0" w:space="0" w:color="auto"/>
            <w:right w:val="none" w:sz="0" w:space="0" w:color="auto"/>
          </w:divBdr>
        </w:div>
        <w:div w:id="1346786679">
          <w:marLeft w:val="3154"/>
          <w:marRight w:val="0"/>
          <w:marTop w:val="0"/>
          <w:marBottom w:val="0"/>
          <w:divBdr>
            <w:top w:val="none" w:sz="0" w:space="0" w:color="auto"/>
            <w:left w:val="none" w:sz="0" w:space="0" w:color="auto"/>
            <w:bottom w:val="none" w:sz="0" w:space="0" w:color="auto"/>
            <w:right w:val="none" w:sz="0" w:space="0" w:color="auto"/>
          </w:divBdr>
        </w:div>
        <w:div w:id="1405447868">
          <w:marLeft w:val="3154"/>
          <w:marRight w:val="0"/>
          <w:marTop w:val="0"/>
          <w:marBottom w:val="0"/>
          <w:divBdr>
            <w:top w:val="none" w:sz="0" w:space="0" w:color="auto"/>
            <w:left w:val="none" w:sz="0" w:space="0" w:color="auto"/>
            <w:bottom w:val="none" w:sz="0" w:space="0" w:color="auto"/>
            <w:right w:val="none" w:sz="0" w:space="0" w:color="auto"/>
          </w:divBdr>
        </w:div>
        <w:div w:id="1447383521">
          <w:marLeft w:val="994"/>
          <w:marRight w:val="0"/>
          <w:marTop w:val="0"/>
          <w:marBottom w:val="0"/>
          <w:divBdr>
            <w:top w:val="none" w:sz="0" w:space="0" w:color="auto"/>
            <w:left w:val="none" w:sz="0" w:space="0" w:color="auto"/>
            <w:bottom w:val="none" w:sz="0" w:space="0" w:color="auto"/>
            <w:right w:val="none" w:sz="0" w:space="0" w:color="auto"/>
          </w:divBdr>
        </w:div>
        <w:div w:id="1618951880">
          <w:marLeft w:val="1714"/>
          <w:marRight w:val="0"/>
          <w:marTop w:val="0"/>
          <w:marBottom w:val="0"/>
          <w:divBdr>
            <w:top w:val="none" w:sz="0" w:space="0" w:color="auto"/>
            <w:left w:val="none" w:sz="0" w:space="0" w:color="auto"/>
            <w:bottom w:val="none" w:sz="0" w:space="0" w:color="auto"/>
            <w:right w:val="none" w:sz="0" w:space="0" w:color="auto"/>
          </w:divBdr>
        </w:div>
        <w:div w:id="1632174487">
          <w:marLeft w:val="1714"/>
          <w:marRight w:val="0"/>
          <w:marTop w:val="0"/>
          <w:marBottom w:val="0"/>
          <w:divBdr>
            <w:top w:val="none" w:sz="0" w:space="0" w:color="auto"/>
            <w:left w:val="none" w:sz="0" w:space="0" w:color="auto"/>
            <w:bottom w:val="none" w:sz="0" w:space="0" w:color="auto"/>
            <w:right w:val="none" w:sz="0" w:space="0" w:color="auto"/>
          </w:divBdr>
        </w:div>
        <w:div w:id="1722095006">
          <w:marLeft w:val="2434"/>
          <w:marRight w:val="0"/>
          <w:marTop w:val="0"/>
          <w:marBottom w:val="0"/>
          <w:divBdr>
            <w:top w:val="none" w:sz="0" w:space="0" w:color="auto"/>
            <w:left w:val="none" w:sz="0" w:space="0" w:color="auto"/>
            <w:bottom w:val="none" w:sz="0" w:space="0" w:color="auto"/>
            <w:right w:val="none" w:sz="0" w:space="0" w:color="auto"/>
          </w:divBdr>
        </w:div>
        <w:div w:id="1722555277">
          <w:marLeft w:val="274"/>
          <w:marRight w:val="0"/>
          <w:marTop w:val="0"/>
          <w:marBottom w:val="0"/>
          <w:divBdr>
            <w:top w:val="none" w:sz="0" w:space="0" w:color="auto"/>
            <w:left w:val="none" w:sz="0" w:space="0" w:color="auto"/>
            <w:bottom w:val="none" w:sz="0" w:space="0" w:color="auto"/>
            <w:right w:val="none" w:sz="0" w:space="0" w:color="auto"/>
          </w:divBdr>
        </w:div>
        <w:div w:id="1727483565">
          <w:marLeft w:val="3154"/>
          <w:marRight w:val="0"/>
          <w:marTop w:val="0"/>
          <w:marBottom w:val="0"/>
          <w:divBdr>
            <w:top w:val="none" w:sz="0" w:space="0" w:color="auto"/>
            <w:left w:val="none" w:sz="0" w:space="0" w:color="auto"/>
            <w:bottom w:val="none" w:sz="0" w:space="0" w:color="auto"/>
            <w:right w:val="none" w:sz="0" w:space="0" w:color="auto"/>
          </w:divBdr>
        </w:div>
        <w:div w:id="1851724545">
          <w:marLeft w:val="1714"/>
          <w:marRight w:val="0"/>
          <w:marTop w:val="0"/>
          <w:marBottom w:val="0"/>
          <w:divBdr>
            <w:top w:val="none" w:sz="0" w:space="0" w:color="auto"/>
            <w:left w:val="none" w:sz="0" w:space="0" w:color="auto"/>
            <w:bottom w:val="none" w:sz="0" w:space="0" w:color="auto"/>
            <w:right w:val="none" w:sz="0" w:space="0" w:color="auto"/>
          </w:divBdr>
        </w:div>
        <w:div w:id="1889801902">
          <w:marLeft w:val="3154"/>
          <w:marRight w:val="0"/>
          <w:marTop w:val="0"/>
          <w:marBottom w:val="0"/>
          <w:divBdr>
            <w:top w:val="none" w:sz="0" w:space="0" w:color="auto"/>
            <w:left w:val="none" w:sz="0" w:space="0" w:color="auto"/>
            <w:bottom w:val="none" w:sz="0" w:space="0" w:color="auto"/>
            <w:right w:val="none" w:sz="0" w:space="0" w:color="auto"/>
          </w:divBdr>
        </w:div>
        <w:div w:id="2134862876">
          <w:marLeft w:val="994"/>
          <w:marRight w:val="0"/>
          <w:marTop w:val="0"/>
          <w:marBottom w:val="0"/>
          <w:divBdr>
            <w:top w:val="none" w:sz="0" w:space="0" w:color="auto"/>
            <w:left w:val="none" w:sz="0" w:space="0" w:color="auto"/>
            <w:bottom w:val="none" w:sz="0" w:space="0" w:color="auto"/>
            <w:right w:val="none" w:sz="0" w:space="0" w:color="auto"/>
          </w:divBdr>
        </w:div>
      </w:divsChild>
    </w:div>
    <w:div w:id="33699453">
      <w:bodyDiv w:val="1"/>
      <w:marLeft w:val="0"/>
      <w:marRight w:val="0"/>
      <w:marTop w:val="0"/>
      <w:marBottom w:val="0"/>
      <w:divBdr>
        <w:top w:val="none" w:sz="0" w:space="0" w:color="auto"/>
        <w:left w:val="none" w:sz="0" w:space="0" w:color="auto"/>
        <w:bottom w:val="none" w:sz="0" w:space="0" w:color="auto"/>
        <w:right w:val="none" w:sz="0" w:space="0" w:color="auto"/>
      </w:divBdr>
    </w:div>
    <w:div w:id="34240243">
      <w:bodyDiv w:val="1"/>
      <w:marLeft w:val="0"/>
      <w:marRight w:val="0"/>
      <w:marTop w:val="0"/>
      <w:marBottom w:val="0"/>
      <w:divBdr>
        <w:top w:val="none" w:sz="0" w:space="0" w:color="auto"/>
        <w:left w:val="none" w:sz="0" w:space="0" w:color="auto"/>
        <w:bottom w:val="none" w:sz="0" w:space="0" w:color="auto"/>
        <w:right w:val="none" w:sz="0" w:space="0" w:color="auto"/>
      </w:divBdr>
    </w:div>
    <w:div w:id="34548680">
      <w:bodyDiv w:val="1"/>
      <w:marLeft w:val="0"/>
      <w:marRight w:val="0"/>
      <w:marTop w:val="0"/>
      <w:marBottom w:val="0"/>
      <w:divBdr>
        <w:top w:val="none" w:sz="0" w:space="0" w:color="auto"/>
        <w:left w:val="none" w:sz="0" w:space="0" w:color="auto"/>
        <w:bottom w:val="none" w:sz="0" w:space="0" w:color="auto"/>
        <w:right w:val="none" w:sz="0" w:space="0" w:color="auto"/>
      </w:divBdr>
    </w:div>
    <w:div w:id="35205622">
      <w:bodyDiv w:val="1"/>
      <w:marLeft w:val="0"/>
      <w:marRight w:val="0"/>
      <w:marTop w:val="0"/>
      <w:marBottom w:val="0"/>
      <w:divBdr>
        <w:top w:val="none" w:sz="0" w:space="0" w:color="auto"/>
        <w:left w:val="none" w:sz="0" w:space="0" w:color="auto"/>
        <w:bottom w:val="none" w:sz="0" w:space="0" w:color="auto"/>
        <w:right w:val="none" w:sz="0" w:space="0" w:color="auto"/>
      </w:divBdr>
      <w:divsChild>
        <w:div w:id="1809515123">
          <w:marLeft w:val="230"/>
          <w:marRight w:val="0"/>
          <w:marTop w:val="60"/>
          <w:marBottom w:val="20"/>
          <w:divBdr>
            <w:top w:val="none" w:sz="0" w:space="0" w:color="auto"/>
            <w:left w:val="none" w:sz="0" w:space="0" w:color="auto"/>
            <w:bottom w:val="none" w:sz="0" w:space="0" w:color="auto"/>
            <w:right w:val="none" w:sz="0" w:space="0" w:color="auto"/>
          </w:divBdr>
        </w:div>
      </w:divsChild>
    </w:div>
    <w:div w:id="59401660">
      <w:bodyDiv w:val="1"/>
      <w:marLeft w:val="0"/>
      <w:marRight w:val="0"/>
      <w:marTop w:val="0"/>
      <w:marBottom w:val="0"/>
      <w:divBdr>
        <w:top w:val="none" w:sz="0" w:space="0" w:color="auto"/>
        <w:left w:val="none" w:sz="0" w:space="0" w:color="auto"/>
        <w:bottom w:val="none" w:sz="0" w:space="0" w:color="auto"/>
        <w:right w:val="none" w:sz="0" w:space="0" w:color="auto"/>
      </w:divBdr>
    </w:div>
    <w:div w:id="73671768">
      <w:bodyDiv w:val="1"/>
      <w:marLeft w:val="0"/>
      <w:marRight w:val="0"/>
      <w:marTop w:val="0"/>
      <w:marBottom w:val="0"/>
      <w:divBdr>
        <w:top w:val="none" w:sz="0" w:space="0" w:color="auto"/>
        <w:left w:val="none" w:sz="0" w:space="0" w:color="auto"/>
        <w:bottom w:val="none" w:sz="0" w:space="0" w:color="auto"/>
        <w:right w:val="none" w:sz="0" w:space="0" w:color="auto"/>
      </w:divBdr>
    </w:div>
    <w:div w:id="113910960">
      <w:bodyDiv w:val="1"/>
      <w:marLeft w:val="0"/>
      <w:marRight w:val="0"/>
      <w:marTop w:val="0"/>
      <w:marBottom w:val="0"/>
      <w:divBdr>
        <w:top w:val="none" w:sz="0" w:space="0" w:color="auto"/>
        <w:left w:val="none" w:sz="0" w:space="0" w:color="auto"/>
        <w:bottom w:val="none" w:sz="0" w:space="0" w:color="auto"/>
        <w:right w:val="none" w:sz="0" w:space="0" w:color="auto"/>
      </w:divBdr>
    </w:div>
    <w:div w:id="150099199">
      <w:bodyDiv w:val="1"/>
      <w:marLeft w:val="0"/>
      <w:marRight w:val="0"/>
      <w:marTop w:val="0"/>
      <w:marBottom w:val="0"/>
      <w:divBdr>
        <w:top w:val="none" w:sz="0" w:space="0" w:color="auto"/>
        <w:left w:val="none" w:sz="0" w:space="0" w:color="auto"/>
        <w:bottom w:val="none" w:sz="0" w:space="0" w:color="auto"/>
        <w:right w:val="none" w:sz="0" w:space="0" w:color="auto"/>
      </w:divBdr>
    </w:div>
    <w:div w:id="153183877">
      <w:bodyDiv w:val="1"/>
      <w:marLeft w:val="0"/>
      <w:marRight w:val="0"/>
      <w:marTop w:val="0"/>
      <w:marBottom w:val="0"/>
      <w:divBdr>
        <w:top w:val="none" w:sz="0" w:space="0" w:color="auto"/>
        <w:left w:val="none" w:sz="0" w:space="0" w:color="auto"/>
        <w:bottom w:val="none" w:sz="0" w:space="0" w:color="auto"/>
        <w:right w:val="none" w:sz="0" w:space="0" w:color="auto"/>
      </w:divBdr>
    </w:div>
    <w:div w:id="158741840">
      <w:bodyDiv w:val="1"/>
      <w:marLeft w:val="0"/>
      <w:marRight w:val="0"/>
      <w:marTop w:val="0"/>
      <w:marBottom w:val="0"/>
      <w:divBdr>
        <w:top w:val="none" w:sz="0" w:space="0" w:color="auto"/>
        <w:left w:val="none" w:sz="0" w:space="0" w:color="auto"/>
        <w:bottom w:val="none" w:sz="0" w:space="0" w:color="auto"/>
        <w:right w:val="none" w:sz="0" w:space="0" w:color="auto"/>
      </w:divBdr>
    </w:div>
    <w:div w:id="172914705">
      <w:bodyDiv w:val="1"/>
      <w:marLeft w:val="0"/>
      <w:marRight w:val="0"/>
      <w:marTop w:val="0"/>
      <w:marBottom w:val="0"/>
      <w:divBdr>
        <w:top w:val="none" w:sz="0" w:space="0" w:color="auto"/>
        <w:left w:val="none" w:sz="0" w:space="0" w:color="auto"/>
        <w:bottom w:val="none" w:sz="0" w:space="0" w:color="auto"/>
        <w:right w:val="none" w:sz="0" w:space="0" w:color="auto"/>
      </w:divBdr>
    </w:div>
    <w:div w:id="182940505">
      <w:bodyDiv w:val="1"/>
      <w:marLeft w:val="0"/>
      <w:marRight w:val="0"/>
      <w:marTop w:val="0"/>
      <w:marBottom w:val="0"/>
      <w:divBdr>
        <w:top w:val="none" w:sz="0" w:space="0" w:color="auto"/>
        <w:left w:val="none" w:sz="0" w:space="0" w:color="auto"/>
        <w:bottom w:val="none" w:sz="0" w:space="0" w:color="auto"/>
        <w:right w:val="none" w:sz="0" w:space="0" w:color="auto"/>
      </w:divBdr>
      <w:divsChild>
        <w:div w:id="1310011329">
          <w:marLeft w:val="230"/>
          <w:marRight w:val="0"/>
          <w:marTop w:val="60"/>
          <w:marBottom w:val="60"/>
          <w:divBdr>
            <w:top w:val="none" w:sz="0" w:space="0" w:color="auto"/>
            <w:left w:val="none" w:sz="0" w:space="0" w:color="auto"/>
            <w:bottom w:val="none" w:sz="0" w:space="0" w:color="auto"/>
            <w:right w:val="none" w:sz="0" w:space="0" w:color="auto"/>
          </w:divBdr>
        </w:div>
      </w:divsChild>
    </w:div>
    <w:div w:id="205878226">
      <w:bodyDiv w:val="1"/>
      <w:marLeft w:val="0"/>
      <w:marRight w:val="0"/>
      <w:marTop w:val="0"/>
      <w:marBottom w:val="0"/>
      <w:divBdr>
        <w:top w:val="none" w:sz="0" w:space="0" w:color="auto"/>
        <w:left w:val="none" w:sz="0" w:space="0" w:color="auto"/>
        <w:bottom w:val="none" w:sz="0" w:space="0" w:color="auto"/>
        <w:right w:val="none" w:sz="0" w:space="0" w:color="auto"/>
      </w:divBdr>
      <w:divsChild>
        <w:div w:id="379671679">
          <w:marLeft w:val="274"/>
          <w:marRight w:val="0"/>
          <w:marTop w:val="0"/>
          <w:marBottom w:val="0"/>
          <w:divBdr>
            <w:top w:val="none" w:sz="0" w:space="0" w:color="auto"/>
            <w:left w:val="none" w:sz="0" w:space="0" w:color="auto"/>
            <w:bottom w:val="none" w:sz="0" w:space="0" w:color="auto"/>
            <w:right w:val="none" w:sz="0" w:space="0" w:color="auto"/>
          </w:divBdr>
        </w:div>
        <w:div w:id="404452143">
          <w:marLeft w:val="274"/>
          <w:marRight w:val="0"/>
          <w:marTop w:val="0"/>
          <w:marBottom w:val="0"/>
          <w:divBdr>
            <w:top w:val="none" w:sz="0" w:space="0" w:color="auto"/>
            <w:left w:val="none" w:sz="0" w:space="0" w:color="auto"/>
            <w:bottom w:val="none" w:sz="0" w:space="0" w:color="auto"/>
            <w:right w:val="none" w:sz="0" w:space="0" w:color="auto"/>
          </w:divBdr>
        </w:div>
        <w:div w:id="1380203654">
          <w:marLeft w:val="274"/>
          <w:marRight w:val="0"/>
          <w:marTop w:val="0"/>
          <w:marBottom w:val="0"/>
          <w:divBdr>
            <w:top w:val="none" w:sz="0" w:space="0" w:color="auto"/>
            <w:left w:val="none" w:sz="0" w:space="0" w:color="auto"/>
            <w:bottom w:val="none" w:sz="0" w:space="0" w:color="auto"/>
            <w:right w:val="none" w:sz="0" w:space="0" w:color="auto"/>
          </w:divBdr>
        </w:div>
        <w:div w:id="1628971996">
          <w:marLeft w:val="274"/>
          <w:marRight w:val="0"/>
          <w:marTop w:val="0"/>
          <w:marBottom w:val="0"/>
          <w:divBdr>
            <w:top w:val="none" w:sz="0" w:space="0" w:color="auto"/>
            <w:left w:val="none" w:sz="0" w:space="0" w:color="auto"/>
            <w:bottom w:val="none" w:sz="0" w:space="0" w:color="auto"/>
            <w:right w:val="none" w:sz="0" w:space="0" w:color="auto"/>
          </w:divBdr>
        </w:div>
        <w:div w:id="1767849014">
          <w:marLeft w:val="274"/>
          <w:marRight w:val="0"/>
          <w:marTop w:val="0"/>
          <w:marBottom w:val="0"/>
          <w:divBdr>
            <w:top w:val="none" w:sz="0" w:space="0" w:color="auto"/>
            <w:left w:val="none" w:sz="0" w:space="0" w:color="auto"/>
            <w:bottom w:val="none" w:sz="0" w:space="0" w:color="auto"/>
            <w:right w:val="none" w:sz="0" w:space="0" w:color="auto"/>
          </w:divBdr>
        </w:div>
        <w:div w:id="1872911015">
          <w:marLeft w:val="274"/>
          <w:marRight w:val="0"/>
          <w:marTop w:val="0"/>
          <w:marBottom w:val="0"/>
          <w:divBdr>
            <w:top w:val="none" w:sz="0" w:space="0" w:color="auto"/>
            <w:left w:val="none" w:sz="0" w:space="0" w:color="auto"/>
            <w:bottom w:val="none" w:sz="0" w:space="0" w:color="auto"/>
            <w:right w:val="none" w:sz="0" w:space="0" w:color="auto"/>
          </w:divBdr>
        </w:div>
        <w:div w:id="2038660190">
          <w:marLeft w:val="274"/>
          <w:marRight w:val="0"/>
          <w:marTop w:val="0"/>
          <w:marBottom w:val="0"/>
          <w:divBdr>
            <w:top w:val="none" w:sz="0" w:space="0" w:color="auto"/>
            <w:left w:val="none" w:sz="0" w:space="0" w:color="auto"/>
            <w:bottom w:val="none" w:sz="0" w:space="0" w:color="auto"/>
            <w:right w:val="none" w:sz="0" w:space="0" w:color="auto"/>
          </w:divBdr>
        </w:div>
        <w:div w:id="2097817964">
          <w:marLeft w:val="274"/>
          <w:marRight w:val="0"/>
          <w:marTop w:val="0"/>
          <w:marBottom w:val="0"/>
          <w:divBdr>
            <w:top w:val="none" w:sz="0" w:space="0" w:color="auto"/>
            <w:left w:val="none" w:sz="0" w:space="0" w:color="auto"/>
            <w:bottom w:val="none" w:sz="0" w:space="0" w:color="auto"/>
            <w:right w:val="none" w:sz="0" w:space="0" w:color="auto"/>
          </w:divBdr>
        </w:div>
      </w:divsChild>
    </w:div>
    <w:div w:id="230389563">
      <w:bodyDiv w:val="1"/>
      <w:marLeft w:val="0"/>
      <w:marRight w:val="0"/>
      <w:marTop w:val="0"/>
      <w:marBottom w:val="0"/>
      <w:divBdr>
        <w:top w:val="none" w:sz="0" w:space="0" w:color="auto"/>
        <w:left w:val="none" w:sz="0" w:space="0" w:color="auto"/>
        <w:bottom w:val="none" w:sz="0" w:space="0" w:color="auto"/>
        <w:right w:val="none" w:sz="0" w:space="0" w:color="auto"/>
      </w:divBdr>
    </w:div>
    <w:div w:id="253247981">
      <w:bodyDiv w:val="1"/>
      <w:marLeft w:val="0"/>
      <w:marRight w:val="0"/>
      <w:marTop w:val="0"/>
      <w:marBottom w:val="0"/>
      <w:divBdr>
        <w:top w:val="none" w:sz="0" w:space="0" w:color="auto"/>
        <w:left w:val="none" w:sz="0" w:space="0" w:color="auto"/>
        <w:bottom w:val="none" w:sz="0" w:space="0" w:color="auto"/>
        <w:right w:val="none" w:sz="0" w:space="0" w:color="auto"/>
      </w:divBdr>
    </w:div>
    <w:div w:id="275212476">
      <w:bodyDiv w:val="1"/>
      <w:marLeft w:val="0"/>
      <w:marRight w:val="0"/>
      <w:marTop w:val="0"/>
      <w:marBottom w:val="0"/>
      <w:divBdr>
        <w:top w:val="none" w:sz="0" w:space="0" w:color="auto"/>
        <w:left w:val="none" w:sz="0" w:space="0" w:color="auto"/>
        <w:bottom w:val="none" w:sz="0" w:space="0" w:color="auto"/>
        <w:right w:val="none" w:sz="0" w:space="0" w:color="auto"/>
      </w:divBdr>
      <w:divsChild>
        <w:div w:id="474567125">
          <w:marLeft w:val="0"/>
          <w:marRight w:val="0"/>
          <w:marTop w:val="0"/>
          <w:marBottom w:val="0"/>
          <w:divBdr>
            <w:top w:val="none" w:sz="0" w:space="0" w:color="auto"/>
            <w:left w:val="none" w:sz="0" w:space="0" w:color="auto"/>
            <w:bottom w:val="none" w:sz="0" w:space="0" w:color="auto"/>
            <w:right w:val="none" w:sz="0" w:space="0" w:color="auto"/>
          </w:divBdr>
        </w:div>
        <w:div w:id="682709838">
          <w:marLeft w:val="0"/>
          <w:marRight w:val="0"/>
          <w:marTop w:val="0"/>
          <w:marBottom w:val="0"/>
          <w:divBdr>
            <w:top w:val="none" w:sz="0" w:space="0" w:color="auto"/>
            <w:left w:val="none" w:sz="0" w:space="0" w:color="auto"/>
            <w:bottom w:val="none" w:sz="0" w:space="0" w:color="auto"/>
            <w:right w:val="none" w:sz="0" w:space="0" w:color="auto"/>
          </w:divBdr>
          <w:divsChild>
            <w:div w:id="272253784">
              <w:marLeft w:val="0"/>
              <w:marRight w:val="0"/>
              <w:marTop w:val="0"/>
              <w:marBottom w:val="0"/>
              <w:divBdr>
                <w:top w:val="none" w:sz="0" w:space="0" w:color="auto"/>
                <w:left w:val="none" w:sz="0" w:space="0" w:color="auto"/>
                <w:bottom w:val="none" w:sz="0" w:space="0" w:color="auto"/>
                <w:right w:val="none" w:sz="0" w:space="0" w:color="auto"/>
              </w:divBdr>
            </w:div>
            <w:div w:id="609707263">
              <w:marLeft w:val="0"/>
              <w:marRight w:val="0"/>
              <w:marTop w:val="0"/>
              <w:marBottom w:val="0"/>
              <w:divBdr>
                <w:top w:val="none" w:sz="0" w:space="0" w:color="auto"/>
                <w:left w:val="none" w:sz="0" w:space="0" w:color="auto"/>
                <w:bottom w:val="none" w:sz="0" w:space="0" w:color="auto"/>
                <w:right w:val="none" w:sz="0" w:space="0" w:color="auto"/>
              </w:divBdr>
            </w:div>
            <w:div w:id="776755641">
              <w:marLeft w:val="0"/>
              <w:marRight w:val="0"/>
              <w:marTop w:val="0"/>
              <w:marBottom w:val="0"/>
              <w:divBdr>
                <w:top w:val="none" w:sz="0" w:space="0" w:color="auto"/>
                <w:left w:val="none" w:sz="0" w:space="0" w:color="auto"/>
                <w:bottom w:val="none" w:sz="0" w:space="0" w:color="auto"/>
                <w:right w:val="none" w:sz="0" w:space="0" w:color="auto"/>
              </w:divBdr>
            </w:div>
            <w:div w:id="872116266">
              <w:marLeft w:val="0"/>
              <w:marRight w:val="0"/>
              <w:marTop w:val="0"/>
              <w:marBottom w:val="0"/>
              <w:divBdr>
                <w:top w:val="none" w:sz="0" w:space="0" w:color="auto"/>
                <w:left w:val="none" w:sz="0" w:space="0" w:color="auto"/>
                <w:bottom w:val="none" w:sz="0" w:space="0" w:color="auto"/>
                <w:right w:val="none" w:sz="0" w:space="0" w:color="auto"/>
              </w:divBdr>
            </w:div>
            <w:div w:id="1003119610">
              <w:marLeft w:val="0"/>
              <w:marRight w:val="0"/>
              <w:marTop w:val="0"/>
              <w:marBottom w:val="0"/>
              <w:divBdr>
                <w:top w:val="none" w:sz="0" w:space="0" w:color="auto"/>
                <w:left w:val="none" w:sz="0" w:space="0" w:color="auto"/>
                <w:bottom w:val="none" w:sz="0" w:space="0" w:color="auto"/>
                <w:right w:val="none" w:sz="0" w:space="0" w:color="auto"/>
              </w:divBdr>
            </w:div>
          </w:divsChild>
        </w:div>
        <w:div w:id="830290965">
          <w:marLeft w:val="0"/>
          <w:marRight w:val="0"/>
          <w:marTop w:val="0"/>
          <w:marBottom w:val="0"/>
          <w:divBdr>
            <w:top w:val="none" w:sz="0" w:space="0" w:color="auto"/>
            <w:left w:val="none" w:sz="0" w:space="0" w:color="auto"/>
            <w:bottom w:val="none" w:sz="0" w:space="0" w:color="auto"/>
            <w:right w:val="none" w:sz="0" w:space="0" w:color="auto"/>
          </w:divBdr>
        </w:div>
        <w:div w:id="1241871804">
          <w:marLeft w:val="0"/>
          <w:marRight w:val="0"/>
          <w:marTop w:val="0"/>
          <w:marBottom w:val="0"/>
          <w:divBdr>
            <w:top w:val="none" w:sz="0" w:space="0" w:color="auto"/>
            <w:left w:val="none" w:sz="0" w:space="0" w:color="auto"/>
            <w:bottom w:val="none" w:sz="0" w:space="0" w:color="auto"/>
            <w:right w:val="none" w:sz="0" w:space="0" w:color="auto"/>
          </w:divBdr>
          <w:divsChild>
            <w:div w:id="32467802">
              <w:marLeft w:val="0"/>
              <w:marRight w:val="0"/>
              <w:marTop w:val="0"/>
              <w:marBottom w:val="0"/>
              <w:divBdr>
                <w:top w:val="none" w:sz="0" w:space="0" w:color="auto"/>
                <w:left w:val="none" w:sz="0" w:space="0" w:color="auto"/>
                <w:bottom w:val="none" w:sz="0" w:space="0" w:color="auto"/>
                <w:right w:val="none" w:sz="0" w:space="0" w:color="auto"/>
              </w:divBdr>
            </w:div>
            <w:div w:id="89203356">
              <w:marLeft w:val="0"/>
              <w:marRight w:val="0"/>
              <w:marTop w:val="0"/>
              <w:marBottom w:val="0"/>
              <w:divBdr>
                <w:top w:val="none" w:sz="0" w:space="0" w:color="auto"/>
                <w:left w:val="none" w:sz="0" w:space="0" w:color="auto"/>
                <w:bottom w:val="none" w:sz="0" w:space="0" w:color="auto"/>
                <w:right w:val="none" w:sz="0" w:space="0" w:color="auto"/>
              </w:divBdr>
            </w:div>
            <w:div w:id="382867953">
              <w:marLeft w:val="0"/>
              <w:marRight w:val="0"/>
              <w:marTop w:val="0"/>
              <w:marBottom w:val="0"/>
              <w:divBdr>
                <w:top w:val="none" w:sz="0" w:space="0" w:color="auto"/>
                <w:left w:val="none" w:sz="0" w:space="0" w:color="auto"/>
                <w:bottom w:val="none" w:sz="0" w:space="0" w:color="auto"/>
                <w:right w:val="none" w:sz="0" w:space="0" w:color="auto"/>
              </w:divBdr>
            </w:div>
            <w:div w:id="540750460">
              <w:marLeft w:val="0"/>
              <w:marRight w:val="0"/>
              <w:marTop w:val="0"/>
              <w:marBottom w:val="0"/>
              <w:divBdr>
                <w:top w:val="none" w:sz="0" w:space="0" w:color="auto"/>
                <w:left w:val="none" w:sz="0" w:space="0" w:color="auto"/>
                <w:bottom w:val="none" w:sz="0" w:space="0" w:color="auto"/>
                <w:right w:val="none" w:sz="0" w:space="0" w:color="auto"/>
              </w:divBdr>
            </w:div>
            <w:div w:id="1947303393">
              <w:marLeft w:val="0"/>
              <w:marRight w:val="0"/>
              <w:marTop w:val="0"/>
              <w:marBottom w:val="0"/>
              <w:divBdr>
                <w:top w:val="none" w:sz="0" w:space="0" w:color="auto"/>
                <w:left w:val="none" w:sz="0" w:space="0" w:color="auto"/>
                <w:bottom w:val="none" w:sz="0" w:space="0" w:color="auto"/>
                <w:right w:val="none" w:sz="0" w:space="0" w:color="auto"/>
              </w:divBdr>
            </w:div>
          </w:divsChild>
        </w:div>
        <w:div w:id="1276865203">
          <w:marLeft w:val="0"/>
          <w:marRight w:val="0"/>
          <w:marTop w:val="0"/>
          <w:marBottom w:val="0"/>
          <w:divBdr>
            <w:top w:val="none" w:sz="0" w:space="0" w:color="auto"/>
            <w:left w:val="none" w:sz="0" w:space="0" w:color="auto"/>
            <w:bottom w:val="none" w:sz="0" w:space="0" w:color="auto"/>
            <w:right w:val="none" w:sz="0" w:space="0" w:color="auto"/>
          </w:divBdr>
          <w:divsChild>
            <w:div w:id="603733285">
              <w:marLeft w:val="-75"/>
              <w:marRight w:val="0"/>
              <w:marTop w:val="30"/>
              <w:marBottom w:val="30"/>
              <w:divBdr>
                <w:top w:val="none" w:sz="0" w:space="0" w:color="auto"/>
                <w:left w:val="none" w:sz="0" w:space="0" w:color="auto"/>
                <w:bottom w:val="none" w:sz="0" w:space="0" w:color="auto"/>
                <w:right w:val="none" w:sz="0" w:space="0" w:color="auto"/>
              </w:divBdr>
              <w:divsChild>
                <w:div w:id="32846155">
                  <w:marLeft w:val="0"/>
                  <w:marRight w:val="0"/>
                  <w:marTop w:val="0"/>
                  <w:marBottom w:val="0"/>
                  <w:divBdr>
                    <w:top w:val="none" w:sz="0" w:space="0" w:color="auto"/>
                    <w:left w:val="none" w:sz="0" w:space="0" w:color="auto"/>
                    <w:bottom w:val="none" w:sz="0" w:space="0" w:color="auto"/>
                    <w:right w:val="none" w:sz="0" w:space="0" w:color="auto"/>
                  </w:divBdr>
                  <w:divsChild>
                    <w:div w:id="1779181254">
                      <w:marLeft w:val="0"/>
                      <w:marRight w:val="0"/>
                      <w:marTop w:val="0"/>
                      <w:marBottom w:val="0"/>
                      <w:divBdr>
                        <w:top w:val="none" w:sz="0" w:space="0" w:color="auto"/>
                        <w:left w:val="none" w:sz="0" w:space="0" w:color="auto"/>
                        <w:bottom w:val="none" w:sz="0" w:space="0" w:color="auto"/>
                        <w:right w:val="none" w:sz="0" w:space="0" w:color="auto"/>
                      </w:divBdr>
                    </w:div>
                  </w:divsChild>
                </w:div>
                <w:div w:id="141393715">
                  <w:marLeft w:val="0"/>
                  <w:marRight w:val="0"/>
                  <w:marTop w:val="0"/>
                  <w:marBottom w:val="0"/>
                  <w:divBdr>
                    <w:top w:val="none" w:sz="0" w:space="0" w:color="auto"/>
                    <w:left w:val="none" w:sz="0" w:space="0" w:color="auto"/>
                    <w:bottom w:val="none" w:sz="0" w:space="0" w:color="auto"/>
                    <w:right w:val="none" w:sz="0" w:space="0" w:color="auto"/>
                  </w:divBdr>
                  <w:divsChild>
                    <w:div w:id="494420119">
                      <w:marLeft w:val="0"/>
                      <w:marRight w:val="0"/>
                      <w:marTop w:val="0"/>
                      <w:marBottom w:val="0"/>
                      <w:divBdr>
                        <w:top w:val="none" w:sz="0" w:space="0" w:color="auto"/>
                        <w:left w:val="none" w:sz="0" w:space="0" w:color="auto"/>
                        <w:bottom w:val="none" w:sz="0" w:space="0" w:color="auto"/>
                        <w:right w:val="none" w:sz="0" w:space="0" w:color="auto"/>
                      </w:divBdr>
                    </w:div>
                  </w:divsChild>
                </w:div>
                <w:div w:id="234826406">
                  <w:marLeft w:val="0"/>
                  <w:marRight w:val="0"/>
                  <w:marTop w:val="0"/>
                  <w:marBottom w:val="0"/>
                  <w:divBdr>
                    <w:top w:val="none" w:sz="0" w:space="0" w:color="auto"/>
                    <w:left w:val="none" w:sz="0" w:space="0" w:color="auto"/>
                    <w:bottom w:val="none" w:sz="0" w:space="0" w:color="auto"/>
                    <w:right w:val="none" w:sz="0" w:space="0" w:color="auto"/>
                  </w:divBdr>
                  <w:divsChild>
                    <w:div w:id="270018403">
                      <w:marLeft w:val="0"/>
                      <w:marRight w:val="0"/>
                      <w:marTop w:val="0"/>
                      <w:marBottom w:val="0"/>
                      <w:divBdr>
                        <w:top w:val="none" w:sz="0" w:space="0" w:color="auto"/>
                        <w:left w:val="none" w:sz="0" w:space="0" w:color="auto"/>
                        <w:bottom w:val="none" w:sz="0" w:space="0" w:color="auto"/>
                        <w:right w:val="none" w:sz="0" w:space="0" w:color="auto"/>
                      </w:divBdr>
                    </w:div>
                  </w:divsChild>
                </w:div>
                <w:div w:id="240145939">
                  <w:marLeft w:val="0"/>
                  <w:marRight w:val="0"/>
                  <w:marTop w:val="0"/>
                  <w:marBottom w:val="0"/>
                  <w:divBdr>
                    <w:top w:val="none" w:sz="0" w:space="0" w:color="auto"/>
                    <w:left w:val="none" w:sz="0" w:space="0" w:color="auto"/>
                    <w:bottom w:val="none" w:sz="0" w:space="0" w:color="auto"/>
                    <w:right w:val="none" w:sz="0" w:space="0" w:color="auto"/>
                  </w:divBdr>
                  <w:divsChild>
                    <w:div w:id="802237250">
                      <w:marLeft w:val="0"/>
                      <w:marRight w:val="0"/>
                      <w:marTop w:val="0"/>
                      <w:marBottom w:val="0"/>
                      <w:divBdr>
                        <w:top w:val="none" w:sz="0" w:space="0" w:color="auto"/>
                        <w:left w:val="none" w:sz="0" w:space="0" w:color="auto"/>
                        <w:bottom w:val="none" w:sz="0" w:space="0" w:color="auto"/>
                        <w:right w:val="none" w:sz="0" w:space="0" w:color="auto"/>
                      </w:divBdr>
                    </w:div>
                  </w:divsChild>
                </w:div>
                <w:div w:id="245039174">
                  <w:marLeft w:val="0"/>
                  <w:marRight w:val="0"/>
                  <w:marTop w:val="0"/>
                  <w:marBottom w:val="0"/>
                  <w:divBdr>
                    <w:top w:val="none" w:sz="0" w:space="0" w:color="auto"/>
                    <w:left w:val="none" w:sz="0" w:space="0" w:color="auto"/>
                    <w:bottom w:val="none" w:sz="0" w:space="0" w:color="auto"/>
                    <w:right w:val="none" w:sz="0" w:space="0" w:color="auto"/>
                  </w:divBdr>
                  <w:divsChild>
                    <w:div w:id="1469199654">
                      <w:marLeft w:val="0"/>
                      <w:marRight w:val="0"/>
                      <w:marTop w:val="0"/>
                      <w:marBottom w:val="0"/>
                      <w:divBdr>
                        <w:top w:val="none" w:sz="0" w:space="0" w:color="auto"/>
                        <w:left w:val="none" w:sz="0" w:space="0" w:color="auto"/>
                        <w:bottom w:val="none" w:sz="0" w:space="0" w:color="auto"/>
                        <w:right w:val="none" w:sz="0" w:space="0" w:color="auto"/>
                      </w:divBdr>
                    </w:div>
                  </w:divsChild>
                </w:div>
                <w:div w:id="334650801">
                  <w:marLeft w:val="0"/>
                  <w:marRight w:val="0"/>
                  <w:marTop w:val="0"/>
                  <w:marBottom w:val="0"/>
                  <w:divBdr>
                    <w:top w:val="none" w:sz="0" w:space="0" w:color="auto"/>
                    <w:left w:val="none" w:sz="0" w:space="0" w:color="auto"/>
                    <w:bottom w:val="none" w:sz="0" w:space="0" w:color="auto"/>
                    <w:right w:val="none" w:sz="0" w:space="0" w:color="auto"/>
                  </w:divBdr>
                  <w:divsChild>
                    <w:div w:id="63571322">
                      <w:marLeft w:val="0"/>
                      <w:marRight w:val="0"/>
                      <w:marTop w:val="0"/>
                      <w:marBottom w:val="0"/>
                      <w:divBdr>
                        <w:top w:val="none" w:sz="0" w:space="0" w:color="auto"/>
                        <w:left w:val="none" w:sz="0" w:space="0" w:color="auto"/>
                        <w:bottom w:val="none" w:sz="0" w:space="0" w:color="auto"/>
                        <w:right w:val="none" w:sz="0" w:space="0" w:color="auto"/>
                      </w:divBdr>
                    </w:div>
                  </w:divsChild>
                </w:div>
                <w:div w:id="334696869">
                  <w:marLeft w:val="0"/>
                  <w:marRight w:val="0"/>
                  <w:marTop w:val="0"/>
                  <w:marBottom w:val="0"/>
                  <w:divBdr>
                    <w:top w:val="none" w:sz="0" w:space="0" w:color="auto"/>
                    <w:left w:val="none" w:sz="0" w:space="0" w:color="auto"/>
                    <w:bottom w:val="none" w:sz="0" w:space="0" w:color="auto"/>
                    <w:right w:val="none" w:sz="0" w:space="0" w:color="auto"/>
                  </w:divBdr>
                  <w:divsChild>
                    <w:div w:id="1937666647">
                      <w:marLeft w:val="0"/>
                      <w:marRight w:val="0"/>
                      <w:marTop w:val="0"/>
                      <w:marBottom w:val="0"/>
                      <w:divBdr>
                        <w:top w:val="none" w:sz="0" w:space="0" w:color="auto"/>
                        <w:left w:val="none" w:sz="0" w:space="0" w:color="auto"/>
                        <w:bottom w:val="none" w:sz="0" w:space="0" w:color="auto"/>
                        <w:right w:val="none" w:sz="0" w:space="0" w:color="auto"/>
                      </w:divBdr>
                    </w:div>
                  </w:divsChild>
                </w:div>
                <w:div w:id="532305148">
                  <w:marLeft w:val="0"/>
                  <w:marRight w:val="0"/>
                  <w:marTop w:val="0"/>
                  <w:marBottom w:val="0"/>
                  <w:divBdr>
                    <w:top w:val="none" w:sz="0" w:space="0" w:color="auto"/>
                    <w:left w:val="none" w:sz="0" w:space="0" w:color="auto"/>
                    <w:bottom w:val="none" w:sz="0" w:space="0" w:color="auto"/>
                    <w:right w:val="none" w:sz="0" w:space="0" w:color="auto"/>
                  </w:divBdr>
                  <w:divsChild>
                    <w:div w:id="3897917">
                      <w:marLeft w:val="0"/>
                      <w:marRight w:val="0"/>
                      <w:marTop w:val="0"/>
                      <w:marBottom w:val="0"/>
                      <w:divBdr>
                        <w:top w:val="none" w:sz="0" w:space="0" w:color="auto"/>
                        <w:left w:val="none" w:sz="0" w:space="0" w:color="auto"/>
                        <w:bottom w:val="none" w:sz="0" w:space="0" w:color="auto"/>
                        <w:right w:val="none" w:sz="0" w:space="0" w:color="auto"/>
                      </w:divBdr>
                    </w:div>
                  </w:divsChild>
                </w:div>
                <w:div w:id="569196565">
                  <w:marLeft w:val="0"/>
                  <w:marRight w:val="0"/>
                  <w:marTop w:val="0"/>
                  <w:marBottom w:val="0"/>
                  <w:divBdr>
                    <w:top w:val="none" w:sz="0" w:space="0" w:color="auto"/>
                    <w:left w:val="none" w:sz="0" w:space="0" w:color="auto"/>
                    <w:bottom w:val="none" w:sz="0" w:space="0" w:color="auto"/>
                    <w:right w:val="none" w:sz="0" w:space="0" w:color="auto"/>
                  </w:divBdr>
                  <w:divsChild>
                    <w:div w:id="1295595875">
                      <w:marLeft w:val="0"/>
                      <w:marRight w:val="0"/>
                      <w:marTop w:val="0"/>
                      <w:marBottom w:val="0"/>
                      <w:divBdr>
                        <w:top w:val="none" w:sz="0" w:space="0" w:color="auto"/>
                        <w:left w:val="none" w:sz="0" w:space="0" w:color="auto"/>
                        <w:bottom w:val="none" w:sz="0" w:space="0" w:color="auto"/>
                        <w:right w:val="none" w:sz="0" w:space="0" w:color="auto"/>
                      </w:divBdr>
                    </w:div>
                  </w:divsChild>
                </w:div>
                <w:div w:id="666205989">
                  <w:marLeft w:val="0"/>
                  <w:marRight w:val="0"/>
                  <w:marTop w:val="0"/>
                  <w:marBottom w:val="0"/>
                  <w:divBdr>
                    <w:top w:val="none" w:sz="0" w:space="0" w:color="auto"/>
                    <w:left w:val="none" w:sz="0" w:space="0" w:color="auto"/>
                    <w:bottom w:val="none" w:sz="0" w:space="0" w:color="auto"/>
                    <w:right w:val="none" w:sz="0" w:space="0" w:color="auto"/>
                  </w:divBdr>
                  <w:divsChild>
                    <w:div w:id="396320642">
                      <w:marLeft w:val="0"/>
                      <w:marRight w:val="0"/>
                      <w:marTop w:val="0"/>
                      <w:marBottom w:val="0"/>
                      <w:divBdr>
                        <w:top w:val="none" w:sz="0" w:space="0" w:color="auto"/>
                        <w:left w:val="none" w:sz="0" w:space="0" w:color="auto"/>
                        <w:bottom w:val="none" w:sz="0" w:space="0" w:color="auto"/>
                        <w:right w:val="none" w:sz="0" w:space="0" w:color="auto"/>
                      </w:divBdr>
                    </w:div>
                  </w:divsChild>
                </w:div>
                <w:div w:id="685057377">
                  <w:marLeft w:val="0"/>
                  <w:marRight w:val="0"/>
                  <w:marTop w:val="0"/>
                  <w:marBottom w:val="0"/>
                  <w:divBdr>
                    <w:top w:val="none" w:sz="0" w:space="0" w:color="auto"/>
                    <w:left w:val="none" w:sz="0" w:space="0" w:color="auto"/>
                    <w:bottom w:val="none" w:sz="0" w:space="0" w:color="auto"/>
                    <w:right w:val="none" w:sz="0" w:space="0" w:color="auto"/>
                  </w:divBdr>
                  <w:divsChild>
                    <w:div w:id="1562060233">
                      <w:marLeft w:val="0"/>
                      <w:marRight w:val="0"/>
                      <w:marTop w:val="0"/>
                      <w:marBottom w:val="0"/>
                      <w:divBdr>
                        <w:top w:val="none" w:sz="0" w:space="0" w:color="auto"/>
                        <w:left w:val="none" w:sz="0" w:space="0" w:color="auto"/>
                        <w:bottom w:val="none" w:sz="0" w:space="0" w:color="auto"/>
                        <w:right w:val="none" w:sz="0" w:space="0" w:color="auto"/>
                      </w:divBdr>
                    </w:div>
                  </w:divsChild>
                </w:div>
                <w:div w:id="768549081">
                  <w:marLeft w:val="0"/>
                  <w:marRight w:val="0"/>
                  <w:marTop w:val="0"/>
                  <w:marBottom w:val="0"/>
                  <w:divBdr>
                    <w:top w:val="none" w:sz="0" w:space="0" w:color="auto"/>
                    <w:left w:val="none" w:sz="0" w:space="0" w:color="auto"/>
                    <w:bottom w:val="none" w:sz="0" w:space="0" w:color="auto"/>
                    <w:right w:val="none" w:sz="0" w:space="0" w:color="auto"/>
                  </w:divBdr>
                  <w:divsChild>
                    <w:div w:id="1641887162">
                      <w:marLeft w:val="0"/>
                      <w:marRight w:val="0"/>
                      <w:marTop w:val="0"/>
                      <w:marBottom w:val="0"/>
                      <w:divBdr>
                        <w:top w:val="none" w:sz="0" w:space="0" w:color="auto"/>
                        <w:left w:val="none" w:sz="0" w:space="0" w:color="auto"/>
                        <w:bottom w:val="none" w:sz="0" w:space="0" w:color="auto"/>
                        <w:right w:val="none" w:sz="0" w:space="0" w:color="auto"/>
                      </w:divBdr>
                    </w:div>
                  </w:divsChild>
                </w:div>
                <w:div w:id="785386540">
                  <w:marLeft w:val="0"/>
                  <w:marRight w:val="0"/>
                  <w:marTop w:val="0"/>
                  <w:marBottom w:val="0"/>
                  <w:divBdr>
                    <w:top w:val="none" w:sz="0" w:space="0" w:color="auto"/>
                    <w:left w:val="none" w:sz="0" w:space="0" w:color="auto"/>
                    <w:bottom w:val="none" w:sz="0" w:space="0" w:color="auto"/>
                    <w:right w:val="none" w:sz="0" w:space="0" w:color="auto"/>
                  </w:divBdr>
                  <w:divsChild>
                    <w:div w:id="615674993">
                      <w:marLeft w:val="0"/>
                      <w:marRight w:val="0"/>
                      <w:marTop w:val="0"/>
                      <w:marBottom w:val="0"/>
                      <w:divBdr>
                        <w:top w:val="none" w:sz="0" w:space="0" w:color="auto"/>
                        <w:left w:val="none" w:sz="0" w:space="0" w:color="auto"/>
                        <w:bottom w:val="none" w:sz="0" w:space="0" w:color="auto"/>
                        <w:right w:val="none" w:sz="0" w:space="0" w:color="auto"/>
                      </w:divBdr>
                    </w:div>
                  </w:divsChild>
                </w:div>
                <w:div w:id="1003970509">
                  <w:marLeft w:val="0"/>
                  <w:marRight w:val="0"/>
                  <w:marTop w:val="0"/>
                  <w:marBottom w:val="0"/>
                  <w:divBdr>
                    <w:top w:val="none" w:sz="0" w:space="0" w:color="auto"/>
                    <w:left w:val="none" w:sz="0" w:space="0" w:color="auto"/>
                    <w:bottom w:val="none" w:sz="0" w:space="0" w:color="auto"/>
                    <w:right w:val="none" w:sz="0" w:space="0" w:color="auto"/>
                  </w:divBdr>
                  <w:divsChild>
                    <w:div w:id="1822766265">
                      <w:marLeft w:val="0"/>
                      <w:marRight w:val="0"/>
                      <w:marTop w:val="0"/>
                      <w:marBottom w:val="0"/>
                      <w:divBdr>
                        <w:top w:val="none" w:sz="0" w:space="0" w:color="auto"/>
                        <w:left w:val="none" w:sz="0" w:space="0" w:color="auto"/>
                        <w:bottom w:val="none" w:sz="0" w:space="0" w:color="auto"/>
                        <w:right w:val="none" w:sz="0" w:space="0" w:color="auto"/>
                      </w:divBdr>
                    </w:div>
                  </w:divsChild>
                </w:div>
                <w:div w:id="1029724062">
                  <w:marLeft w:val="0"/>
                  <w:marRight w:val="0"/>
                  <w:marTop w:val="0"/>
                  <w:marBottom w:val="0"/>
                  <w:divBdr>
                    <w:top w:val="none" w:sz="0" w:space="0" w:color="auto"/>
                    <w:left w:val="none" w:sz="0" w:space="0" w:color="auto"/>
                    <w:bottom w:val="none" w:sz="0" w:space="0" w:color="auto"/>
                    <w:right w:val="none" w:sz="0" w:space="0" w:color="auto"/>
                  </w:divBdr>
                  <w:divsChild>
                    <w:div w:id="134300204">
                      <w:marLeft w:val="0"/>
                      <w:marRight w:val="0"/>
                      <w:marTop w:val="0"/>
                      <w:marBottom w:val="0"/>
                      <w:divBdr>
                        <w:top w:val="none" w:sz="0" w:space="0" w:color="auto"/>
                        <w:left w:val="none" w:sz="0" w:space="0" w:color="auto"/>
                        <w:bottom w:val="none" w:sz="0" w:space="0" w:color="auto"/>
                        <w:right w:val="none" w:sz="0" w:space="0" w:color="auto"/>
                      </w:divBdr>
                    </w:div>
                  </w:divsChild>
                </w:div>
                <w:div w:id="1055277191">
                  <w:marLeft w:val="0"/>
                  <w:marRight w:val="0"/>
                  <w:marTop w:val="0"/>
                  <w:marBottom w:val="0"/>
                  <w:divBdr>
                    <w:top w:val="none" w:sz="0" w:space="0" w:color="auto"/>
                    <w:left w:val="none" w:sz="0" w:space="0" w:color="auto"/>
                    <w:bottom w:val="none" w:sz="0" w:space="0" w:color="auto"/>
                    <w:right w:val="none" w:sz="0" w:space="0" w:color="auto"/>
                  </w:divBdr>
                  <w:divsChild>
                    <w:div w:id="631787053">
                      <w:marLeft w:val="0"/>
                      <w:marRight w:val="0"/>
                      <w:marTop w:val="0"/>
                      <w:marBottom w:val="0"/>
                      <w:divBdr>
                        <w:top w:val="none" w:sz="0" w:space="0" w:color="auto"/>
                        <w:left w:val="none" w:sz="0" w:space="0" w:color="auto"/>
                        <w:bottom w:val="none" w:sz="0" w:space="0" w:color="auto"/>
                        <w:right w:val="none" w:sz="0" w:space="0" w:color="auto"/>
                      </w:divBdr>
                    </w:div>
                  </w:divsChild>
                </w:div>
                <w:div w:id="1132754052">
                  <w:marLeft w:val="0"/>
                  <w:marRight w:val="0"/>
                  <w:marTop w:val="0"/>
                  <w:marBottom w:val="0"/>
                  <w:divBdr>
                    <w:top w:val="none" w:sz="0" w:space="0" w:color="auto"/>
                    <w:left w:val="none" w:sz="0" w:space="0" w:color="auto"/>
                    <w:bottom w:val="none" w:sz="0" w:space="0" w:color="auto"/>
                    <w:right w:val="none" w:sz="0" w:space="0" w:color="auto"/>
                  </w:divBdr>
                  <w:divsChild>
                    <w:div w:id="1073700295">
                      <w:marLeft w:val="0"/>
                      <w:marRight w:val="0"/>
                      <w:marTop w:val="0"/>
                      <w:marBottom w:val="0"/>
                      <w:divBdr>
                        <w:top w:val="none" w:sz="0" w:space="0" w:color="auto"/>
                        <w:left w:val="none" w:sz="0" w:space="0" w:color="auto"/>
                        <w:bottom w:val="none" w:sz="0" w:space="0" w:color="auto"/>
                        <w:right w:val="none" w:sz="0" w:space="0" w:color="auto"/>
                      </w:divBdr>
                    </w:div>
                  </w:divsChild>
                </w:div>
                <w:div w:id="1141847928">
                  <w:marLeft w:val="0"/>
                  <w:marRight w:val="0"/>
                  <w:marTop w:val="0"/>
                  <w:marBottom w:val="0"/>
                  <w:divBdr>
                    <w:top w:val="none" w:sz="0" w:space="0" w:color="auto"/>
                    <w:left w:val="none" w:sz="0" w:space="0" w:color="auto"/>
                    <w:bottom w:val="none" w:sz="0" w:space="0" w:color="auto"/>
                    <w:right w:val="none" w:sz="0" w:space="0" w:color="auto"/>
                  </w:divBdr>
                  <w:divsChild>
                    <w:div w:id="466433957">
                      <w:marLeft w:val="0"/>
                      <w:marRight w:val="0"/>
                      <w:marTop w:val="0"/>
                      <w:marBottom w:val="0"/>
                      <w:divBdr>
                        <w:top w:val="none" w:sz="0" w:space="0" w:color="auto"/>
                        <w:left w:val="none" w:sz="0" w:space="0" w:color="auto"/>
                        <w:bottom w:val="none" w:sz="0" w:space="0" w:color="auto"/>
                        <w:right w:val="none" w:sz="0" w:space="0" w:color="auto"/>
                      </w:divBdr>
                    </w:div>
                  </w:divsChild>
                </w:div>
                <w:div w:id="1163426248">
                  <w:marLeft w:val="0"/>
                  <w:marRight w:val="0"/>
                  <w:marTop w:val="0"/>
                  <w:marBottom w:val="0"/>
                  <w:divBdr>
                    <w:top w:val="none" w:sz="0" w:space="0" w:color="auto"/>
                    <w:left w:val="none" w:sz="0" w:space="0" w:color="auto"/>
                    <w:bottom w:val="none" w:sz="0" w:space="0" w:color="auto"/>
                    <w:right w:val="none" w:sz="0" w:space="0" w:color="auto"/>
                  </w:divBdr>
                  <w:divsChild>
                    <w:div w:id="1458063951">
                      <w:marLeft w:val="0"/>
                      <w:marRight w:val="0"/>
                      <w:marTop w:val="0"/>
                      <w:marBottom w:val="0"/>
                      <w:divBdr>
                        <w:top w:val="none" w:sz="0" w:space="0" w:color="auto"/>
                        <w:left w:val="none" w:sz="0" w:space="0" w:color="auto"/>
                        <w:bottom w:val="none" w:sz="0" w:space="0" w:color="auto"/>
                        <w:right w:val="none" w:sz="0" w:space="0" w:color="auto"/>
                      </w:divBdr>
                    </w:div>
                  </w:divsChild>
                </w:div>
                <w:div w:id="1297955657">
                  <w:marLeft w:val="0"/>
                  <w:marRight w:val="0"/>
                  <w:marTop w:val="0"/>
                  <w:marBottom w:val="0"/>
                  <w:divBdr>
                    <w:top w:val="none" w:sz="0" w:space="0" w:color="auto"/>
                    <w:left w:val="none" w:sz="0" w:space="0" w:color="auto"/>
                    <w:bottom w:val="none" w:sz="0" w:space="0" w:color="auto"/>
                    <w:right w:val="none" w:sz="0" w:space="0" w:color="auto"/>
                  </w:divBdr>
                  <w:divsChild>
                    <w:div w:id="3673184">
                      <w:marLeft w:val="0"/>
                      <w:marRight w:val="0"/>
                      <w:marTop w:val="0"/>
                      <w:marBottom w:val="0"/>
                      <w:divBdr>
                        <w:top w:val="none" w:sz="0" w:space="0" w:color="auto"/>
                        <w:left w:val="none" w:sz="0" w:space="0" w:color="auto"/>
                        <w:bottom w:val="none" w:sz="0" w:space="0" w:color="auto"/>
                        <w:right w:val="none" w:sz="0" w:space="0" w:color="auto"/>
                      </w:divBdr>
                    </w:div>
                  </w:divsChild>
                </w:div>
                <w:div w:id="1311443490">
                  <w:marLeft w:val="0"/>
                  <w:marRight w:val="0"/>
                  <w:marTop w:val="0"/>
                  <w:marBottom w:val="0"/>
                  <w:divBdr>
                    <w:top w:val="none" w:sz="0" w:space="0" w:color="auto"/>
                    <w:left w:val="none" w:sz="0" w:space="0" w:color="auto"/>
                    <w:bottom w:val="none" w:sz="0" w:space="0" w:color="auto"/>
                    <w:right w:val="none" w:sz="0" w:space="0" w:color="auto"/>
                  </w:divBdr>
                  <w:divsChild>
                    <w:div w:id="959645625">
                      <w:marLeft w:val="0"/>
                      <w:marRight w:val="0"/>
                      <w:marTop w:val="0"/>
                      <w:marBottom w:val="0"/>
                      <w:divBdr>
                        <w:top w:val="none" w:sz="0" w:space="0" w:color="auto"/>
                        <w:left w:val="none" w:sz="0" w:space="0" w:color="auto"/>
                        <w:bottom w:val="none" w:sz="0" w:space="0" w:color="auto"/>
                        <w:right w:val="none" w:sz="0" w:space="0" w:color="auto"/>
                      </w:divBdr>
                    </w:div>
                  </w:divsChild>
                </w:div>
                <w:div w:id="1357543351">
                  <w:marLeft w:val="0"/>
                  <w:marRight w:val="0"/>
                  <w:marTop w:val="0"/>
                  <w:marBottom w:val="0"/>
                  <w:divBdr>
                    <w:top w:val="none" w:sz="0" w:space="0" w:color="auto"/>
                    <w:left w:val="none" w:sz="0" w:space="0" w:color="auto"/>
                    <w:bottom w:val="none" w:sz="0" w:space="0" w:color="auto"/>
                    <w:right w:val="none" w:sz="0" w:space="0" w:color="auto"/>
                  </w:divBdr>
                  <w:divsChild>
                    <w:div w:id="1478258421">
                      <w:marLeft w:val="0"/>
                      <w:marRight w:val="0"/>
                      <w:marTop w:val="0"/>
                      <w:marBottom w:val="0"/>
                      <w:divBdr>
                        <w:top w:val="none" w:sz="0" w:space="0" w:color="auto"/>
                        <w:left w:val="none" w:sz="0" w:space="0" w:color="auto"/>
                        <w:bottom w:val="none" w:sz="0" w:space="0" w:color="auto"/>
                        <w:right w:val="none" w:sz="0" w:space="0" w:color="auto"/>
                      </w:divBdr>
                    </w:div>
                  </w:divsChild>
                </w:div>
                <w:div w:id="1374424430">
                  <w:marLeft w:val="0"/>
                  <w:marRight w:val="0"/>
                  <w:marTop w:val="0"/>
                  <w:marBottom w:val="0"/>
                  <w:divBdr>
                    <w:top w:val="none" w:sz="0" w:space="0" w:color="auto"/>
                    <w:left w:val="none" w:sz="0" w:space="0" w:color="auto"/>
                    <w:bottom w:val="none" w:sz="0" w:space="0" w:color="auto"/>
                    <w:right w:val="none" w:sz="0" w:space="0" w:color="auto"/>
                  </w:divBdr>
                  <w:divsChild>
                    <w:div w:id="1355422083">
                      <w:marLeft w:val="0"/>
                      <w:marRight w:val="0"/>
                      <w:marTop w:val="0"/>
                      <w:marBottom w:val="0"/>
                      <w:divBdr>
                        <w:top w:val="none" w:sz="0" w:space="0" w:color="auto"/>
                        <w:left w:val="none" w:sz="0" w:space="0" w:color="auto"/>
                        <w:bottom w:val="none" w:sz="0" w:space="0" w:color="auto"/>
                        <w:right w:val="none" w:sz="0" w:space="0" w:color="auto"/>
                      </w:divBdr>
                    </w:div>
                  </w:divsChild>
                </w:div>
                <w:div w:id="1422529932">
                  <w:marLeft w:val="0"/>
                  <w:marRight w:val="0"/>
                  <w:marTop w:val="0"/>
                  <w:marBottom w:val="0"/>
                  <w:divBdr>
                    <w:top w:val="none" w:sz="0" w:space="0" w:color="auto"/>
                    <w:left w:val="none" w:sz="0" w:space="0" w:color="auto"/>
                    <w:bottom w:val="none" w:sz="0" w:space="0" w:color="auto"/>
                    <w:right w:val="none" w:sz="0" w:space="0" w:color="auto"/>
                  </w:divBdr>
                  <w:divsChild>
                    <w:div w:id="1833787144">
                      <w:marLeft w:val="0"/>
                      <w:marRight w:val="0"/>
                      <w:marTop w:val="0"/>
                      <w:marBottom w:val="0"/>
                      <w:divBdr>
                        <w:top w:val="none" w:sz="0" w:space="0" w:color="auto"/>
                        <w:left w:val="none" w:sz="0" w:space="0" w:color="auto"/>
                        <w:bottom w:val="none" w:sz="0" w:space="0" w:color="auto"/>
                        <w:right w:val="none" w:sz="0" w:space="0" w:color="auto"/>
                      </w:divBdr>
                    </w:div>
                  </w:divsChild>
                </w:div>
                <w:div w:id="1439368264">
                  <w:marLeft w:val="0"/>
                  <w:marRight w:val="0"/>
                  <w:marTop w:val="0"/>
                  <w:marBottom w:val="0"/>
                  <w:divBdr>
                    <w:top w:val="none" w:sz="0" w:space="0" w:color="auto"/>
                    <w:left w:val="none" w:sz="0" w:space="0" w:color="auto"/>
                    <w:bottom w:val="none" w:sz="0" w:space="0" w:color="auto"/>
                    <w:right w:val="none" w:sz="0" w:space="0" w:color="auto"/>
                  </w:divBdr>
                  <w:divsChild>
                    <w:div w:id="2096854820">
                      <w:marLeft w:val="0"/>
                      <w:marRight w:val="0"/>
                      <w:marTop w:val="0"/>
                      <w:marBottom w:val="0"/>
                      <w:divBdr>
                        <w:top w:val="none" w:sz="0" w:space="0" w:color="auto"/>
                        <w:left w:val="none" w:sz="0" w:space="0" w:color="auto"/>
                        <w:bottom w:val="none" w:sz="0" w:space="0" w:color="auto"/>
                        <w:right w:val="none" w:sz="0" w:space="0" w:color="auto"/>
                      </w:divBdr>
                    </w:div>
                  </w:divsChild>
                </w:div>
                <w:div w:id="1504471998">
                  <w:marLeft w:val="0"/>
                  <w:marRight w:val="0"/>
                  <w:marTop w:val="0"/>
                  <w:marBottom w:val="0"/>
                  <w:divBdr>
                    <w:top w:val="none" w:sz="0" w:space="0" w:color="auto"/>
                    <w:left w:val="none" w:sz="0" w:space="0" w:color="auto"/>
                    <w:bottom w:val="none" w:sz="0" w:space="0" w:color="auto"/>
                    <w:right w:val="none" w:sz="0" w:space="0" w:color="auto"/>
                  </w:divBdr>
                  <w:divsChild>
                    <w:div w:id="816337127">
                      <w:marLeft w:val="0"/>
                      <w:marRight w:val="0"/>
                      <w:marTop w:val="0"/>
                      <w:marBottom w:val="0"/>
                      <w:divBdr>
                        <w:top w:val="none" w:sz="0" w:space="0" w:color="auto"/>
                        <w:left w:val="none" w:sz="0" w:space="0" w:color="auto"/>
                        <w:bottom w:val="none" w:sz="0" w:space="0" w:color="auto"/>
                        <w:right w:val="none" w:sz="0" w:space="0" w:color="auto"/>
                      </w:divBdr>
                    </w:div>
                  </w:divsChild>
                </w:div>
                <w:div w:id="1530337325">
                  <w:marLeft w:val="0"/>
                  <w:marRight w:val="0"/>
                  <w:marTop w:val="0"/>
                  <w:marBottom w:val="0"/>
                  <w:divBdr>
                    <w:top w:val="none" w:sz="0" w:space="0" w:color="auto"/>
                    <w:left w:val="none" w:sz="0" w:space="0" w:color="auto"/>
                    <w:bottom w:val="none" w:sz="0" w:space="0" w:color="auto"/>
                    <w:right w:val="none" w:sz="0" w:space="0" w:color="auto"/>
                  </w:divBdr>
                  <w:divsChild>
                    <w:div w:id="1885628859">
                      <w:marLeft w:val="0"/>
                      <w:marRight w:val="0"/>
                      <w:marTop w:val="0"/>
                      <w:marBottom w:val="0"/>
                      <w:divBdr>
                        <w:top w:val="none" w:sz="0" w:space="0" w:color="auto"/>
                        <w:left w:val="none" w:sz="0" w:space="0" w:color="auto"/>
                        <w:bottom w:val="none" w:sz="0" w:space="0" w:color="auto"/>
                        <w:right w:val="none" w:sz="0" w:space="0" w:color="auto"/>
                      </w:divBdr>
                    </w:div>
                  </w:divsChild>
                </w:div>
                <w:div w:id="1542477125">
                  <w:marLeft w:val="0"/>
                  <w:marRight w:val="0"/>
                  <w:marTop w:val="0"/>
                  <w:marBottom w:val="0"/>
                  <w:divBdr>
                    <w:top w:val="none" w:sz="0" w:space="0" w:color="auto"/>
                    <w:left w:val="none" w:sz="0" w:space="0" w:color="auto"/>
                    <w:bottom w:val="none" w:sz="0" w:space="0" w:color="auto"/>
                    <w:right w:val="none" w:sz="0" w:space="0" w:color="auto"/>
                  </w:divBdr>
                  <w:divsChild>
                    <w:div w:id="28343007">
                      <w:marLeft w:val="0"/>
                      <w:marRight w:val="0"/>
                      <w:marTop w:val="0"/>
                      <w:marBottom w:val="0"/>
                      <w:divBdr>
                        <w:top w:val="none" w:sz="0" w:space="0" w:color="auto"/>
                        <w:left w:val="none" w:sz="0" w:space="0" w:color="auto"/>
                        <w:bottom w:val="none" w:sz="0" w:space="0" w:color="auto"/>
                        <w:right w:val="none" w:sz="0" w:space="0" w:color="auto"/>
                      </w:divBdr>
                    </w:div>
                  </w:divsChild>
                </w:div>
                <w:div w:id="1561096112">
                  <w:marLeft w:val="0"/>
                  <w:marRight w:val="0"/>
                  <w:marTop w:val="0"/>
                  <w:marBottom w:val="0"/>
                  <w:divBdr>
                    <w:top w:val="none" w:sz="0" w:space="0" w:color="auto"/>
                    <w:left w:val="none" w:sz="0" w:space="0" w:color="auto"/>
                    <w:bottom w:val="none" w:sz="0" w:space="0" w:color="auto"/>
                    <w:right w:val="none" w:sz="0" w:space="0" w:color="auto"/>
                  </w:divBdr>
                  <w:divsChild>
                    <w:div w:id="1648707882">
                      <w:marLeft w:val="0"/>
                      <w:marRight w:val="0"/>
                      <w:marTop w:val="0"/>
                      <w:marBottom w:val="0"/>
                      <w:divBdr>
                        <w:top w:val="none" w:sz="0" w:space="0" w:color="auto"/>
                        <w:left w:val="none" w:sz="0" w:space="0" w:color="auto"/>
                        <w:bottom w:val="none" w:sz="0" w:space="0" w:color="auto"/>
                        <w:right w:val="none" w:sz="0" w:space="0" w:color="auto"/>
                      </w:divBdr>
                    </w:div>
                  </w:divsChild>
                </w:div>
                <w:div w:id="1805386439">
                  <w:marLeft w:val="0"/>
                  <w:marRight w:val="0"/>
                  <w:marTop w:val="0"/>
                  <w:marBottom w:val="0"/>
                  <w:divBdr>
                    <w:top w:val="none" w:sz="0" w:space="0" w:color="auto"/>
                    <w:left w:val="none" w:sz="0" w:space="0" w:color="auto"/>
                    <w:bottom w:val="none" w:sz="0" w:space="0" w:color="auto"/>
                    <w:right w:val="none" w:sz="0" w:space="0" w:color="auto"/>
                  </w:divBdr>
                  <w:divsChild>
                    <w:div w:id="415254025">
                      <w:marLeft w:val="0"/>
                      <w:marRight w:val="0"/>
                      <w:marTop w:val="0"/>
                      <w:marBottom w:val="0"/>
                      <w:divBdr>
                        <w:top w:val="none" w:sz="0" w:space="0" w:color="auto"/>
                        <w:left w:val="none" w:sz="0" w:space="0" w:color="auto"/>
                        <w:bottom w:val="none" w:sz="0" w:space="0" w:color="auto"/>
                        <w:right w:val="none" w:sz="0" w:space="0" w:color="auto"/>
                      </w:divBdr>
                    </w:div>
                  </w:divsChild>
                </w:div>
                <w:div w:id="1815829783">
                  <w:marLeft w:val="0"/>
                  <w:marRight w:val="0"/>
                  <w:marTop w:val="0"/>
                  <w:marBottom w:val="0"/>
                  <w:divBdr>
                    <w:top w:val="none" w:sz="0" w:space="0" w:color="auto"/>
                    <w:left w:val="none" w:sz="0" w:space="0" w:color="auto"/>
                    <w:bottom w:val="none" w:sz="0" w:space="0" w:color="auto"/>
                    <w:right w:val="none" w:sz="0" w:space="0" w:color="auto"/>
                  </w:divBdr>
                  <w:divsChild>
                    <w:div w:id="464352427">
                      <w:marLeft w:val="0"/>
                      <w:marRight w:val="0"/>
                      <w:marTop w:val="0"/>
                      <w:marBottom w:val="0"/>
                      <w:divBdr>
                        <w:top w:val="none" w:sz="0" w:space="0" w:color="auto"/>
                        <w:left w:val="none" w:sz="0" w:space="0" w:color="auto"/>
                        <w:bottom w:val="none" w:sz="0" w:space="0" w:color="auto"/>
                        <w:right w:val="none" w:sz="0" w:space="0" w:color="auto"/>
                      </w:divBdr>
                    </w:div>
                  </w:divsChild>
                </w:div>
                <w:div w:id="1876234360">
                  <w:marLeft w:val="0"/>
                  <w:marRight w:val="0"/>
                  <w:marTop w:val="0"/>
                  <w:marBottom w:val="0"/>
                  <w:divBdr>
                    <w:top w:val="none" w:sz="0" w:space="0" w:color="auto"/>
                    <w:left w:val="none" w:sz="0" w:space="0" w:color="auto"/>
                    <w:bottom w:val="none" w:sz="0" w:space="0" w:color="auto"/>
                    <w:right w:val="none" w:sz="0" w:space="0" w:color="auto"/>
                  </w:divBdr>
                  <w:divsChild>
                    <w:div w:id="407579197">
                      <w:marLeft w:val="0"/>
                      <w:marRight w:val="0"/>
                      <w:marTop w:val="0"/>
                      <w:marBottom w:val="0"/>
                      <w:divBdr>
                        <w:top w:val="none" w:sz="0" w:space="0" w:color="auto"/>
                        <w:left w:val="none" w:sz="0" w:space="0" w:color="auto"/>
                        <w:bottom w:val="none" w:sz="0" w:space="0" w:color="auto"/>
                        <w:right w:val="none" w:sz="0" w:space="0" w:color="auto"/>
                      </w:divBdr>
                    </w:div>
                  </w:divsChild>
                </w:div>
                <w:div w:id="2063285820">
                  <w:marLeft w:val="0"/>
                  <w:marRight w:val="0"/>
                  <w:marTop w:val="0"/>
                  <w:marBottom w:val="0"/>
                  <w:divBdr>
                    <w:top w:val="none" w:sz="0" w:space="0" w:color="auto"/>
                    <w:left w:val="none" w:sz="0" w:space="0" w:color="auto"/>
                    <w:bottom w:val="none" w:sz="0" w:space="0" w:color="auto"/>
                    <w:right w:val="none" w:sz="0" w:space="0" w:color="auto"/>
                  </w:divBdr>
                  <w:divsChild>
                    <w:div w:id="1539272875">
                      <w:marLeft w:val="0"/>
                      <w:marRight w:val="0"/>
                      <w:marTop w:val="0"/>
                      <w:marBottom w:val="0"/>
                      <w:divBdr>
                        <w:top w:val="none" w:sz="0" w:space="0" w:color="auto"/>
                        <w:left w:val="none" w:sz="0" w:space="0" w:color="auto"/>
                        <w:bottom w:val="none" w:sz="0" w:space="0" w:color="auto"/>
                        <w:right w:val="none" w:sz="0" w:space="0" w:color="auto"/>
                      </w:divBdr>
                    </w:div>
                  </w:divsChild>
                </w:div>
                <w:div w:id="2142338871">
                  <w:marLeft w:val="0"/>
                  <w:marRight w:val="0"/>
                  <w:marTop w:val="0"/>
                  <w:marBottom w:val="0"/>
                  <w:divBdr>
                    <w:top w:val="none" w:sz="0" w:space="0" w:color="auto"/>
                    <w:left w:val="none" w:sz="0" w:space="0" w:color="auto"/>
                    <w:bottom w:val="none" w:sz="0" w:space="0" w:color="auto"/>
                    <w:right w:val="none" w:sz="0" w:space="0" w:color="auto"/>
                  </w:divBdr>
                  <w:divsChild>
                    <w:div w:id="1922905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005714">
          <w:marLeft w:val="0"/>
          <w:marRight w:val="0"/>
          <w:marTop w:val="0"/>
          <w:marBottom w:val="0"/>
          <w:divBdr>
            <w:top w:val="none" w:sz="0" w:space="0" w:color="auto"/>
            <w:left w:val="none" w:sz="0" w:space="0" w:color="auto"/>
            <w:bottom w:val="none" w:sz="0" w:space="0" w:color="auto"/>
            <w:right w:val="none" w:sz="0" w:space="0" w:color="auto"/>
          </w:divBdr>
        </w:div>
        <w:div w:id="1966151820">
          <w:marLeft w:val="0"/>
          <w:marRight w:val="0"/>
          <w:marTop w:val="0"/>
          <w:marBottom w:val="0"/>
          <w:divBdr>
            <w:top w:val="none" w:sz="0" w:space="0" w:color="auto"/>
            <w:left w:val="none" w:sz="0" w:space="0" w:color="auto"/>
            <w:bottom w:val="none" w:sz="0" w:space="0" w:color="auto"/>
            <w:right w:val="none" w:sz="0" w:space="0" w:color="auto"/>
          </w:divBdr>
        </w:div>
      </w:divsChild>
    </w:div>
    <w:div w:id="292562415">
      <w:bodyDiv w:val="1"/>
      <w:marLeft w:val="0"/>
      <w:marRight w:val="0"/>
      <w:marTop w:val="0"/>
      <w:marBottom w:val="0"/>
      <w:divBdr>
        <w:top w:val="none" w:sz="0" w:space="0" w:color="auto"/>
        <w:left w:val="none" w:sz="0" w:space="0" w:color="auto"/>
        <w:bottom w:val="none" w:sz="0" w:space="0" w:color="auto"/>
        <w:right w:val="none" w:sz="0" w:space="0" w:color="auto"/>
      </w:divBdr>
    </w:div>
    <w:div w:id="295843444">
      <w:bodyDiv w:val="1"/>
      <w:marLeft w:val="0"/>
      <w:marRight w:val="0"/>
      <w:marTop w:val="0"/>
      <w:marBottom w:val="0"/>
      <w:divBdr>
        <w:top w:val="none" w:sz="0" w:space="0" w:color="auto"/>
        <w:left w:val="none" w:sz="0" w:space="0" w:color="auto"/>
        <w:bottom w:val="none" w:sz="0" w:space="0" w:color="auto"/>
        <w:right w:val="none" w:sz="0" w:space="0" w:color="auto"/>
      </w:divBdr>
    </w:div>
    <w:div w:id="300690369">
      <w:bodyDiv w:val="1"/>
      <w:marLeft w:val="0"/>
      <w:marRight w:val="0"/>
      <w:marTop w:val="0"/>
      <w:marBottom w:val="0"/>
      <w:divBdr>
        <w:top w:val="none" w:sz="0" w:space="0" w:color="auto"/>
        <w:left w:val="none" w:sz="0" w:space="0" w:color="auto"/>
        <w:bottom w:val="none" w:sz="0" w:space="0" w:color="auto"/>
        <w:right w:val="none" w:sz="0" w:space="0" w:color="auto"/>
      </w:divBdr>
      <w:divsChild>
        <w:div w:id="355280218">
          <w:marLeft w:val="446"/>
          <w:marRight w:val="0"/>
          <w:marTop w:val="0"/>
          <w:marBottom w:val="0"/>
          <w:divBdr>
            <w:top w:val="none" w:sz="0" w:space="0" w:color="auto"/>
            <w:left w:val="none" w:sz="0" w:space="0" w:color="auto"/>
            <w:bottom w:val="none" w:sz="0" w:space="0" w:color="auto"/>
            <w:right w:val="none" w:sz="0" w:space="0" w:color="auto"/>
          </w:divBdr>
        </w:div>
      </w:divsChild>
    </w:div>
    <w:div w:id="323046949">
      <w:bodyDiv w:val="1"/>
      <w:marLeft w:val="0"/>
      <w:marRight w:val="0"/>
      <w:marTop w:val="0"/>
      <w:marBottom w:val="0"/>
      <w:divBdr>
        <w:top w:val="none" w:sz="0" w:space="0" w:color="auto"/>
        <w:left w:val="none" w:sz="0" w:space="0" w:color="auto"/>
        <w:bottom w:val="none" w:sz="0" w:space="0" w:color="auto"/>
        <w:right w:val="none" w:sz="0" w:space="0" w:color="auto"/>
      </w:divBdr>
      <w:divsChild>
        <w:div w:id="284701204">
          <w:marLeft w:val="0"/>
          <w:marRight w:val="0"/>
          <w:marTop w:val="0"/>
          <w:marBottom w:val="0"/>
          <w:divBdr>
            <w:top w:val="none" w:sz="0" w:space="0" w:color="auto"/>
            <w:left w:val="none" w:sz="0" w:space="0" w:color="auto"/>
            <w:bottom w:val="none" w:sz="0" w:space="0" w:color="auto"/>
            <w:right w:val="none" w:sz="0" w:space="0" w:color="auto"/>
          </w:divBdr>
        </w:div>
        <w:div w:id="1075661512">
          <w:marLeft w:val="0"/>
          <w:marRight w:val="0"/>
          <w:marTop w:val="0"/>
          <w:marBottom w:val="0"/>
          <w:divBdr>
            <w:top w:val="none" w:sz="0" w:space="0" w:color="auto"/>
            <w:left w:val="none" w:sz="0" w:space="0" w:color="auto"/>
            <w:bottom w:val="none" w:sz="0" w:space="0" w:color="auto"/>
            <w:right w:val="none" w:sz="0" w:space="0" w:color="auto"/>
          </w:divBdr>
        </w:div>
        <w:div w:id="1135558711">
          <w:marLeft w:val="0"/>
          <w:marRight w:val="0"/>
          <w:marTop w:val="0"/>
          <w:marBottom w:val="0"/>
          <w:divBdr>
            <w:top w:val="none" w:sz="0" w:space="0" w:color="auto"/>
            <w:left w:val="none" w:sz="0" w:space="0" w:color="auto"/>
            <w:bottom w:val="none" w:sz="0" w:space="0" w:color="auto"/>
            <w:right w:val="none" w:sz="0" w:space="0" w:color="auto"/>
          </w:divBdr>
        </w:div>
        <w:div w:id="1727143802">
          <w:marLeft w:val="0"/>
          <w:marRight w:val="0"/>
          <w:marTop w:val="0"/>
          <w:marBottom w:val="0"/>
          <w:divBdr>
            <w:top w:val="none" w:sz="0" w:space="0" w:color="auto"/>
            <w:left w:val="none" w:sz="0" w:space="0" w:color="auto"/>
            <w:bottom w:val="none" w:sz="0" w:space="0" w:color="auto"/>
            <w:right w:val="none" w:sz="0" w:space="0" w:color="auto"/>
          </w:divBdr>
        </w:div>
        <w:div w:id="1805807552">
          <w:marLeft w:val="0"/>
          <w:marRight w:val="0"/>
          <w:marTop w:val="0"/>
          <w:marBottom w:val="0"/>
          <w:divBdr>
            <w:top w:val="none" w:sz="0" w:space="0" w:color="auto"/>
            <w:left w:val="none" w:sz="0" w:space="0" w:color="auto"/>
            <w:bottom w:val="none" w:sz="0" w:space="0" w:color="auto"/>
            <w:right w:val="none" w:sz="0" w:space="0" w:color="auto"/>
          </w:divBdr>
        </w:div>
      </w:divsChild>
    </w:div>
    <w:div w:id="325669066">
      <w:bodyDiv w:val="1"/>
      <w:marLeft w:val="0"/>
      <w:marRight w:val="0"/>
      <w:marTop w:val="0"/>
      <w:marBottom w:val="0"/>
      <w:divBdr>
        <w:top w:val="none" w:sz="0" w:space="0" w:color="auto"/>
        <w:left w:val="none" w:sz="0" w:space="0" w:color="auto"/>
        <w:bottom w:val="none" w:sz="0" w:space="0" w:color="auto"/>
        <w:right w:val="none" w:sz="0" w:space="0" w:color="auto"/>
      </w:divBdr>
    </w:div>
    <w:div w:id="325716578">
      <w:bodyDiv w:val="1"/>
      <w:marLeft w:val="0"/>
      <w:marRight w:val="0"/>
      <w:marTop w:val="0"/>
      <w:marBottom w:val="0"/>
      <w:divBdr>
        <w:top w:val="none" w:sz="0" w:space="0" w:color="auto"/>
        <w:left w:val="none" w:sz="0" w:space="0" w:color="auto"/>
        <w:bottom w:val="none" w:sz="0" w:space="0" w:color="auto"/>
        <w:right w:val="none" w:sz="0" w:space="0" w:color="auto"/>
      </w:divBdr>
    </w:div>
    <w:div w:id="327950536">
      <w:bodyDiv w:val="1"/>
      <w:marLeft w:val="0"/>
      <w:marRight w:val="0"/>
      <w:marTop w:val="0"/>
      <w:marBottom w:val="0"/>
      <w:divBdr>
        <w:top w:val="none" w:sz="0" w:space="0" w:color="auto"/>
        <w:left w:val="none" w:sz="0" w:space="0" w:color="auto"/>
        <w:bottom w:val="none" w:sz="0" w:space="0" w:color="auto"/>
        <w:right w:val="none" w:sz="0" w:space="0" w:color="auto"/>
      </w:divBdr>
    </w:div>
    <w:div w:id="354891177">
      <w:bodyDiv w:val="1"/>
      <w:marLeft w:val="0"/>
      <w:marRight w:val="0"/>
      <w:marTop w:val="0"/>
      <w:marBottom w:val="0"/>
      <w:divBdr>
        <w:top w:val="none" w:sz="0" w:space="0" w:color="auto"/>
        <w:left w:val="none" w:sz="0" w:space="0" w:color="auto"/>
        <w:bottom w:val="none" w:sz="0" w:space="0" w:color="auto"/>
        <w:right w:val="none" w:sz="0" w:space="0" w:color="auto"/>
      </w:divBdr>
    </w:div>
    <w:div w:id="380402193">
      <w:bodyDiv w:val="1"/>
      <w:marLeft w:val="0"/>
      <w:marRight w:val="0"/>
      <w:marTop w:val="0"/>
      <w:marBottom w:val="0"/>
      <w:divBdr>
        <w:top w:val="none" w:sz="0" w:space="0" w:color="auto"/>
        <w:left w:val="none" w:sz="0" w:space="0" w:color="auto"/>
        <w:bottom w:val="none" w:sz="0" w:space="0" w:color="auto"/>
        <w:right w:val="none" w:sz="0" w:space="0" w:color="auto"/>
      </w:divBdr>
    </w:div>
    <w:div w:id="402486809">
      <w:bodyDiv w:val="1"/>
      <w:marLeft w:val="0"/>
      <w:marRight w:val="0"/>
      <w:marTop w:val="0"/>
      <w:marBottom w:val="0"/>
      <w:divBdr>
        <w:top w:val="none" w:sz="0" w:space="0" w:color="auto"/>
        <w:left w:val="none" w:sz="0" w:space="0" w:color="auto"/>
        <w:bottom w:val="none" w:sz="0" w:space="0" w:color="auto"/>
        <w:right w:val="none" w:sz="0" w:space="0" w:color="auto"/>
      </w:divBdr>
    </w:div>
    <w:div w:id="413205560">
      <w:bodyDiv w:val="1"/>
      <w:marLeft w:val="0"/>
      <w:marRight w:val="0"/>
      <w:marTop w:val="0"/>
      <w:marBottom w:val="0"/>
      <w:divBdr>
        <w:top w:val="none" w:sz="0" w:space="0" w:color="auto"/>
        <w:left w:val="none" w:sz="0" w:space="0" w:color="auto"/>
        <w:bottom w:val="none" w:sz="0" w:space="0" w:color="auto"/>
        <w:right w:val="none" w:sz="0" w:space="0" w:color="auto"/>
      </w:divBdr>
    </w:div>
    <w:div w:id="417140750">
      <w:bodyDiv w:val="1"/>
      <w:marLeft w:val="0"/>
      <w:marRight w:val="0"/>
      <w:marTop w:val="0"/>
      <w:marBottom w:val="0"/>
      <w:divBdr>
        <w:top w:val="none" w:sz="0" w:space="0" w:color="auto"/>
        <w:left w:val="none" w:sz="0" w:space="0" w:color="auto"/>
        <w:bottom w:val="none" w:sz="0" w:space="0" w:color="auto"/>
        <w:right w:val="none" w:sz="0" w:space="0" w:color="auto"/>
      </w:divBdr>
    </w:div>
    <w:div w:id="426849254">
      <w:bodyDiv w:val="1"/>
      <w:marLeft w:val="0"/>
      <w:marRight w:val="0"/>
      <w:marTop w:val="0"/>
      <w:marBottom w:val="0"/>
      <w:divBdr>
        <w:top w:val="none" w:sz="0" w:space="0" w:color="auto"/>
        <w:left w:val="none" w:sz="0" w:space="0" w:color="auto"/>
        <w:bottom w:val="none" w:sz="0" w:space="0" w:color="auto"/>
        <w:right w:val="none" w:sz="0" w:space="0" w:color="auto"/>
      </w:divBdr>
    </w:div>
    <w:div w:id="444466022">
      <w:bodyDiv w:val="1"/>
      <w:marLeft w:val="0"/>
      <w:marRight w:val="0"/>
      <w:marTop w:val="0"/>
      <w:marBottom w:val="0"/>
      <w:divBdr>
        <w:top w:val="none" w:sz="0" w:space="0" w:color="auto"/>
        <w:left w:val="none" w:sz="0" w:space="0" w:color="auto"/>
        <w:bottom w:val="none" w:sz="0" w:space="0" w:color="auto"/>
        <w:right w:val="none" w:sz="0" w:space="0" w:color="auto"/>
      </w:divBdr>
      <w:divsChild>
        <w:div w:id="393747660">
          <w:marLeft w:val="0"/>
          <w:marRight w:val="0"/>
          <w:marTop w:val="0"/>
          <w:marBottom w:val="0"/>
          <w:divBdr>
            <w:top w:val="none" w:sz="0" w:space="0" w:color="auto"/>
            <w:left w:val="none" w:sz="0" w:space="0" w:color="auto"/>
            <w:bottom w:val="none" w:sz="0" w:space="0" w:color="auto"/>
            <w:right w:val="none" w:sz="0" w:space="0" w:color="auto"/>
          </w:divBdr>
        </w:div>
        <w:div w:id="1007101878">
          <w:marLeft w:val="0"/>
          <w:marRight w:val="0"/>
          <w:marTop w:val="0"/>
          <w:marBottom w:val="0"/>
          <w:divBdr>
            <w:top w:val="none" w:sz="0" w:space="0" w:color="auto"/>
            <w:left w:val="none" w:sz="0" w:space="0" w:color="auto"/>
            <w:bottom w:val="none" w:sz="0" w:space="0" w:color="auto"/>
            <w:right w:val="none" w:sz="0" w:space="0" w:color="auto"/>
          </w:divBdr>
        </w:div>
        <w:div w:id="1008020817">
          <w:marLeft w:val="0"/>
          <w:marRight w:val="0"/>
          <w:marTop w:val="0"/>
          <w:marBottom w:val="0"/>
          <w:divBdr>
            <w:top w:val="none" w:sz="0" w:space="0" w:color="auto"/>
            <w:left w:val="none" w:sz="0" w:space="0" w:color="auto"/>
            <w:bottom w:val="none" w:sz="0" w:space="0" w:color="auto"/>
            <w:right w:val="none" w:sz="0" w:space="0" w:color="auto"/>
          </w:divBdr>
        </w:div>
        <w:div w:id="1658731062">
          <w:marLeft w:val="0"/>
          <w:marRight w:val="0"/>
          <w:marTop w:val="0"/>
          <w:marBottom w:val="0"/>
          <w:divBdr>
            <w:top w:val="none" w:sz="0" w:space="0" w:color="auto"/>
            <w:left w:val="none" w:sz="0" w:space="0" w:color="auto"/>
            <w:bottom w:val="none" w:sz="0" w:space="0" w:color="auto"/>
            <w:right w:val="none" w:sz="0" w:space="0" w:color="auto"/>
          </w:divBdr>
        </w:div>
      </w:divsChild>
    </w:div>
    <w:div w:id="446121094">
      <w:bodyDiv w:val="1"/>
      <w:marLeft w:val="0"/>
      <w:marRight w:val="0"/>
      <w:marTop w:val="0"/>
      <w:marBottom w:val="0"/>
      <w:divBdr>
        <w:top w:val="none" w:sz="0" w:space="0" w:color="auto"/>
        <w:left w:val="none" w:sz="0" w:space="0" w:color="auto"/>
        <w:bottom w:val="none" w:sz="0" w:space="0" w:color="auto"/>
        <w:right w:val="none" w:sz="0" w:space="0" w:color="auto"/>
      </w:divBdr>
    </w:div>
    <w:div w:id="476411985">
      <w:bodyDiv w:val="1"/>
      <w:marLeft w:val="0"/>
      <w:marRight w:val="0"/>
      <w:marTop w:val="0"/>
      <w:marBottom w:val="0"/>
      <w:divBdr>
        <w:top w:val="none" w:sz="0" w:space="0" w:color="auto"/>
        <w:left w:val="none" w:sz="0" w:space="0" w:color="auto"/>
        <w:bottom w:val="none" w:sz="0" w:space="0" w:color="auto"/>
        <w:right w:val="none" w:sz="0" w:space="0" w:color="auto"/>
      </w:divBdr>
    </w:div>
    <w:div w:id="498157272">
      <w:bodyDiv w:val="1"/>
      <w:marLeft w:val="0"/>
      <w:marRight w:val="0"/>
      <w:marTop w:val="0"/>
      <w:marBottom w:val="0"/>
      <w:divBdr>
        <w:top w:val="none" w:sz="0" w:space="0" w:color="auto"/>
        <w:left w:val="none" w:sz="0" w:space="0" w:color="auto"/>
        <w:bottom w:val="none" w:sz="0" w:space="0" w:color="auto"/>
        <w:right w:val="none" w:sz="0" w:space="0" w:color="auto"/>
      </w:divBdr>
    </w:div>
    <w:div w:id="501244146">
      <w:bodyDiv w:val="1"/>
      <w:marLeft w:val="0"/>
      <w:marRight w:val="0"/>
      <w:marTop w:val="0"/>
      <w:marBottom w:val="0"/>
      <w:divBdr>
        <w:top w:val="none" w:sz="0" w:space="0" w:color="auto"/>
        <w:left w:val="none" w:sz="0" w:space="0" w:color="auto"/>
        <w:bottom w:val="none" w:sz="0" w:space="0" w:color="auto"/>
        <w:right w:val="none" w:sz="0" w:space="0" w:color="auto"/>
      </w:divBdr>
    </w:div>
    <w:div w:id="518087885">
      <w:bodyDiv w:val="1"/>
      <w:marLeft w:val="0"/>
      <w:marRight w:val="0"/>
      <w:marTop w:val="0"/>
      <w:marBottom w:val="0"/>
      <w:divBdr>
        <w:top w:val="none" w:sz="0" w:space="0" w:color="auto"/>
        <w:left w:val="none" w:sz="0" w:space="0" w:color="auto"/>
        <w:bottom w:val="none" w:sz="0" w:space="0" w:color="auto"/>
        <w:right w:val="none" w:sz="0" w:space="0" w:color="auto"/>
      </w:divBdr>
    </w:div>
    <w:div w:id="528950682">
      <w:bodyDiv w:val="1"/>
      <w:marLeft w:val="0"/>
      <w:marRight w:val="0"/>
      <w:marTop w:val="0"/>
      <w:marBottom w:val="0"/>
      <w:divBdr>
        <w:top w:val="none" w:sz="0" w:space="0" w:color="auto"/>
        <w:left w:val="none" w:sz="0" w:space="0" w:color="auto"/>
        <w:bottom w:val="none" w:sz="0" w:space="0" w:color="auto"/>
        <w:right w:val="none" w:sz="0" w:space="0" w:color="auto"/>
      </w:divBdr>
      <w:divsChild>
        <w:div w:id="19669829">
          <w:marLeft w:val="0"/>
          <w:marRight w:val="0"/>
          <w:marTop w:val="0"/>
          <w:marBottom w:val="0"/>
          <w:divBdr>
            <w:top w:val="none" w:sz="0" w:space="0" w:color="auto"/>
            <w:left w:val="none" w:sz="0" w:space="0" w:color="auto"/>
            <w:bottom w:val="none" w:sz="0" w:space="0" w:color="auto"/>
            <w:right w:val="none" w:sz="0" w:space="0" w:color="auto"/>
          </w:divBdr>
          <w:divsChild>
            <w:div w:id="66462083">
              <w:marLeft w:val="0"/>
              <w:marRight w:val="0"/>
              <w:marTop w:val="0"/>
              <w:marBottom w:val="0"/>
              <w:divBdr>
                <w:top w:val="none" w:sz="0" w:space="0" w:color="auto"/>
                <w:left w:val="none" w:sz="0" w:space="0" w:color="auto"/>
                <w:bottom w:val="none" w:sz="0" w:space="0" w:color="auto"/>
                <w:right w:val="none" w:sz="0" w:space="0" w:color="auto"/>
              </w:divBdr>
            </w:div>
            <w:div w:id="457068011">
              <w:marLeft w:val="0"/>
              <w:marRight w:val="0"/>
              <w:marTop w:val="0"/>
              <w:marBottom w:val="0"/>
              <w:divBdr>
                <w:top w:val="none" w:sz="0" w:space="0" w:color="auto"/>
                <w:left w:val="none" w:sz="0" w:space="0" w:color="auto"/>
                <w:bottom w:val="none" w:sz="0" w:space="0" w:color="auto"/>
                <w:right w:val="none" w:sz="0" w:space="0" w:color="auto"/>
              </w:divBdr>
            </w:div>
            <w:div w:id="494608787">
              <w:marLeft w:val="0"/>
              <w:marRight w:val="0"/>
              <w:marTop w:val="0"/>
              <w:marBottom w:val="0"/>
              <w:divBdr>
                <w:top w:val="none" w:sz="0" w:space="0" w:color="auto"/>
                <w:left w:val="none" w:sz="0" w:space="0" w:color="auto"/>
                <w:bottom w:val="none" w:sz="0" w:space="0" w:color="auto"/>
                <w:right w:val="none" w:sz="0" w:space="0" w:color="auto"/>
              </w:divBdr>
            </w:div>
            <w:div w:id="558399456">
              <w:marLeft w:val="0"/>
              <w:marRight w:val="0"/>
              <w:marTop w:val="0"/>
              <w:marBottom w:val="0"/>
              <w:divBdr>
                <w:top w:val="none" w:sz="0" w:space="0" w:color="auto"/>
                <w:left w:val="none" w:sz="0" w:space="0" w:color="auto"/>
                <w:bottom w:val="none" w:sz="0" w:space="0" w:color="auto"/>
                <w:right w:val="none" w:sz="0" w:space="0" w:color="auto"/>
              </w:divBdr>
            </w:div>
            <w:div w:id="620962996">
              <w:marLeft w:val="0"/>
              <w:marRight w:val="0"/>
              <w:marTop w:val="0"/>
              <w:marBottom w:val="0"/>
              <w:divBdr>
                <w:top w:val="none" w:sz="0" w:space="0" w:color="auto"/>
                <w:left w:val="none" w:sz="0" w:space="0" w:color="auto"/>
                <w:bottom w:val="none" w:sz="0" w:space="0" w:color="auto"/>
                <w:right w:val="none" w:sz="0" w:space="0" w:color="auto"/>
              </w:divBdr>
            </w:div>
            <w:div w:id="799230993">
              <w:marLeft w:val="0"/>
              <w:marRight w:val="0"/>
              <w:marTop w:val="0"/>
              <w:marBottom w:val="0"/>
              <w:divBdr>
                <w:top w:val="none" w:sz="0" w:space="0" w:color="auto"/>
                <w:left w:val="none" w:sz="0" w:space="0" w:color="auto"/>
                <w:bottom w:val="none" w:sz="0" w:space="0" w:color="auto"/>
                <w:right w:val="none" w:sz="0" w:space="0" w:color="auto"/>
              </w:divBdr>
            </w:div>
            <w:div w:id="1036195030">
              <w:marLeft w:val="0"/>
              <w:marRight w:val="0"/>
              <w:marTop w:val="0"/>
              <w:marBottom w:val="0"/>
              <w:divBdr>
                <w:top w:val="none" w:sz="0" w:space="0" w:color="auto"/>
                <w:left w:val="none" w:sz="0" w:space="0" w:color="auto"/>
                <w:bottom w:val="none" w:sz="0" w:space="0" w:color="auto"/>
                <w:right w:val="none" w:sz="0" w:space="0" w:color="auto"/>
              </w:divBdr>
            </w:div>
            <w:div w:id="1397047912">
              <w:marLeft w:val="0"/>
              <w:marRight w:val="0"/>
              <w:marTop w:val="0"/>
              <w:marBottom w:val="0"/>
              <w:divBdr>
                <w:top w:val="none" w:sz="0" w:space="0" w:color="auto"/>
                <w:left w:val="none" w:sz="0" w:space="0" w:color="auto"/>
                <w:bottom w:val="none" w:sz="0" w:space="0" w:color="auto"/>
                <w:right w:val="none" w:sz="0" w:space="0" w:color="auto"/>
              </w:divBdr>
            </w:div>
            <w:div w:id="1485777677">
              <w:marLeft w:val="0"/>
              <w:marRight w:val="0"/>
              <w:marTop w:val="0"/>
              <w:marBottom w:val="0"/>
              <w:divBdr>
                <w:top w:val="none" w:sz="0" w:space="0" w:color="auto"/>
                <w:left w:val="none" w:sz="0" w:space="0" w:color="auto"/>
                <w:bottom w:val="none" w:sz="0" w:space="0" w:color="auto"/>
                <w:right w:val="none" w:sz="0" w:space="0" w:color="auto"/>
              </w:divBdr>
            </w:div>
            <w:div w:id="1497529988">
              <w:marLeft w:val="0"/>
              <w:marRight w:val="0"/>
              <w:marTop w:val="0"/>
              <w:marBottom w:val="0"/>
              <w:divBdr>
                <w:top w:val="none" w:sz="0" w:space="0" w:color="auto"/>
                <w:left w:val="none" w:sz="0" w:space="0" w:color="auto"/>
                <w:bottom w:val="none" w:sz="0" w:space="0" w:color="auto"/>
                <w:right w:val="none" w:sz="0" w:space="0" w:color="auto"/>
              </w:divBdr>
            </w:div>
            <w:div w:id="1708871489">
              <w:marLeft w:val="0"/>
              <w:marRight w:val="0"/>
              <w:marTop w:val="0"/>
              <w:marBottom w:val="0"/>
              <w:divBdr>
                <w:top w:val="none" w:sz="0" w:space="0" w:color="auto"/>
                <w:left w:val="none" w:sz="0" w:space="0" w:color="auto"/>
                <w:bottom w:val="none" w:sz="0" w:space="0" w:color="auto"/>
                <w:right w:val="none" w:sz="0" w:space="0" w:color="auto"/>
              </w:divBdr>
            </w:div>
            <w:div w:id="1873107627">
              <w:marLeft w:val="0"/>
              <w:marRight w:val="0"/>
              <w:marTop w:val="0"/>
              <w:marBottom w:val="0"/>
              <w:divBdr>
                <w:top w:val="none" w:sz="0" w:space="0" w:color="auto"/>
                <w:left w:val="none" w:sz="0" w:space="0" w:color="auto"/>
                <w:bottom w:val="none" w:sz="0" w:space="0" w:color="auto"/>
                <w:right w:val="none" w:sz="0" w:space="0" w:color="auto"/>
              </w:divBdr>
            </w:div>
            <w:div w:id="1968269950">
              <w:marLeft w:val="0"/>
              <w:marRight w:val="0"/>
              <w:marTop w:val="0"/>
              <w:marBottom w:val="0"/>
              <w:divBdr>
                <w:top w:val="none" w:sz="0" w:space="0" w:color="auto"/>
                <w:left w:val="none" w:sz="0" w:space="0" w:color="auto"/>
                <w:bottom w:val="none" w:sz="0" w:space="0" w:color="auto"/>
                <w:right w:val="none" w:sz="0" w:space="0" w:color="auto"/>
              </w:divBdr>
            </w:div>
          </w:divsChild>
        </w:div>
        <w:div w:id="968708235">
          <w:marLeft w:val="0"/>
          <w:marRight w:val="0"/>
          <w:marTop w:val="0"/>
          <w:marBottom w:val="0"/>
          <w:divBdr>
            <w:top w:val="none" w:sz="0" w:space="0" w:color="auto"/>
            <w:left w:val="none" w:sz="0" w:space="0" w:color="auto"/>
            <w:bottom w:val="none" w:sz="0" w:space="0" w:color="auto"/>
            <w:right w:val="none" w:sz="0" w:space="0" w:color="auto"/>
          </w:divBdr>
          <w:divsChild>
            <w:div w:id="396438710">
              <w:marLeft w:val="0"/>
              <w:marRight w:val="0"/>
              <w:marTop w:val="0"/>
              <w:marBottom w:val="0"/>
              <w:divBdr>
                <w:top w:val="none" w:sz="0" w:space="0" w:color="auto"/>
                <w:left w:val="none" w:sz="0" w:space="0" w:color="auto"/>
                <w:bottom w:val="none" w:sz="0" w:space="0" w:color="auto"/>
                <w:right w:val="none" w:sz="0" w:space="0" w:color="auto"/>
              </w:divBdr>
            </w:div>
            <w:div w:id="482280764">
              <w:marLeft w:val="0"/>
              <w:marRight w:val="0"/>
              <w:marTop w:val="0"/>
              <w:marBottom w:val="0"/>
              <w:divBdr>
                <w:top w:val="none" w:sz="0" w:space="0" w:color="auto"/>
                <w:left w:val="none" w:sz="0" w:space="0" w:color="auto"/>
                <w:bottom w:val="none" w:sz="0" w:space="0" w:color="auto"/>
                <w:right w:val="none" w:sz="0" w:space="0" w:color="auto"/>
              </w:divBdr>
            </w:div>
            <w:div w:id="511068701">
              <w:marLeft w:val="0"/>
              <w:marRight w:val="0"/>
              <w:marTop w:val="0"/>
              <w:marBottom w:val="0"/>
              <w:divBdr>
                <w:top w:val="none" w:sz="0" w:space="0" w:color="auto"/>
                <w:left w:val="none" w:sz="0" w:space="0" w:color="auto"/>
                <w:bottom w:val="none" w:sz="0" w:space="0" w:color="auto"/>
                <w:right w:val="none" w:sz="0" w:space="0" w:color="auto"/>
              </w:divBdr>
            </w:div>
            <w:div w:id="556360045">
              <w:marLeft w:val="0"/>
              <w:marRight w:val="0"/>
              <w:marTop w:val="0"/>
              <w:marBottom w:val="0"/>
              <w:divBdr>
                <w:top w:val="none" w:sz="0" w:space="0" w:color="auto"/>
                <w:left w:val="none" w:sz="0" w:space="0" w:color="auto"/>
                <w:bottom w:val="none" w:sz="0" w:space="0" w:color="auto"/>
                <w:right w:val="none" w:sz="0" w:space="0" w:color="auto"/>
              </w:divBdr>
            </w:div>
            <w:div w:id="1044250758">
              <w:marLeft w:val="0"/>
              <w:marRight w:val="0"/>
              <w:marTop w:val="0"/>
              <w:marBottom w:val="0"/>
              <w:divBdr>
                <w:top w:val="none" w:sz="0" w:space="0" w:color="auto"/>
                <w:left w:val="none" w:sz="0" w:space="0" w:color="auto"/>
                <w:bottom w:val="none" w:sz="0" w:space="0" w:color="auto"/>
                <w:right w:val="none" w:sz="0" w:space="0" w:color="auto"/>
              </w:divBdr>
            </w:div>
            <w:div w:id="1341081597">
              <w:marLeft w:val="0"/>
              <w:marRight w:val="0"/>
              <w:marTop w:val="0"/>
              <w:marBottom w:val="0"/>
              <w:divBdr>
                <w:top w:val="none" w:sz="0" w:space="0" w:color="auto"/>
                <w:left w:val="none" w:sz="0" w:space="0" w:color="auto"/>
                <w:bottom w:val="none" w:sz="0" w:space="0" w:color="auto"/>
                <w:right w:val="none" w:sz="0" w:space="0" w:color="auto"/>
              </w:divBdr>
            </w:div>
            <w:div w:id="1363554698">
              <w:marLeft w:val="0"/>
              <w:marRight w:val="0"/>
              <w:marTop w:val="0"/>
              <w:marBottom w:val="0"/>
              <w:divBdr>
                <w:top w:val="none" w:sz="0" w:space="0" w:color="auto"/>
                <w:left w:val="none" w:sz="0" w:space="0" w:color="auto"/>
                <w:bottom w:val="none" w:sz="0" w:space="0" w:color="auto"/>
                <w:right w:val="none" w:sz="0" w:space="0" w:color="auto"/>
              </w:divBdr>
            </w:div>
            <w:div w:id="1451506820">
              <w:marLeft w:val="0"/>
              <w:marRight w:val="0"/>
              <w:marTop w:val="0"/>
              <w:marBottom w:val="0"/>
              <w:divBdr>
                <w:top w:val="none" w:sz="0" w:space="0" w:color="auto"/>
                <w:left w:val="none" w:sz="0" w:space="0" w:color="auto"/>
                <w:bottom w:val="none" w:sz="0" w:space="0" w:color="auto"/>
                <w:right w:val="none" w:sz="0" w:space="0" w:color="auto"/>
              </w:divBdr>
            </w:div>
            <w:div w:id="1480344978">
              <w:marLeft w:val="0"/>
              <w:marRight w:val="0"/>
              <w:marTop w:val="0"/>
              <w:marBottom w:val="0"/>
              <w:divBdr>
                <w:top w:val="none" w:sz="0" w:space="0" w:color="auto"/>
                <w:left w:val="none" w:sz="0" w:space="0" w:color="auto"/>
                <w:bottom w:val="none" w:sz="0" w:space="0" w:color="auto"/>
                <w:right w:val="none" w:sz="0" w:space="0" w:color="auto"/>
              </w:divBdr>
            </w:div>
            <w:div w:id="1697073850">
              <w:marLeft w:val="0"/>
              <w:marRight w:val="0"/>
              <w:marTop w:val="0"/>
              <w:marBottom w:val="0"/>
              <w:divBdr>
                <w:top w:val="none" w:sz="0" w:space="0" w:color="auto"/>
                <w:left w:val="none" w:sz="0" w:space="0" w:color="auto"/>
                <w:bottom w:val="none" w:sz="0" w:space="0" w:color="auto"/>
                <w:right w:val="none" w:sz="0" w:space="0" w:color="auto"/>
              </w:divBdr>
            </w:div>
            <w:div w:id="1785227415">
              <w:marLeft w:val="0"/>
              <w:marRight w:val="0"/>
              <w:marTop w:val="0"/>
              <w:marBottom w:val="0"/>
              <w:divBdr>
                <w:top w:val="none" w:sz="0" w:space="0" w:color="auto"/>
                <w:left w:val="none" w:sz="0" w:space="0" w:color="auto"/>
                <w:bottom w:val="none" w:sz="0" w:space="0" w:color="auto"/>
                <w:right w:val="none" w:sz="0" w:space="0" w:color="auto"/>
              </w:divBdr>
            </w:div>
          </w:divsChild>
        </w:div>
        <w:div w:id="1267729743">
          <w:marLeft w:val="0"/>
          <w:marRight w:val="0"/>
          <w:marTop w:val="0"/>
          <w:marBottom w:val="0"/>
          <w:divBdr>
            <w:top w:val="none" w:sz="0" w:space="0" w:color="auto"/>
            <w:left w:val="none" w:sz="0" w:space="0" w:color="auto"/>
            <w:bottom w:val="none" w:sz="0" w:space="0" w:color="auto"/>
            <w:right w:val="none" w:sz="0" w:space="0" w:color="auto"/>
          </w:divBdr>
          <w:divsChild>
            <w:div w:id="1205868058">
              <w:marLeft w:val="0"/>
              <w:marRight w:val="0"/>
              <w:marTop w:val="0"/>
              <w:marBottom w:val="0"/>
              <w:divBdr>
                <w:top w:val="none" w:sz="0" w:space="0" w:color="auto"/>
                <w:left w:val="none" w:sz="0" w:space="0" w:color="auto"/>
                <w:bottom w:val="none" w:sz="0" w:space="0" w:color="auto"/>
                <w:right w:val="none" w:sz="0" w:space="0" w:color="auto"/>
              </w:divBdr>
            </w:div>
            <w:div w:id="1728842018">
              <w:marLeft w:val="0"/>
              <w:marRight w:val="0"/>
              <w:marTop w:val="0"/>
              <w:marBottom w:val="0"/>
              <w:divBdr>
                <w:top w:val="none" w:sz="0" w:space="0" w:color="auto"/>
                <w:left w:val="none" w:sz="0" w:space="0" w:color="auto"/>
                <w:bottom w:val="none" w:sz="0" w:space="0" w:color="auto"/>
                <w:right w:val="none" w:sz="0" w:space="0" w:color="auto"/>
              </w:divBdr>
            </w:div>
            <w:div w:id="1972200577">
              <w:marLeft w:val="0"/>
              <w:marRight w:val="0"/>
              <w:marTop w:val="0"/>
              <w:marBottom w:val="0"/>
              <w:divBdr>
                <w:top w:val="none" w:sz="0" w:space="0" w:color="auto"/>
                <w:left w:val="none" w:sz="0" w:space="0" w:color="auto"/>
                <w:bottom w:val="none" w:sz="0" w:space="0" w:color="auto"/>
                <w:right w:val="none" w:sz="0" w:space="0" w:color="auto"/>
              </w:divBdr>
            </w:div>
          </w:divsChild>
        </w:div>
        <w:div w:id="1716391783">
          <w:marLeft w:val="0"/>
          <w:marRight w:val="0"/>
          <w:marTop w:val="0"/>
          <w:marBottom w:val="0"/>
          <w:divBdr>
            <w:top w:val="none" w:sz="0" w:space="0" w:color="auto"/>
            <w:left w:val="none" w:sz="0" w:space="0" w:color="auto"/>
            <w:bottom w:val="none" w:sz="0" w:space="0" w:color="auto"/>
            <w:right w:val="none" w:sz="0" w:space="0" w:color="auto"/>
          </w:divBdr>
          <w:divsChild>
            <w:div w:id="395707951">
              <w:marLeft w:val="0"/>
              <w:marRight w:val="0"/>
              <w:marTop w:val="0"/>
              <w:marBottom w:val="0"/>
              <w:divBdr>
                <w:top w:val="none" w:sz="0" w:space="0" w:color="auto"/>
                <w:left w:val="none" w:sz="0" w:space="0" w:color="auto"/>
                <w:bottom w:val="none" w:sz="0" w:space="0" w:color="auto"/>
                <w:right w:val="none" w:sz="0" w:space="0" w:color="auto"/>
              </w:divBdr>
            </w:div>
            <w:div w:id="907571561">
              <w:marLeft w:val="0"/>
              <w:marRight w:val="0"/>
              <w:marTop w:val="0"/>
              <w:marBottom w:val="0"/>
              <w:divBdr>
                <w:top w:val="none" w:sz="0" w:space="0" w:color="auto"/>
                <w:left w:val="none" w:sz="0" w:space="0" w:color="auto"/>
                <w:bottom w:val="none" w:sz="0" w:space="0" w:color="auto"/>
                <w:right w:val="none" w:sz="0" w:space="0" w:color="auto"/>
              </w:divBdr>
            </w:div>
            <w:div w:id="1580938584">
              <w:marLeft w:val="0"/>
              <w:marRight w:val="0"/>
              <w:marTop w:val="0"/>
              <w:marBottom w:val="0"/>
              <w:divBdr>
                <w:top w:val="none" w:sz="0" w:space="0" w:color="auto"/>
                <w:left w:val="none" w:sz="0" w:space="0" w:color="auto"/>
                <w:bottom w:val="none" w:sz="0" w:space="0" w:color="auto"/>
                <w:right w:val="none" w:sz="0" w:space="0" w:color="auto"/>
              </w:divBdr>
            </w:div>
            <w:div w:id="1652296587">
              <w:marLeft w:val="0"/>
              <w:marRight w:val="0"/>
              <w:marTop w:val="0"/>
              <w:marBottom w:val="0"/>
              <w:divBdr>
                <w:top w:val="none" w:sz="0" w:space="0" w:color="auto"/>
                <w:left w:val="none" w:sz="0" w:space="0" w:color="auto"/>
                <w:bottom w:val="none" w:sz="0" w:space="0" w:color="auto"/>
                <w:right w:val="none" w:sz="0" w:space="0" w:color="auto"/>
              </w:divBdr>
            </w:div>
            <w:div w:id="178449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00071">
      <w:bodyDiv w:val="1"/>
      <w:marLeft w:val="0"/>
      <w:marRight w:val="0"/>
      <w:marTop w:val="0"/>
      <w:marBottom w:val="0"/>
      <w:divBdr>
        <w:top w:val="none" w:sz="0" w:space="0" w:color="auto"/>
        <w:left w:val="none" w:sz="0" w:space="0" w:color="auto"/>
        <w:bottom w:val="none" w:sz="0" w:space="0" w:color="auto"/>
        <w:right w:val="none" w:sz="0" w:space="0" w:color="auto"/>
      </w:divBdr>
    </w:div>
    <w:div w:id="542522215">
      <w:bodyDiv w:val="1"/>
      <w:marLeft w:val="0"/>
      <w:marRight w:val="0"/>
      <w:marTop w:val="0"/>
      <w:marBottom w:val="0"/>
      <w:divBdr>
        <w:top w:val="none" w:sz="0" w:space="0" w:color="auto"/>
        <w:left w:val="none" w:sz="0" w:space="0" w:color="auto"/>
        <w:bottom w:val="none" w:sz="0" w:space="0" w:color="auto"/>
        <w:right w:val="none" w:sz="0" w:space="0" w:color="auto"/>
      </w:divBdr>
    </w:div>
    <w:div w:id="567619749">
      <w:bodyDiv w:val="1"/>
      <w:marLeft w:val="0"/>
      <w:marRight w:val="0"/>
      <w:marTop w:val="0"/>
      <w:marBottom w:val="0"/>
      <w:divBdr>
        <w:top w:val="none" w:sz="0" w:space="0" w:color="auto"/>
        <w:left w:val="none" w:sz="0" w:space="0" w:color="auto"/>
        <w:bottom w:val="none" w:sz="0" w:space="0" w:color="auto"/>
        <w:right w:val="none" w:sz="0" w:space="0" w:color="auto"/>
      </w:divBdr>
    </w:div>
    <w:div w:id="575938092">
      <w:bodyDiv w:val="1"/>
      <w:marLeft w:val="0"/>
      <w:marRight w:val="0"/>
      <w:marTop w:val="0"/>
      <w:marBottom w:val="0"/>
      <w:divBdr>
        <w:top w:val="none" w:sz="0" w:space="0" w:color="auto"/>
        <w:left w:val="none" w:sz="0" w:space="0" w:color="auto"/>
        <w:bottom w:val="none" w:sz="0" w:space="0" w:color="auto"/>
        <w:right w:val="none" w:sz="0" w:space="0" w:color="auto"/>
      </w:divBdr>
    </w:div>
    <w:div w:id="578635731">
      <w:bodyDiv w:val="1"/>
      <w:marLeft w:val="0"/>
      <w:marRight w:val="0"/>
      <w:marTop w:val="0"/>
      <w:marBottom w:val="0"/>
      <w:divBdr>
        <w:top w:val="none" w:sz="0" w:space="0" w:color="auto"/>
        <w:left w:val="none" w:sz="0" w:space="0" w:color="auto"/>
        <w:bottom w:val="none" w:sz="0" w:space="0" w:color="auto"/>
        <w:right w:val="none" w:sz="0" w:space="0" w:color="auto"/>
      </w:divBdr>
    </w:div>
    <w:div w:id="579563177">
      <w:bodyDiv w:val="1"/>
      <w:marLeft w:val="0"/>
      <w:marRight w:val="0"/>
      <w:marTop w:val="0"/>
      <w:marBottom w:val="0"/>
      <w:divBdr>
        <w:top w:val="none" w:sz="0" w:space="0" w:color="auto"/>
        <w:left w:val="none" w:sz="0" w:space="0" w:color="auto"/>
        <w:bottom w:val="none" w:sz="0" w:space="0" w:color="auto"/>
        <w:right w:val="none" w:sz="0" w:space="0" w:color="auto"/>
      </w:divBdr>
    </w:div>
    <w:div w:id="584345209">
      <w:bodyDiv w:val="1"/>
      <w:marLeft w:val="0"/>
      <w:marRight w:val="0"/>
      <w:marTop w:val="0"/>
      <w:marBottom w:val="0"/>
      <w:divBdr>
        <w:top w:val="none" w:sz="0" w:space="0" w:color="auto"/>
        <w:left w:val="none" w:sz="0" w:space="0" w:color="auto"/>
        <w:bottom w:val="none" w:sz="0" w:space="0" w:color="auto"/>
        <w:right w:val="none" w:sz="0" w:space="0" w:color="auto"/>
      </w:divBdr>
      <w:divsChild>
        <w:div w:id="937637839">
          <w:marLeft w:val="0"/>
          <w:marRight w:val="0"/>
          <w:marTop w:val="0"/>
          <w:marBottom w:val="0"/>
          <w:divBdr>
            <w:top w:val="none" w:sz="0" w:space="0" w:color="auto"/>
            <w:left w:val="none" w:sz="0" w:space="0" w:color="auto"/>
            <w:bottom w:val="none" w:sz="0" w:space="0" w:color="auto"/>
            <w:right w:val="none" w:sz="0" w:space="0" w:color="auto"/>
          </w:divBdr>
        </w:div>
        <w:div w:id="2128548479">
          <w:marLeft w:val="0"/>
          <w:marRight w:val="0"/>
          <w:marTop w:val="0"/>
          <w:marBottom w:val="0"/>
          <w:divBdr>
            <w:top w:val="none" w:sz="0" w:space="0" w:color="auto"/>
            <w:left w:val="none" w:sz="0" w:space="0" w:color="auto"/>
            <w:bottom w:val="none" w:sz="0" w:space="0" w:color="auto"/>
            <w:right w:val="none" w:sz="0" w:space="0" w:color="auto"/>
          </w:divBdr>
        </w:div>
      </w:divsChild>
    </w:div>
    <w:div w:id="586312039">
      <w:bodyDiv w:val="1"/>
      <w:marLeft w:val="0"/>
      <w:marRight w:val="0"/>
      <w:marTop w:val="0"/>
      <w:marBottom w:val="0"/>
      <w:divBdr>
        <w:top w:val="none" w:sz="0" w:space="0" w:color="auto"/>
        <w:left w:val="none" w:sz="0" w:space="0" w:color="auto"/>
        <w:bottom w:val="none" w:sz="0" w:space="0" w:color="auto"/>
        <w:right w:val="none" w:sz="0" w:space="0" w:color="auto"/>
      </w:divBdr>
      <w:divsChild>
        <w:div w:id="176579422">
          <w:marLeft w:val="0"/>
          <w:marRight w:val="0"/>
          <w:marTop w:val="0"/>
          <w:marBottom w:val="0"/>
          <w:divBdr>
            <w:top w:val="none" w:sz="0" w:space="0" w:color="auto"/>
            <w:left w:val="none" w:sz="0" w:space="0" w:color="auto"/>
            <w:bottom w:val="none" w:sz="0" w:space="0" w:color="auto"/>
            <w:right w:val="none" w:sz="0" w:space="0" w:color="auto"/>
          </w:divBdr>
          <w:divsChild>
            <w:div w:id="1694069982">
              <w:marLeft w:val="-75"/>
              <w:marRight w:val="0"/>
              <w:marTop w:val="30"/>
              <w:marBottom w:val="30"/>
              <w:divBdr>
                <w:top w:val="none" w:sz="0" w:space="0" w:color="auto"/>
                <w:left w:val="none" w:sz="0" w:space="0" w:color="auto"/>
                <w:bottom w:val="none" w:sz="0" w:space="0" w:color="auto"/>
                <w:right w:val="none" w:sz="0" w:space="0" w:color="auto"/>
              </w:divBdr>
              <w:divsChild>
                <w:div w:id="74670111">
                  <w:marLeft w:val="0"/>
                  <w:marRight w:val="0"/>
                  <w:marTop w:val="0"/>
                  <w:marBottom w:val="0"/>
                  <w:divBdr>
                    <w:top w:val="none" w:sz="0" w:space="0" w:color="auto"/>
                    <w:left w:val="none" w:sz="0" w:space="0" w:color="auto"/>
                    <w:bottom w:val="none" w:sz="0" w:space="0" w:color="auto"/>
                    <w:right w:val="none" w:sz="0" w:space="0" w:color="auto"/>
                  </w:divBdr>
                  <w:divsChild>
                    <w:div w:id="88045740">
                      <w:marLeft w:val="0"/>
                      <w:marRight w:val="0"/>
                      <w:marTop w:val="0"/>
                      <w:marBottom w:val="0"/>
                      <w:divBdr>
                        <w:top w:val="none" w:sz="0" w:space="0" w:color="auto"/>
                        <w:left w:val="none" w:sz="0" w:space="0" w:color="auto"/>
                        <w:bottom w:val="none" w:sz="0" w:space="0" w:color="auto"/>
                        <w:right w:val="none" w:sz="0" w:space="0" w:color="auto"/>
                      </w:divBdr>
                    </w:div>
                  </w:divsChild>
                </w:div>
                <w:div w:id="102385147">
                  <w:marLeft w:val="0"/>
                  <w:marRight w:val="0"/>
                  <w:marTop w:val="0"/>
                  <w:marBottom w:val="0"/>
                  <w:divBdr>
                    <w:top w:val="none" w:sz="0" w:space="0" w:color="auto"/>
                    <w:left w:val="none" w:sz="0" w:space="0" w:color="auto"/>
                    <w:bottom w:val="none" w:sz="0" w:space="0" w:color="auto"/>
                    <w:right w:val="none" w:sz="0" w:space="0" w:color="auto"/>
                  </w:divBdr>
                  <w:divsChild>
                    <w:div w:id="1113283560">
                      <w:marLeft w:val="0"/>
                      <w:marRight w:val="0"/>
                      <w:marTop w:val="0"/>
                      <w:marBottom w:val="0"/>
                      <w:divBdr>
                        <w:top w:val="none" w:sz="0" w:space="0" w:color="auto"/>
                        <w:left w:val="none" w:sz="0" w:space="0" w:color="auto"/>
                        <w:bottom w:val="none" w:sz="0" w:space="0" w:color="auto"/>
                        <w:right w:val="none" w:sz="0" w:space="0" w:color="auto"/>
                      </w:divBdr>
                    </w:div>
                  </w:divsChild>
                </w:div>
                <w:div w:id="251206264">
                  <w:marLeft w:val="0"/>
                  <w:marRight w:val="0"/>
                  <w:marTop w:val="0"/>
                  <w:marBottom w:val="0"/>
                  <w:divBdr>
                    <w:top w:val="none" w:sz="0" w:space="0" w:color="auto"/>
                    <w:left w:val="none" w:sz="0" w:space="0" w:color="auto"/>
                    <w:bottom w:val="none" w:sz="0" w:space="0" w:color="auto"/>
                    <w:right w:val="none" w:sz="0" w:space="0" w:color="auto"/>
                  </w:divBdr>
                  <w:divsChild>
                    <w:div w:id="1217812283">
                      <w:marLeft w:val="0"/>
                      <w:marRight w:val="0"/>
                      <w:marTop w:val="0"/>
                      <w:marBottom w:val="0"/>
                      <w:divBdr>
                        <w:top w:val="none" w:sz="0" w:space="0" w:color="auto"/>
                        <w:left w:val="none" w:sz="0" w:space="0" w:color="auto"/>
                        <w:bottom w:val="none" w:sz="0" w:space="0" w:color="auto"/>
                        <w:right w:val="none" w:sz="0" w:space="0" w:color="auto"/>
                      </w:divBdr>
                    </w:div>
                  </w:divsChild>
                </w:div>
                <w:div w:id="329719414">
                  <w:marLeft w:val="0"/>
                  <w:marRight w:val="0"/>
                  <w:marTop w:val="0"/>
                  <w:marBottom w:val="0"/>
                  <w:divBdr>
                    <w:top w:val="none" w:sz="0" w:space="0" w:color="auto"/>
                    <w:left w:val="none" w:sz="0" w:space="0" w:color="auto"/>
                    <w:bottom w:val="none" w:sz="0" w:space="0" w:color="auto"/>
                    <w:right w:val="none" w:sz="0" w:space="0" w:color="auto"/>
                  </w:divBdr>
                  <w:divsChild>
                    <w:div w:id="1232083777">
                      <w:marLeft w:val="0"/>
                      <w:marRight w:val="0"/>
                      <w:marTop w:val="0"/>
                      <w:marBottom w:val="0"/>
                      <w:divBdr>
                        <w:top w:val="none" w:sz="0" w:space="0" w:color="auto"/>
                        <w:left w:val="none" w:sz="0" w:space="0" w:color="auto"/>
                        <w:bottom w:val="none" w:sz="0" w:space="0" w:color="auto"/>
                        <w:right w:val="none" w:sz="0" w:space="0" w:color="auto"/>
                      </w:divBdr>
                    </w:div>
                  </w:divsChild>
                </w:div>
                <w:div w:id="376321090">
                  <w:marLeft w:val="0"/>
                  <w:marRight w:val="0"/>
                  <w:marTop w:val="0"/>
                  <w:marBottom w:val="0"/>
                  <w:divBdr>
                    <w:top w:val="none" w:sz="0" w:space="0" w:color="auto"/>
                    <w:left w:val="none" w:sz="0" w:space="0" w:color="auto"/>
                    <w:bottom w:val="none" w:sz="0" w:space="0" w:color="auto"/>
                    <w:right w:val="none" w:sz="0" w:space="0" w:color="auto"/>
                  </w:divBdr>
                  <w:divsChild>
                    <w:div w:id="1667397324">
                      <w:marLeft w:val="0"/>
                      <w:marRight w:val="0"/>
                      <w:marTop w:val="0"/>
                      <w:marBottom w:val="0"/>
                      <w:divBdr>
                        <w:top w:val="none" w:sz="0" w:space="0" w:color="auto"/>
                        <w:left w:val="none" w:sz="0" w:space="0" w:color="auto"/>
                        <w:bottom w:val="none" w:sz="0" w:space="0" w:color="auto"/>
                        <w:right w:val="none" w:sz="0" w:space="0" w:color="auto"/>
                      </w:divBdr>
                    </w:div>
                  </w:divsChild>
                </w:div>
                <w:div w:id="403919559">
                  <w:marLeft w:val="0"/>
                  <w:marRight w:val="0"/>
                  <w:marTop w:val="0"/>
                  <w:marBottom w:val="0"/>
                  <w:divBdr>
                    <w:top w:val="none" w:sz="0" w:space="0" w:color="auto"/>
                    <w:left w:val="none" w:sz="0" w:space="0" w:color="auto"/>
                    <w:bottom w:val="none" w:sz="0" w:space="0" w:color="auto"/>
                    <w:right w:val="none" w:sz="0" w:space="0" w:color="auto"/>
                  </w:divBdr>
                  <w:divsChild>
                    <w:div w:id="172453709">
                      <w:marLeft w:val="0"/>
                      <w:marRight w:val="0"/>
                      <w:marTop w:val="0"/>
                      <w:marBottom w:val="0"/>
                      <w:divBdr>
                        <w:top w:val="none" w:sz="0" w:space="0" w:color="auto"/>
                        <w:left w:val="none" w:sz="0" w:space="0" w:color="auto"/>
                        <w:bottom w:val="none" w:sz="0" w:space="0" w:color="auto"/>
                        <w:right w:val="none" w:sz="0" w:space="0" w:color="auto"/>
                      </w:divBdr>
                    </w:div>
                  </w:divsChild>
                </w:div>
                <w:div w:id="431780790">
                  <w:marLeft w:val="0"/>
                  <w:marRight w:val="0"/>
                  <w:marTop w:val="0"/>
                  <w:marBottom w:val="0"/>
                  <w:divBdr>
                    <w:top w:val="none" w:sz="0" w:space="0" w:color="auto"/>
                    <w:left w:val="none" w:sz="0" w:space="0" w:color="auto"/>
                    <w:bottom w:val="none" w:sz="0" w:space="0" w:color="auto"/>
                    <w:right w:val="none" w:sz="0" w:space="0" w:color="auto"/>
                  </w:divBdr>
                  <w:divsChild>
                    <w:div w:id="24910136">
                      <w:marLeft w:val="0"/>
                      <w:marRight w:val="0"/>
                      <w:marTop w:val="0"/>
                      <w:marBottom w:val="0"/>
                      <w:divBdr>
                        <w:top w:val="none" w:sz="0" w:space="0" w:color="auto"/>
                        <w:left w:val="none" w:sz="0" w:space="0" w:color="auto"/>
                        <w:bottom w:val="none" w:sz="0" w:space="0" w:color="auto"/>
                        <w:right w:val="none" w:sz="0" w:space="0" w:color="auto"/>
                      </w:divBdr>
                    </w:div>
                  </w:divsChild>
                </w:div>
                <w:div w:id="525947716">
                  <w:marLeft w:val="0"/>
                  <w:marRight w:val="0"/>
                  <w:marTop w:val="0"/>
                  <w:marBottom w:val="0"/>
                  <w:divBdr>
                    <w:top w:val="none" w:sz="0" w:space="0" w:color="auto"/>
                    <w:left w:val="none" w:sz="0" w:space="0" w:color="auto"/>
                    <w:bottom w:val="none" w:sz="0" w:space="0" w:color="auto"/>
                    <w:right w:val="none" w:sz="0" w:space="0" w:color="auto"/>
                  </w:divBdr>
                  <w:divsChild>
                    <w:div w:id="1733308694">
                      <w:marLeft w:val="0"/>
                      <w:marRight w:val="0"/>
                      <w:marTop w:val="0"/>
                      <w:marBottom w:val="0"/>
                      <w:divBdr>
                        <w:top w:val="none" w:sz="0" w:space="0" w:color="auto"/>
                        <w:left w:val="none" w:sz="0" w:space="0" w:color="auto"/>
                        <w:bottom w:val="none" w:sz="0" w:space="0" w:color="auto"/>
                        <w:right w:val="none" w:sz="0" w:space="0" w:color="auto"/>
                      </w:divBdr>
                    </w:div>
                  </w:divsChild>
                </w:div>
                <w:div w:id="538973420">
                  <w:marLeft w:val="0"/>
                  <w:marRight w:val="0"/>
                  <w:marTop w:val="0"/>
                  <w:marBottom w:val="0"/>
                  <w:divBdr>
                    <w:top w:val="none" w:sz="0" w:space="0" w:color="auto"/>
                    <w:left w:val="none" w:sz="0" w:space="0" w:color="auto"/>
                    <w:bottom w:val="none" w:sz="0" w:space="0" w:color="auto"/>
                    <w:right w:val="none" w:sz="0" w:space="0" w:color="auto"/>
                  </w:divBdr>
                  <w:divsChild>
                    <w:div w:id="445276281">
                      <w:marLeft w:val="0"/>
                      <w:marRight w:val="0"/>
                      <w:marTop w:val="0"/>
                      <w:marBottom w:val="0"/>
                      <w:divBdr>
                        <w:top w:val="none" w:sz="0" w:space="0" w:color="auto"/>
                        <w:left w:val="none" w:sz="0" w:space="0" w:color="auto"/>
                        <w:bottom w:val="none" w:sz="0" w:space="0" w:color="auto"/>
                        <w:right w:val="none" w:sz="0" w:space="0" w:color="auto"/>
                      </w:divBdr>
                    </w:div>
                  </w:divsChild>
                </w:div>
                <w:div w:id="561253760">
                  <w:marLeft w:val="0"/>
                  <w:marRight w:val="0"/>
                  <w:marTop w:val="0"/>
                  <w:marBottom w:val="0"/>
                  <w:divBdr>
                    <w:top w:val="none" w:sz="0" w:space="0" w:color="auto"/>
                    <w:left w:val="none" w:sz="0" w:space="0" w:color="auto"/>
                    <w:bottom w:val="none" w:sz="0" w:space="0" w:color="auto"/>
                    <w:right w:val="none" w:sz="0" w:space="0" w:color="auto"/>
                  </w:divBdr>
                  <w:divsChild>
                    <w:div w:id="640620373">
                      <w:marLeft w:val="0"/>
                      <w:marRight w:val="0"/>
                      <w:marTop w:val="0"/>
                      <w:marBottom w:val="0"/>
                      <w:divBdr>
                        <w:top w:val="none" w:sz="0" w:space="0" w:color="auto"/>
                        <w:left w:val="none" w:sz="0" w:space="0" w:color="auto"/>
                        <w:bottom w:val="none" w:sz="0" w:space="0" w:color="auto"/>
                        <w:right w:val="none" w:sz="0" w:space="0" w:color="auto"/>
                      </w:divBdr>
                    </w:div>
                  </w:divsChild>
                </w:div>
                <w:div w:id="598829623">
                  <w:marLeft w:val="0"/>
                  <w:marRight w:val="0"/>
                  <w:marTop w:val="0"/>
                  <w:marBottom w:val="0"/>
                  <w:divBdr>
                    <w:top w:val="none" w:sz="0" w:space="0" w:color="auto"/>
                    <w:left w:val="none" w:sz="0" w:space="0" w:color="auto"/>
                    <w:bottom w:val="none" w:sz="0" w:space="0" w:color="auto"/>
                    <w:right w:val="none" w:sz="0" w:space="0" w:color="auto"/>
                  </w:divBdr>
                  <w:divsChild>
                    <w:div w:id="2026321277">
                      <w:marLeft w:val="0"/>
                      <w:marRight w:val="0"/>
                      <w:marTop w:val="0"/>
                      <w:marBottom w:val="0"/>
                      <w:divBdr>
                        <w:top w:val="none" w:sz="0" w:space="0" w:color="auto"/>
                        <w:left w:val="none" w:sz="0" w:space="0" w:color="auto"/>
                        <w:bottom w:val="none" w:sz="0" w:space="0" w:color="auto"/>
                        <w:right w:val="none" w:sz="0" w:space="0" w:color="auto"/>
                      </w:divBdr>
                    </w:div>
                  </w:divsChild>
                </w:div>
                <w:div w:id="620574816">
                  <w:marLeft w:val="0"/>
                  <w:marRight w:val="0"/>
                  <w:marTop w:val="0"/>
                  <w:marBottom w:val="0"/>
                  <w:divBdr>
                    <w:top w:val="none" w:sz="0" w:space="0" w:color="auto"/>
                    <w:left w:val="none" w:sz="0" w:space="0" w:color="auto"/>
                    <w:bottom w:val="none" w:sz="0" w:space="0" w:color="auto"/>
                    <w:right w:val="none" w:sz="0" w:space="0" w:color="auto"/>
                  </w:divBdr>
                  <w:divsChild>
                    <w:div w:id="275870385">
                      <w:marLeft w:val="0"/>
                      <w:marRight w:val="0"/>
                      <w:marTop w:val="0"/>
                      <w:marBottom w:val="0"/>
                      <w:divBdr>
                        <w:top w:val="none" w:sz="0" w:space="0" w:color="auto"/>
                        <w:left w:val="none" w:sz="0" w:space="0" w:color="auto"/>
                        <w:bottom w:val="none" w:sz="0" w:space="0" w:color="auto"/>
                        <w:right w:val="none" w:sz="0" w:space="0" w:color="auto"/>
                      </w:divBdr>
                    </w:div>
                  </w:divsChild>
                </w:div>
                <w:div w:id="651562170">
                  <w:marLeft w:val="0"/>
                  <w:marRight w:val="0"/>
                  <w:marTop w:val="0"/>
                  <w:marBottom w:val="0"/>
                  <w:divBdr>
                    <w:top w:val="none" w:sz="0" w:space="0" w:color="auto"/>
                    <w:left w:val="none" w:sz="0" w:space="0" w:color="auto"/>
                    <w:bottom w:val="none" w:sz="0" w:space="0" w:color="auto"/>
                    <w:right w:val="none" w:sz="0" w:space="0" w:color="auto"/>
                  </w:divBdr>
                  <w:divsChild>
                    <w:div w:id="1186137903">
                      <w:marLeft w:val="0"/>
                      <w:marRight w:val="0"/>
                      <w:marTop w:val="0"/>
                      <w:marBottom w:val="0"/>
                      <w:divBdr>
                        <w:top w:val="none" w:sz="0" w:space="0" w:color="auto"/>
                        <w:left w:val="none" w:sz="0" w:space="0" w:color="auto"/>
                        <w:bottom w:val="none" w:sz="0" w:space="0" w:color="auto"/>
                        <w:right w:val="none" w:sz="0" w:space="0" w:color="auto"/>
                      </w:divBdr>
                    </w:div>
                  </w:divsChild>
                </w:div>
                <w:div w:id="668020378">
                  <w:marLeft w:val="0"/>
                  <w:marRight w:val="0"/>
                  <w:marTop w:val="0"/>
                  <w:marBottom w:val="0"/>
                  <w:divBdr>
                    <w:top w:val="none" w:sz="0" w:space="0" w:color="auto"/>
                    <w:left w:val="none" w:sz="0" w:space="0" w:color="auto"/>
                    <w:bottom w:val="none" w:sz="0" w:space="0" w:color="auto"/>
                    <w:right w:val="none" w:sz="0" w:space="0" w:color="auto"/>
                  </w:divBdr>
                  <w:divsChild>
                    <w:div w:id="1181359287">
                      <w:marLeft w:val="0"/>
                      <w:marRight w:val="0"/>
                      <w:marTop w:val="0"/>
                      <w:marBottom w:val="0"/>
                      <w:divBdr>
                        <w:top w:val="none" w:sz="0" w:space="0" w:color="auto"/>
                        <w:left w:val="none" w:sz="0" w:space="0" w:color="auto"/>
                        <w:bottom w:val="none" w:sz="0" w:space="0" w:color="auto"/>
                        <w:right w:val="none" w:sz="0" w:space="0" w:color="auto"/>
                      </w:divBdr>
                    </w:div>
                  </w:divsChild>
                </w:div>
                <w:div w:id="699400904">
                  <w:marLeft w:val="0"/>
                  <w:marRight w:val="0"/>
                  <w:marTop w:val="0"/>
                  <w:marBottom w:val="0"/>
                  <w:divBdr>
                    <w:top w:val="none" w:sz="0" w:space="0" w:color="auto"/>
                    <w:left w:val="none" w:sz="0" w:space="0" w:color="auto"/>
                    <w:bottom w:val="none" w:sz="0" w:space="0" w:color="auto"/>
                    <w:right w:val="none" w:sz="0" w:space="0" w:color="auto"/>
                  </w:divBdr>
                  <w:divsChild>
                    <w:div w:id="1076131496">
                      <w:marLeft w:val="0"/>
                      <w:marRight w:val="0"/>
                      <w:marTop w:val="0"/>
                      <w:marBottom w:val="0"/>
                      <w:divBdr>
                        <w:top w:val="none" w:sz="0" w:space="0" w:color="auto"/>
                        <w:left w:val="none" w:sz="0" w:space="0" w:color="auto"/>
                        <w:bottom w:val="none" w:sz="0" w:space="0" w:color="auto"/>
                        <w:right w:val="none" w:sz="0" w:space="0" w:color="auto"/>
                      </w:divBdr>
                    </w:div>
                  </w:divsChild>
                </w:div>
                <w:div w:id="730079636">
                  <w:marLeft w:val="0"/>
                  <w:marRight w:val="0"/>
                  <w:marTop w:val="0"/>
                  <w:marBottom w:val="0"/>
                  <w:divBdr>
                    <w:top w:val="none" w:sz="0" w:space="0" w:color="auto"/>
                    <w:left w:val="none" w:sz="0" w:space="0" w:color="auto"/>
                    <w:bottom w:val="none" w:sz="0" w:space="0" w:color="auto"/>
                    <w:right w:val="none" w:sz="0" w:space="0" w:color="auto"/>
                  </w:divBdr>
                  <w:divsChild>
                    <w:div w:id="1308903283">
                      <w:marLeft w:val="0"/>
                      <w:marRight w:val="0"/>
                      <w:marTop w:val="0"/>
                      <w:marBottom w:val="0"/>
                      <w:divBdr>
                        <w:top w:val="none" w:sz="0" w:space="0" w:color="auto"/>
                        <w:left w:val="none" w:sz="0" w:space="0" w:color="auto"/>
                        <w:bottom w:val="none" w:sz="0" w:space="0" w:color="auto"/>
                        <w:right w:val="none" w:sz="0" w:space="0" w:color="auto"/>
                      </w:divBdr>
                    </w:div>
                  </w:divsChild>
                </w:div>
                <w:div w:id="786781649">
                  <w:marLeft w:val="0"/>
                  <w:marRight w:val="0"/>
                  <w:marTop w:val="0"/>
                  <w:marBottom w:val="0"/>
                  <w:divBdr>
                    <w:top w:val="none" w:sz="0" w:space="0" w:color="auto"/>
                    <w:left w:val="none" w:sz="0" w:space="0" w:color="auto"/>
                    <w:bottom w:val="none" w:sz="0" w:space="0" w:color="auto"/>
                    <w:right w:val="none" w:sz="0" w:space="0" w:color="auto"/>
                  </w:divBdr>
                  <w:divsChild>
                    <w:div w:id="643237826">
                      <w:marLeft w:val="0"/>
                      <w:marRight w:val="0"/>
                      <w:marTop w:val="0"/>
                      <w:marBottom w:val="0"/>
                      <w:divBdr>
                        <w:top w:val="none" w:sz="0" w:space="0" w:color="auto"/>
                        <w:left w:val="none" w:sz="0" w:space="0" w:color="auto"/>
                        <w:bottom w:val="none" w:sz="0" w:space="0" w:color="auto"/>
                        <w:right w:val="none" w:sz="0" w:space="0" w:color="auto"/>
                      </w:divBdr>
                    </w:div>
                  </w:divsChild>
                </w:div>
                <w:div w:id="897595222">
                  <w:marLeft w:val="0"/>
                  <w:marRight w:val="0"/>
                  <w:marTop w:val="0"/>
                  <w:marBottom w:val="0"/>
                  <w:divBdr>
                    <w:top w:val="none" w:sz="0" w:space="0" w:color="auto"/>
                    <w:left w:val="none" w:sz="0" w:space="0" w:color="auto"/>
                    <w:bottom w:val="none" w:sz="0" w:space="0" w:color="auto"/>
                    <w:right w:val="none" w:sz="0" w:space="0" w:color="auto"/>
                  </w:divBdr>
                  <w:divsChild>
                    <w:div w:id="19430387">
                      <w:marLeft w:val="0"/>
                      <w:marRight w:val="0"/>
                      <w:marTop w:val="0"/>
                      <w:marBottom w:val="0"/>
                      <w:divBdr>
                        <w:top w:val="none" w:sz="0" w:space="0" w:color="auto"/>
                        <w:left w:val="none" w:sz="0" w:space="0" w:color="auto"/>
                        <w:bottom w:val="none" w:sz="0" w:space="0" w:color="auto"/>
                        <w:right w:val="none" w:sz="0" w:space="0" w:color="auto"/>
                      </w:divBdr>
                    </w:div>
                  </w:divsChild>
                </w:div>
                <w:div w:id="1151992115">
                  <w:marLeft w:val="0"/>
                  <w:marRight w:val="0"/>
                  <w:marTop w:val="0"/>
                  <w:marBottom w:val="0"/>
                  <w:divBdr>
                    <w:top w:val="none" w:sz="0" w:space="0" w:color="auto"/>
                    <w:left w:val="none" w:sz="0" w:space="0" w:color="auto"/>
                    <w:bottom w:val="none" w:sz="0" w:space="0" w:color="auto"/>
                    <w:right w:val="none" w:sz="0" w:space="0" w:color="auto"/>
                  </w:divBdr>
                  <w:divsChild>
                    <w:div w:id="1922788321">
                      <w:marLeft w:val="0"/>
                      <w:marRight w:val="0"/>
                      <w:marTop w:val="0"/>
                      <w:marBottom w:val="0"/>
                      <w:divBdr>
                        <w:top w:val="none" w:sz="0" w:space="0" w:color="auto"/>
                        <w:left w:val="none" w:sz="0" w:space="0" w:color="auto"/>
                        <w:bottom w:val="none" w:sz="0" w:space="0" w:color="auto"/>
                        <w:right w:val="none" w:sz="0" w:space="0" w:color="auto"/>
                      </w:divBdr>
                    </w:div>
                  </w:divsChild>
                </w:div>
                <w:div w:id="1292321796">
                  <w:marLeft w:val="0"/>
                  <w:marRight w:val="0"/>
                  <w:marTop w:val="0"/>
                  <w:marBottom w:val="0"/>
                  <w:divBdr>
                    <w:top w:val="none" w:sz="0" w:space="0" w:color="auto"/>
                    <w:left w:val="none" w:sz="0" w:space="0" w:color="auto"/>
                    <w:bottom w:val="none" w:sz="0" w:space="0" w:color="auto"/>
                    <w:right w:val="none" w:sz="0" w:space="0" w:color="auto"/>
                  </w:divBdr>
                  <w:divsChild>
                    <w:div w:id="1209687956">
                      <w:marLeft w:val="0"/>
                      <w:marRight w:val="0"/>
                      <w:marTop w:val="0"/>
                      <w:marBottom w:val="0"/>
                      <w:divBdr>
                        <w:top w:val="none" w:sz="0" w:space="0" w:color="auto"/>
                        <w:left w:val="none" w:sz="0" w:space="0" w:color="auto"/>
                        <w:bottom w:val="none" w:sz="0" w:space="0" w:color="auto"/>
                        <w:right w:val="none" w:sz="0" w:space="0" w:color="auto"/>
                      </w:divBdr>
                    </w:div>
                  </w:divsChild>
                </w:div>
                <w:div w:id="1480150362">
                  <w:marLeft w:val="0"/>
                  <w:marRight w:val="0"/>
                  <w:marTop w:val="0"/>
                  <w:marBottom w:val="0"/>
                  <w:divBdr>
                    <w:top w:val="none" w:sz="0" w:space="0" w:color="auto"/>
                    <w:left w:val="none" w:sz="0" w:space="0" w:color="auto"/>
                    <w:bottom w:val="none" w:sz="0" w:space="0" w:color="auto"/>
                    <w:right w:val="none" w:sz="0" w:space="0" w:color="auto"/>
                  </w:divBdr>
                  <w:divsChild>
                    <w:div w:id="1475296162">
                      <w:marLeft w:val="0"/>
                      <w:marRight w:val="0"/>
                      <w:marTop w:val="0"/>
                      <w:marBottom w:val="0"/>
                      <w:divBdr>
                        <w:top w:val="none" w:sz="0" w:space="0" w:color="auto"/>
                        <w:left w:val="none" w:sz="0" w:space="0" w:color="auto"/>
                        <w:bottom w:val="none" w:sz="0" w:space="0" w:color="auto"/>
                        <w:right w:val="none" w:sz="0" w:space="0" w:color="auto"/>
                      </w:divBdr>
                    </w:div>
                  </w:divsChild>
                </w:div>
                <w:div w:id="1546327963">
                  <w:marLeft w:val="0"/>
                  <w:marRight w:val="0"/>
                  <w:marTop w:val="0"/>
                  <w:marBottom w:val="0"/>
                  <w:divBdr>
                    <w:top w:val="none" w:sz="0" w:space="0" w:color="auto"/>
                    <w:left w:val="none" w:sz="0" w:space="0" w:color="auto"/>
                    <w:bottom w:val="none" w:sz="0" w:space="0" w:color="auto"/>
                    <w:right w:val="none" w:sz="0" w:space="0" w:color="auto"/>
                  </w:divBdr>
                  <w:divsChild>
                    <w:div w:id="699743539">
                      <w:marLeft w:val="0"/>
                      <w:marRight w:val="0"/>
                      <w:marTop w:val="0"/>
                      <w:marBottom w:val="0"/>
                      <w:divBdr>
                        <w:top w:val="none" w:sz="0" w:space="0" w:color="auto"/>
                        <w:left w:val="none" w:sz="0" w:space="0" w:color="auto"/>
                        <w:bottom w:val="none" w:sz="0" w:space="0" w:color="auto"/>
                        <w:right w:val="none" w:sz="0" w:space="0" w:color="auto"/>
                      </w:divBdr>
                    </w:div>
                  </w:divsChild>
                </w:div>
                <w:div w:id="1556695350">
                  <w:marLeft w:val="0"/>
                  <w:marRight w:val="0"/>
                  <w:marTop w:val="0"/>
                  <w:marBottom w:val="0"/>
                  <w:divBdr>
                    <w:top w:val="none" w:sz="0" w:space="0" w:color="auto"/>
                    <w:left w:val="none" w:sz="0" w:space="0" w:color="auto"/>
                    <w:bottom w:val="none" w:sz="0" w:space="0" w:color="auto"/>
                    <w:right w:val="none" w:sz="0" w:space="0" w:color="auto"/>
                  </w:divBdr>
                  <w:divsChild>
                    <w:div w:id="1567031305">
                      <w:marLeft w:val="0"/>
                      <w:marRight w:val="0"/>
                      <w:marTop w:val="0"/>
                      <w:marBottom w:val="0"/>
                      <w:divBdr>
                        <w:top w:val="none" w:sz="0" w:space="0" w:color="auto"/>
                        <w:left w:val="none" w:sz="0" w:space="0" w:color="auto"/>
                        <w:bottom w:val="none" w:sz="0" w:space="0" w:color="auto"/>
                        <w:right w:val="none" w:sz="0" w:space="0" w:color="auto"/>
                      </w:divBdr>
                    </w:div>
                  </w:divsChild>
                </w:div>
                <w:div w:id="1575427876">
                  <w:marLeft w:val="0"/>
                  <w:marRight w:val="0"/>
                  <w:marTop w:val="0"/>
                  <w:marBottom w:val="0"/>
                  <w:divBdr>
                    <w:top w:val="none" w:sz="0" w:space="0" w:color="auto"/>
                    <w:left w:val="none" w:sz="0" w:space="0" w:color="auto"/>
                    <w:bottom w:val="none" w:sz="0" w:space="0" w:color="auto"/>
                    <w:right w:val="none" w:sz="0" w:space="0" w:color="auto"/>
                  </w:divBdr>
                  <w:divsChild>
                    <w:div w:id="2095856383">
                      <w:marLeft w:val="0"/>
                      <w:marRight w:val="0"/>
                      <w:marTop w:val="0"/>
                      <w:marBottom w:val="0"/>
                      <w:divBdr>
                        <w:top w:val="none" w:sz="0" w:space="0" w:color="auto"/>
                        <w:left w:val="none" w:sz="0" w:space="0" w:color="auto"/>
                        <w:bottom w:val="none" w:sz="0" w:space="0" w:color="auto"/>
                        <w:right w:val="none" w:sz="0" w:space="0" w:color="auto"/>
                      </w:divBdr>
                    </w:div>
                  </w:divsChild>
                </w:div>
                <w:div w:id="1593124934">
                  <w:marLeft w:val="0"/>
                  <w:marRight w:val="0"/>
                  <w:marTop w:val="0"/>
                  <w:marBottom w:val="0"/>
                  <w:divBdr>
                    <w:top w:val="none" w:sz="0" w:space="0" w:color="auto"/>
                    <w:left w:val="none" w:sz="0" w:space="0" w:color="auto"/>
                    <w:bottom w:val="none" w:sz="0" w:space="0" w:color="auto"/>
                    <w:right w:val="none" w:sz="0" w:space="0" w:color="auto"/>
                  </w:divBdr>
                  <w:divsChild>
                    <w:div w:id="864903791">
                      <w:marLeft w:val="0"/>
                      <w:marRight w:val="0"/>
                      <w:marTop w:val="0"/>
                      <w:marBottom w:val="0"/>
                      <w:divBdr>
                        <w:top w:val="none" w:sz="0" w:space="0" w:color="auto"/>
                        <w:left w:val="none" w:sz="0" w:space="0" w:color="auto"/>
                        <w:bottom w:val="none" w:sz="0" w:space="0" w:color="auto"/>
                        <w:right w:val="none" w:sz="0" w:space="0" w:color="auto"/>
                      </w:divBdr>
                    </w:div>
                  </w:divsChild>
                </w:div>
                <w:div w:id="1599680787">
                  <w:marLeft w:val="0"/>
                  <w:marRight w:val="0"/>
                  <w:marTop w:val="0"/>
                  <w:marBottom w:val="0"/>
                  <w:divBdr>
                    <w:top w:val="none" w:sz="0" w:space="0" w:color="auto"/>
                    <w:left w:val="none" w:sz="0" w:space="0" w:color="auto"/>
                    <w:bottom w:val="none" w:sz="0" w:space="0" w:color="auto"/>
                    <w:right w:val="none" w:sz="0" w:space="0" w:color="auto"/>
                  </w:divBdr>
                  <w:divsChild>
                    <w:div w:id="540020229">
                      <w:marLeft w:val="0"/>
                      <w:marRight w:val="0"/>
                      <w:marTop w:val="0"/>
                      <w:marBottom w:val="0"/>
                      <w:divBdr>
                        <w:top w:val="none" w:sz="0" w:space="0" w:color="auto"/>
                        <w:left w:val="none" w:sz="0" w:space="0" w:color="auto"/>
                        <w:bottom w:val="none" w:sz="0" w:space="0" w:color="auto"/>
                        <w:right w:val="none" w:sz="0" w:space="0" w:color="auto"/>
                      </w:divBdr>
                    </w:div>
                  </w:divsChild>
                </w:div>
                <w:div w:id="1670794963">
                  <w:marLeft w:val="0"/>
                  <w:marRight w:val="0"/>
                  <w:marTop w:val="0"/>
                  <w:marBottom w:val="0"/>
                  <w:divBdr>
                    <w:top w:val="none" w:sz="0" w:space="0" w:color="auto"/>
                    <w:left w:val="none" w:sz="0" w:space="0" w:color="auto"/>
                    <w:bottom w:val="none" w:sz="0" w:space="0" w:color="auto"/>
                    <w:right w:val="none" w:sz="0" w:space="0" w:color="auto"/>
                  </w:divBdr>
                  <w:divsChild>
                    <w:div w:id="832794414">
                      <w:marLeft w:val="0"/>
                      <w:marRight w:val="0"/>
                      <w:marTop w:val="0"/>
                      <w:marBottom w:val="0"/>
                      <w:divBdr>
                        <w:top w:val="none" w:sz="0" w:space="0" w:color="auto"/>
                        <w:left w:val="none" w:sz="0" w:space="0" w:color="auto"/>
                        <w:bottom w:val="none" w:sz="0" w:space="0" w:color="auto"/>
                        <w:right w:val="none" w:sz="0" w:space="0" w:color="auto"/>
                      </w:divBdr>
                    </w:div>
                  </w:divsChild>
                </w:div>
                <w:div w:id="1678194823">
                  <w:marLeft w:val="0"/>
                  <w:marRight w:val="0"/>
                  <w:marTop w:val="0"/>
                  <w:marBottom w:val="0"/>
                  <w:divBdr>
                    <w:top w:val="none" w:sz="0" w:space="0" w:color="auto"/>
                    <w:left w:val="none" w:sz="0" w:space="0" w:color="auto"/>
                    <w:bottom w:val="none" w:sz="0" w:space="0" w:color="auto"/>
                    <w:right w:val="none" w:sz="0" w:space="0" w:color="auto"/>
                  </w:divBdr>
                  <w:divsChild>
                    <w:div w:id="1713849048">
                      <w:marLeft w:val="0"/>
                      <w:marRight w:val="0"/>
                      <w:marTop w:val="0"/>
                      <w:marBottom w:val="0"/>
                      <w:divBdr>
                        <w:top w:val="none" w:sz="0" w:space="0" w:color="auto"/>
                        <w:left w:val="none" w:sz="0" w:space="0" w:color="auto"/>
                        <w:bottom w:val="none" w:sz="0" w:space="0" w:color="auto"/>
                        <w:right w:val="none" w:sz="0" w:space="0" w:color="auto"/>
                      </w:divBdr>
                    </w:div>
                  </w:divsChild>
                </w:div>
                <w:div w:id="1678732286">
                  <w:marLeft w:val="0"/>
                  <w:marRight w:val="0"/>
                  <w:marTop w:val="0"/>
                  <w:marBottom w:val="0"/>
                  <w:divBdr>
                    <w:top w:val="none" w:sz="0" w:space="0" w:color="auto"/>
                    <w:left w:val="none" w:sz="0" w:space="0" w:color="auto"/>
                    <w:bottom w:val="none" w:sz="0" w:space="0" w:color="auto"/>
                    <w:right w:val="none" w:sz="0" w:space="0" w:color="auto"/>
                  </w:divBdr>
                  <w:divsChild>
                    <w:div w:id="1195652643">
                      <w:marLeft w:val="0"/>
                      <w:marRight w:val="0"/>
                      <w:marTop w:val="0"/>
                      <w:marBottom w:val="0"/>
                      <w:divBdr>
                        <w:top w:val="none" w:sz="0" w:space="0" w:color="auto"/>
                        <w:left w:val="none" w:sz="0" w:space="0" w:color="auto"/>
                        <w:bottom w:val="none" w:sz="0" w:space="0" w:color="auto"/>
                        <w:right w:val="none" w:sz="0" w:space="0" w:color="auto"/>
                      </w:divBdr>
                    </w:div>
                  </w:divsChild>
                </w:div>
                <w:div w:id="1877110901">
                  <w:marLeft w:val="0"/>
                  <w:marRight w:val="0"/>
                  <w:marTop w:val="0"/>
                  <w:marBottom w:val="0"/>
                  <w:divBdr>
                    <w:top w:val="none" w:sz="0" w:space="0" w:color="auto"/>
                    <w:left w:val="none" w:sz="0" w:space="0" w:color="auto"/>
                    <w:bottom w:val="none" w:sz="0" w:space="0" w:color="auto"/>
                    <w:right w:val="none" w:sz="0" w:space="0" w:color="auto"/>
                  </w:divBdr>
                  <w:divsChild>
                    <w:div w:id="2138378254">
                      <w:marLeft w:val="0"/>
                      <w:marRight w:val="0"/>
                      <w:marTop w:val="0"/>
                      <w:marBottom w:val="0"/>
                      <w:divBdr>
                        <w:top w:val="none" w:sz="0" w:space="0" w:color="auto"/>
                        <w:left w:val="none" w:sz="0" w:space="0" w:color="auto"/>
                        <w:bottom w:val="none" w:sz="0" w:space="0" w:color="auto"/>
                        <w:right w:val="none" w:sz="0" w:space="0" w:color="auto"/>
                      </w:divBdr>
                    </w:div>
                  </w:divsChild>
                </w:div>
                <w:div w:id="1901016062">
                  <w:marLeft w:val="0"/>
                  <w:marRight w:val="0"/>
                  <w:marTop w:val="0"/>
                  <w:marBottom w:val="0"/>
                  <w:divBdr>
                    <w:top w:val="none" w:sz="0" w:space="0" w:color="auto"/>
                    <w:left w:val="none" w:sz="0" w:space="0" w:color="auto"/>
                    <w:bottom w:val="none" w:sz="0" w:space="0" w:color="auto"/>
                    <w:right w:val="none" w:sz="0" w:space="0" w:color="auto"/>
                  </w:divBdr>
                  <w:divsChild>
                    <w:div w:id="648900288">
                      <w:marLeft w:val="0"/>
                      <w:marRight w:val="0"/>
                      <w:marTop w:val="0"/>
                      <w:marBottom w:val="0"/>
                      <w:divBdr>
                        <w:top w:val="none" w:sz="0" w:space="0" w:color="auto"/>
                        <w:left w:val="none" w:sz="0" w:space="0" w:color="auto"/>
                        <w:bottom w:val="none" w:sz="0" w:space="0" w:color="auto"/>
                        <w:right w:val="none" w:sz="0" w:space="0" w:color="auto"/>
                      </w:divBdr>
                    </w:div>
                  </w:divsChild>
                </w:div>
                <w:div w:id="2006205493">
                  <w:marLeft w:val="0"/>
                  <w:marRight w:val="0"/>
                  <w:marTop w:val="0"/>
                  <w:marBottom w:val="0"/>
                  <w:divBdr>
                    <w:top w:val="none" w:sz="0" w:space="0" w:color="auto"/>
                    <w:left w:val="none" w:sz="0" w:space="0" w:color="auto"/>
                    <w:bottom w:val="none" w:sz="0" w:space="0" w:color="auto"/>
                    <w:right w:val="none" w:sz="0" w:space="0" w:color="auto"/>
                  </w:divBdr>
                  <w:divsChild>
                    <w:div w:id="836727402">
                      <w:marLeft w:val="0"/>
                      <w:marRight w:val="0"/>
                      <w:marTop w:val="0"/>
                      <w:marBottom w:val="0"/>
                      <w:divBdr>
                        <w:top w:val="none" w:sz="0" w:space="0" w:color="auto"/>
                        <w:left w:val="none" w:sz="0" w:space="0" w:color="auto"/>
                        <w:bottom w:val="none" w:sz="0" w:space="0" w:color="auto"/>
                        <w:right w:val="none" w:sz="0" w:space="0" w:color="auto"/>
                      </w:divBdr>
                    </w:div>
                  </w:divsChild>
                </w:div>
                <w:div w:id="2030255089">
                  <w:marLeft w:val="0"/>
                  <w:marRight w:val="0"/>
                  <w:marTop w:val="0"/>
                  <w:marBottom w:val="0"/>
                  <w:divBdr>
                    <w:top w:val="none" w:sz="0" w:space="0" w:color="auto"/>
                    <w:left w:val="none" w:sz="0" w:space="0" w:color="auto"/>
                    <w:bottom w:val="none" w:sz="0" w:space="0" w:color="auto"/>
                    <w:right w:val="none" w:sz="0" w:space="0" w:color="auto"/>
                  </w:divBdr>
                  <w:divsChild>
                    <w:div w:id="1193686576">
                      <w:marLeft w:val="0"/>
                      <w:marRight w:val="0"/>
                      <w:marTop w:val="0"/>
                      <w:marBottom w:val="0"/>
                      <w:divBdr>
                        <w:top w:val="none" w:sz="0" w:space="0" w:color="auto"/>
                        <w:left w:val="none" w:sz="0" w:space="0" w:color="auto"/>
                        <w:bottom w:val="none" w:sz="0" w:space="0" w:color="auto"/>
                        <w:right w:val="none" w:sz="0" w:space="0" w:color="auto"/>
                      </w:divBdr>
                    </w:div>
                  </w:divsChild>
                </w:div>
                <w:div w:id="2078937024">
                  <w:marLeft w:val="0"/>
                  <w:marRight w:val="0"/>
                  <w:marTop w:val="0"/>
                  <w:marBottom w:val="0"/>
                  <w:divBdr>
                    <w:top w:val="none" w:sz="0" w:space="0" w:color="auto"/>
                    <w:left w:val="none" w:sz="0" w:space="0" w:color="auto"/>
                    <w:bottom w:val="none" w:sz="0" w:space="0" w:color="auto"/>
                    <w:right w:val="none" w:sz="0" w:space="0" w:color="auto"/>
                  </w:divBdr>
                  <w:divsChild>
                    <w:div w:id="584265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059780">
          <w:marLeft w:val="0"/>
          <w:marRight w:val="0"/>
          <w:marTop w:val="0"/>
          <w:marBottom w:val="0"/>
          <w:divBdr>
            <w:top w:val="none" w:sz="0" w:space="0" w:color="auto"/>
            <w:left w:val="none" w:sz="0" w:space="0" w:color="auto"/>
            <w:bottom w:val="none" w:sz="0" w:space="0" w:color="auto"/>
            <w:right w:val="none" w:sz="0" w:space="0" w:color="auto"/>
          </w:divBdr>
          <w:divsChild>
            <w:div w:id="925112745">
              <w:marLeft w:val="0"/>
              <w:marRight w:val="0"/>
              <w:marTop w:val="0"/>
              <w:marBottom w:val="0"/>
              <w:divBdr>
                <w:top w:val="none" w:sz="0" w:space="0" w:color="auto"/>
                <w:left w:val="none" w:sz="0" w:space="0" w:color="auto"/>
                <w:bottom w:val="none" w:sz="0" w:space="0" w:color="auto"/>
                <w:right w:val="none" w:sz="0" w:space="0" w:color="auto"/>
              </w:divBdr>
            </w:div>
            <w:div w:id="1113936924">
              <w:marLeft w:val="0"/>
              <w:marRight w:val="0"/>
              <w:marTop w:val="0"/>
              <w:marBottom w:val="0"/>
              <w:divBdr>
                <w:top w:val="none" w:sz="0" w:space="0" w:color="auto"/>
                <w:left w:val="none" w:sz="0" w:space="0" w:color="auto"/>
                <w:bottom w:val="none" w:sz="0" w:space="0" w:color="auto"/>
                <w:right w:val="none" w:sz="0" w:space="0" w:color="auto"/>
              </w:divBdr>
            </w:div>
            <w:div w:id="1664427311">
              <w:marLeft w:val="0"/>
              <w:marRight w:val="0"/>
              <w:marTop w:val="0"/>
              <w:marBottom w:val="0"/>
              <w:divBdr>
                <w:top w:val="none" w:sz="0" w:space="0" w:color="auto"/>
                <w:left w:val="none" w:sz="0" w:space="0" w:color="auto"/>
                <w:bottom w:val="none" w:sz="0" w:space="0" w:color="auto"/>
                <w:right w:val="none" w:sz="0" w:space="0" w:color="auto"/>
              </w:divBdr>
            </w:div>
            <w:div w:id="1802991498">
              <w:marLeft w:val="0"/>
              <w:marRight w:val="0"/>
              <w:marTop w:val="0"/>
              <w:marBottom w:val="0"/>
              <w:divBdr>
                <w:top w:val="none" w:sz="0" w:space="0" w:color="auto"/>
                <w:left w:val="none" w:sz="0" w:space="0" w:color="auto"/>
                <w:bottom w:val="none" w:sz="0" w:space="0" w:color="auto"/>
                <w:right w:val="none" w:sz="0" w:space="0" w:color="auto"/>
              </w:divBdr>
            </w:div>
            <w:div w:id="1965308647">
              <w:marLeft w:val="0"/>
              <w:marRight w:val="0"/>
              <w:marTop w:val="0"/>
              <w:marBottom w:val="0"/>
              <w:divBdr>
                <w:top w:val="none" w:sz="0" w:space="0" w:color="auto"/>
                <w:left w:val="none" w:sz="0" w:space="0" w:color="auto"/>
                <w:bottom w:val="none" w:sz="0" w:space="0" w:color="auto"/>
                <w:right w:val="none" w:sz="0" w:space="0" w:color="auto"/>
              </w:divBdr>
            </w:div>
          </w:divsChild>
        </w:div>
        <w:div w:id="634602053">
          <w:marLeft w:val="0"/>
          <w:marRight w:val="0"/>
          <w:marTop w:val="0"/>
          <w:marBottom w:val="0"/>
          <w:divBdr>
            <w:top w:val="none" w:sz="0" w:space="0" w:color="auto"/>
            <w:left w:val="none" w:sz="0" w:space="0" w:color="auto"/>
            <w:bottom w:val="none" w:sz="0" w:space="0" w:color="auto"/>
            <w:right w:val="none" w:sz="0" w:space="0" w:color="auto"/>
          </w:divBdr>
        </w:div>
        <w:div w:id="919293570">
          <w:marLeft w:val="0"/>
          <w:marRight w:val="0"/>
          <w:marTop w:val="0"/>
          <w:marBottom w:val="0"/>
          <w:divBdr>
            <w:top w:val="none" w:sz="0" w:space="0" w:color="auto"/>
            <w:left w:val="none" w:sz="0" w:space="0" w:color="auto"/>
            <w:bottom w:val="none" w:sz="0" w:space="0" w:color="auto"/>
            <w:right w:val="none" w:sz="0" w:space="0" w:color="auto"/>
          </w:divBdr>
        </w:div>
        <w:div w:id="1844080559">
          <w:marLeft w:val="0"/>
          <w:marRight w:val="0"/>
          <w:marTop w:val="0"/>
          <w:marBottom w:val="0"/>
          <w:divBdr>
            <w:top w:val="none" w:sz="0" w:space="0" w:color="auto"/>
            <w:left w:val="none" w:sz="0" w:space="0" w:color="auto"/>
            <w:bottom w:val="none" w:sz="0" w:space="0" w:color="auto"/>
            <w:right w:val="none" w:sz="0" w:space="0" w:color="auto"/>
          </w:divBdr>
        </w:div>
        <w:div w:id="1844474431">
          <w:marLeft w:val="0"/>
          <w:marRight w:val="0"/>
          <w:marTop w:val="0"/>
          <w:marBottom w:val="0"/>
          <w:divBdr>
            <w:top w:val="none" w:sz="0" w:space="0" w:color="auto"/>
            <w:left w:val="none" w:sz="0" w:space="0" w:color="auto"/>
            <w:bottom w:val="none" w:sz="0" w:space="0" w:color="auto"/>
            <w:right w:val="none" w:sz="0" w:space="0" w:color="auto"/>
          </w:divBdr>
        </w:div>
        <w:div w:id="2126270633">
          <w:marLeft w:val="0"/>
          <w:marRight w:val="0"/>
          <w:marTop w:val="0"/>
          <w:marBottom w:val="0"/>
          <w:divBdr>
            <w:top w:val="none" w:sz="0" w:space="0" w:color="auto"/>
            <w:left w:val="none" w:sz="0" w:space="0" w:color="auto"/>
            <w:bottom w:val="none" w:sz="0" w:space="0" w:color="auto"/>
            <w:right w:val="none" w:sz="0" w:space="0" w:color="auto"/>
          </w:divBdr>
          <w:divsChild>
            <w:div w:id="238252442">
              <w:marLeft w:val="0"/>
              <w:marRight w:val="0"/>
              <w:marTop w:val="0"/>
              <w:marBottom w:val="0"/>
              <w:divBdr>
                <w:top w:val="none" w:sz="0" w:space="0" w:color="auto"/>
                <w:left w:val="none" w:sz="0" w:space="0" w:color="auto"/>
                <w:bottom w:val="none" w:sz="0" w:space="0" w:color="auto"/>
                <w:right w:val="none" w:sz="0" w:space="0" w:color="auto"/>
              </w:divBdr>
            </w:div>
            <w:div w:id="942036130">
              <w:marLeft w:val="0"/>
              <w:marRight w:val="0"/>
              <w:marTop w:val="0"/>
              <w:marBottom w:val="0"/>
              <w:divBdr>
                <w:top w:val="none" w:sz="0" w:space="0" w:color="auto"/>
                <w:left w:val="none" w:sz="0" w:space="0" w:color="auto"/>
                <w:bottom w:val="none" w:sz="0" w:space="0" w:color="auto"/>
                <w:right w:val="none" w:sz="0" w:space="0" w:color="auto"/>
              </w:divBdr>
            </w:div>
            <w:div w:id="1077939208">
              <w:marLeft w:val="0"/>
              <w:marRight w:val="0"/>
              <w:marTop w:val="0"/>
              <w:marBottom w:val="0"/>
              <w:divBdr>
                <w:top w:val="none" w:sz="0" w:space="0" w:color="auto"/>
                <w:left w:val="none" w:sz="0" w:space="0" w:color="auto"/>
                <w:bottom w:val="none" w:sz="0" w:space="0" w:color="auto"/>
                <w:right w:val="none" w:sz="0" w:space="0" w:color="auto"/>
              </w:divBdr>
            </w:div>
            <w:div w:id="1673339035">
              <w:marLeft w:val="0"/>
              <w:marRight w:val="0"/>
              <w:marTop w:val="0"/>
              <w:marBottom w:val="0"/>
              <w:divBdr>
                <w:top w:val="none" w:sz="0" w:space="0" w:color="auto"/>
                <w:left w:val="none" w:sz="0" w:space="0" w:color="auto"/>
                <w:bottom w:val="none" w:sz="0" w:space="0" w:color="auto"/>
                <w:right w:val="none" w:sz="0" w:space="0" w:color="auto"/>
              </w:divBdr>
            </w:div>
            <w:div w:id="175867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973067">
      <w:bodyDiv w:val="1"/>
      <w:marLeft w:val="0"/>
      <w:marRight w:val="0"/>
      <w:marTop w:val="0"/>
      <w:marBottom w:val="0"/>
      <w:divBdr>
        <w:top w:val="none" w:sz="0" w:space="0" w:color="auto"/>
        <w:left w:val="none" w:sz="0" w:space="0" w:color="auto"/>
        <w:bottom w:val="none" w:sz="0" w:space="0" w:color="auto"/>
        <w:right w:val="none" w:sz="0" w:space="0" w:color="auto"/>
      </w:divBdr>
    </w:div>
    <w:div w:id="614602466">
      <w:bodyDiv w:val="1"/>
      <w:marLeft w:val="0"/>
      <w:marRight w:val="0"/>
      <w:marTop w:val="0"/>
      <w:marBottom w:val="0"/>
      <w:divBdr>
        <w:top w:val="none" w:sz="0" w:space="0" w:color="auto"/>
        <w:left w:val="none" w:sz="0" w:space="0" w:color="auto"/>
        <w:bottom w:val="none" w:sz="0" w:space="0" w:color="auto"/>
        <w:right w:val="none" w:sz="0" w:space="0" w:color="auto"/>
      </w:divBdr>
      <w:divsChild>
        <w:div w:id="1645547078">
          <w:marLeft w:val="446"/>
          <w:marRight w:val="0"/>
          <w:marTop w:val="0"/>
          <w:marBottom w:val="0"/>
          <w:divBdr>
            <w:top w:val="none" w:sz="0" w:space="0" w:color="auto"/>
            <w:left w:val="none" w:sz="0" w:space="0" w:color="auto"/>
            <w:bottom w:val="none" w:sz="0" w:space="0" w:color="auto"/>
            <w:right w:val="none" w:sz="0" w:space="0" w:color="auto"/>
          </w:divBdr>
        </w:div>
      </w:divsChild>
    </w:div>
    <w:div w:id="616064223">
      <w:bodyDiv w:val="1"/>
      <w:marLeft w:val="0"/>
      <w:marRight w:val="0"/>
      <w:marTop w:val="0"/>
      <w:marBottom w:val="0"/>
      <w:divBdr>
        <w:top w:val="none" w:sz="0" w:space="0" w:color="auto"/>
        <w:left w:val="none" w:sz="0" w:space="0" w:color="auto"/>
        <w:bottom w:val="none" w:sz="0" w:space="0" w:color="auto"/>
        <w:right w:val="none" w:sz="0" w:space="0" w:color="auto"/>
      </w:divBdr>
    </w:div>
    <w:div w:id="616832225">
      <w:bodyDiv w:val="1"/>
      <w:marLeft w:val="0"/>
      <w:marRight w:val="0"/>
      <w:marTop w:val="0"/>
      <w:marBottom w:val="0"/>
      <w:divBdr>
        <w:top w:val="none" w:sz="0" w:space="0" w:color="auto"/>
        <w:left w:val="none" w:sz="0" w:space="0" w:color="auto"/>
        <w:bottom w:val="none" w:sz="0" w:space="0" w:color="auto"/>
        <w:right w:val="none" w:sz="0" w:space="0" w:color="auto"/>
      </w:divBdr>
    </w:div>
    <w:div w:id="620109933">
      <w:bodyDiv w:val="1"/>
      <w:marLeft w:val="0"/>
      <w:marRight w:val="0"/>
      <w:marTop w:val="0"/>
      <w:marBottom w:val="0"/>
      <w:divBdr>
        <w:top w:val="none" w:sz="0" w:space="0" w:color="auto"/>
        <w:left w:val="none" w:sz="0" w:space="0" w:color="auto"/>
        <w:bottom w:val="none" w:sz="0" w:space="0" w:color="auto"/>
        <w:right w:val="none" w:sz="0" w:space="0" w:color="auto"/>
      </w:divBdr>
    </w:div>
    <w:div w:id="644746964">
      <w:bodyDiv w:val="1"/>
      <w:marLeft w:val="0"/>
      <w:marRight w:val="0"/>
      <w:marTop w:val="0"/>
      <w:marBottom w:val="0"/>
      <w:divBdr>
        <w:top w:val="none" w:sz="0" w:space="0" w:color="auto"/>
        <w:left w:val="none" w:sz="0" w:space="0" w:color="auto"/>
        <w:bottom w:val="none" w:sz="0" w:space="0" w:color="auto"/>
        <w:right w:val="none" w:sz="0" w:space="0" w:color="auto"/>
      </w:divBdr>
      <w:divsChild>
        <w:div w:id="299579287">
          <w:marLeft w:val="0"/>
          <w:marRight w:val="0"/>
          <w:marTop w:val="0"/>
          <w:marBottom w:val="0"/>
          <w:divBdr>
            <w:top w:val="none" w:sz="0" w:space="0" w:color="auto"/>
            <w:left w:val="none" w:sz="0" w:space="0" w:color="auto"/>
            <w:bottom w:val="none" w:sz="0" w:space="0" w:color="auto"/>
            <w:right w:val="none" w:sz="0" w:space="0" w:color="auto"/>
          </w:divBdr>
        </w:div>
        <w:div w:id="339701900">
          <w:marLeft w:val="0"/>
          <w:marRight w:val="0"/>
          <w:marTop w:val="0"/>
          <w:marBottom w:val="0"/>
          <w:divBdr>
            <w:top w:val="none" w:sz="0" w:space="0" w:color="auto"/>
            <w:left w:val="none" w:sz="0" w:space="0" w:color="auto"/>
            <w:bottom w:val="none" w:sz="0" w:space="0" w:color="auto"/>
            <w:right w:val="none" w:sz="0" w:space="0" w:color="auto"/>
          </w:divBdr>
          <w:divsChild>
            <w:div w:id="157186317">
              <w:marLeft w:val="-75"/>
              <w:marRight w:val="0"/>
              <w:marTop w:val="30"/>
              <w:marBottom w:val="30"/>
              <w:divBdr>
                <w:top w:val="none" w:sz="0" w:space="0" w:color="auto"/>
                <w:left w:val="none" w:sz="0" w:space="0" w:color="auto"/>
                <w:bottom w:val="none" w:sz="0" w:space="0" w:color="auto"/>
                <w:right w:val="none" w:sz="0" w:space="0" w:color="auto"/>
              </w:divBdr>
              <w:divsChild>
                <w:div w:id="104690483">
                  <w:marLeft w:val="0"/>
                  <w:marRight w:val="0"/>
                  <w:marTop w:val="0"/>
                  <w:marBottom w:val="0"/>
                  <w:divBdr>
                    <w:top w:val="none" w:sz="0" w:space="0" w:color="auto"/>
                    <w:left w:val="none" w:sz="0" w:space="0" w:color="auto"/>
                    <w:bottom w:val="none" w:sz="0" w:space="0" w:color="auto"/>
                    <w:right w:val="none" w:sz="0" w:space="0" w:color="auto"/>
                  </w:divBdr>
                  <w:divsChild>
                    <w:div w:id="461576848">
                      <w:marLeft w:val="0"/>
                      <w:marRight w:val="0"/>
                      <w:marTop w:val="0"/>
                      <w:marBottom w:val="0"/>
                      <w:divBdr>
                        <w:top w:val="none" w:sz="0" w:space="0" w:color="auto"/>
                        <w:left w:val="none" w:sz="0" w:space="0" w:color="auto"/>
                        <w:bottom w:val="none" w:sz="0" w:space="0" w:color="auto"/>
                        <w:right w:val="none" w:sz="0" w:space="0" w:color="auto"/>
                      </w:divBdr>
                    </w:div>
                  </w:divsChild>
                </w:div>
                <w:div w:id="128523051">
                  <w:marLeft w:val="0"/>
                  <w:marRight w:val="0"/>
                  <w:marTop w:val="0"/>
                  <w:marBottom w:val="0"/>
                  <w:divBdr>
                    <w:top w:val="none" w:sz="0" w:space="0" w:color="auto"/>
                    <w:left w:val="none" w:sz="0" w:space="0" w:color="auto"/>
                    <w:bottom w:val="none" w:sz="0" w:space="0" w:color="auto"/>
                    <w:right w:val="none" w:sz="0" w:space="0" w:color="auto"/>
                  </w:divBdr>
                  <w:divsChild>
                    <w:div w:id="872035729">
                      <w:marLeft w:val="0"/>
                      <w:marRight w:val="0"/>
                      <w:marTop w:val="0"/>
                      <w:marBottom w:val="0"/>
                      <w:divBdr>
                        <w:top w:val="none" w:sz="0" w:space="0" w:color="auto"/>
                        <w:left w:val="none" w:sz="0" w:space="0" w:color="auto"/>
                        <w:bottom w:val="none" w:sz="0" w:space="0" w:color="auto"/>
                        <w:right w:val="none" w:sz="0" w:space="0" w:color="auto"/>
                      </w:divBdr>
                    </w:div>
                  </w:divsChild>
                </w:div>
                <w:div w:id="350181556">
                  <w:marLeft w:val="0"/>
                  <w:marRight w:val="0"/>
                  <w:marTop w:val="0"/>
                  <w:marBottom w:val="0"/>
                  <w:divBdr>
                    <w:top w:val="none" w:sz="0" w:space="0" w:color="auto"/>
                    <w:left w:val="none" w:sz="0" w:space="0" w:color="auto"/>
                    <w:bottom w:val="none" w:sz="0" w:space="0" w:color="auto"/>
                    <w:right w:val="none" w:sz="0" w:space="0" w:color="auto"/>
                  </w:divBdr>
                  <w:divsChild>
                    <w:div w:id="1230459677">
                      <w:marLeft w:val="0"/>
                      <w:marRight w:val="0"/>
                      <w:marTop w:val="0"/>
                      <w:marBottom w:val="0"/>
                      <w:divBdr>
                        <w:top w:val="none" w:sz="0" w:space="0" w:color="auto"/>
                        <w:left w:val="none" w:sz="0" w:space="0" w:color="auto"/>
                        <w:bottom w:val="none" w:sz="0" w:space="0" w:color="auto"/>
                        <w:right w:val="none" w:sz="0" w:space="0" w:color="auto"/>
                      </w:divBdr>
                    </w:div>
                  </w:divsChild>
                </w:div>
                <w:div w:id="404038480">
                  <w:marLeft w:val="0"/>
                  <w:marRight w:val="0"/>
                  <w:marTop w:val="0"/>
                  <w:marBottom w:val="0"/>
                  <w:divBdr>
                    <w:top w:val="none" w:sz="0" w:space="0" w:color="auto"/>
                    <w:left w:val="none" w:sz="0" w:space="0" w:color="auto"/>
                    <w:bottom w:val="none" w:sz="0" w:space="0" w:color="auto"/>
                    <w:right w:val="none" w:sz="0" w:space="0" w:color="auto"/>
                  </w:divBdr>
                  <w:divsChild>
                    <w:div w:id="1832868547">
                      <w:marLeft w:val="0"/>
                      <w:marRight w:val="0"/>
                      <w:marTop w:val="0"/>
                      <w:marBottom w:val="0"/>
                      <w:divBdr>
                        <w:top w:val="none" w:sz="0" w:space="0" w:color="auto"/>
                        <w:left w:val="none" w:sz="0" w:space="0" w:color="auto"/>
                        <w:bottom w:val="none" w:sz="0" w:space="0" w:color="auto"/>
                        <w:right w:val="none" w:sz="0" w:space="0" w:color="auto"/>
                      </w:divBdr>
                    </w:div>
                  </w:divsChild>
                </w:div>
                <w:div w:id="411438218">
                  <w:marLeft w:val="0"/>
                  <w:marRight w:val="0"/>
                  <w:marTop w:val="0"/>
                  <w:marBottom w:val="0"/>
                  <w:divBdr>
                    <w:top w:val="none" w:sz="0" w:space="0" w:color="auto"/>
                    <w:left w:val="none" w:sz="0" w:space="0" w:color="auto"/>
                    <w:bottom w:val="none" w:sz="0" w:space="0" w:color="auto"/>
                    <w:right w:val="none" w:sz="0" w:space="0" w:color="auto"/>
                  </w:divBdr>
                  <w:divsChild>
                    <w:div w:id="366293593">
                      <w:marLeft w:val="0"/>
                      <w:marRight w:val="0"/>
                      <w:marTop w:val="0"/>
                      <w:marBottom w:val="0"/>
                      <w:divBdr>
                        <w:top w:val="none" w:sz="0" w:space="0" w:color="auto"/>
                        <w:left w:val="none" w:sz="0" w:space="0" w:color="auto"/>
                        <w:bottom w:val="none" w:sz="0" w:space="0" w:color="auto"/>
                        <w:right w:val="none" w:sz="0" w:space="0" w:color="auto"/>
                      </w:divBdr>
                    </w:div>
                  </w:divsChild>
                </w:div>
                <w:div w:id="455368954">
                  <w:marLeft w:val="0"/>
                  <w:marRight w:val="0"/>
                  <w:marTop w:val="0"/>
                  <w:marBottom w:val="0"/>
                  <w:divBdr>
                    <w:top w:val="none" w:sz="0" w:space="0" w:color="auto"/>
                    <w:left w:val="none" w:sz="0" w:space="0" w:color="auto"/>
                    <w:bottom w:val="none" w:sz="0" w:space="0" w:color="auto"/>
                    <w:right w:val="none" w:sz="0" w:space="0" w:color="auto"/>
                  </w:divBdr>
                  <w:divsChild>
                    <w:div w:id="1570843822">
                      <w:marLeft w:val="0"/>
                      <w:marRight w:val="0"/>
                      <w:marTop w:val="0"/>
                      <w:marBottom w:val="0"/>
                      <w:divBdr>
                        <w:top w:val="none" w:sz="0" w:space="0" w:color="auto"/>
                        <w:left w:val="none" w:sz="0" w:space="0" w:color="auto"/>
                        <w:bottom w:val="none" w:sz="0" w:space="0" w:color="auto"/>
                        <w:right w:val="none" w:sz="0" w:space="0" w:color="auto"/>
                      </w:divBdr>
                    </w:div>
                  </w:divsChild>
                </w:div>
                <w:div w:id="536281171">
                  <w:marLeft w:val="0"/>
                  <w:marRight w:val="0"/>
                  <w:marTop w:val="0"/>
                  <w:marBottom w:val="0"/>
                  <w:divBdr>
                    <w:top w:val="none" w:sz="0" w:space="0" w:color="auto"/>
                    <w:left w:val="none" w:sz="0" w:space="0" w:color="auto"/>
                    <w:bottom w:val="none" w:sz="0" w:space="0" w:color="auto"/>
                    <w:right w:val="none" w:sz="0" w:space="0" w:color="auto"/>
                  </w:divBdr>
                  <w:divsChild>
                    <w:div w:id="1767457984">
                      <w:marLeft w:val="0"/>
                      <w:marRight w:val="0"/>
                      <w:marTop w:val="0"/>
                      <w:marBottom w:val="0"/>
                      <w:divBdr>
                        <w:top w:val="none" w:sz="0" w:space="0" w:color="auto"/>
                        <w:left w:val="none" w:sz="0" w:space="0" w:color="auto"/>
                        <w:bottom w:val="none" w:sz="0" w:space="0" w:color="auto"/>
                        <w:right w:val="none" w:sz="0" w:space="0" w:color="auto"/>
                      </w:divBdr>
                    </w:div>
                  </w:divsChild>
                </w:div>
                <w:div w:id="724529057">
                  <w:marLeft w:val="0"/>
                  <w:marRight w:val="0"/>
                  <w:marTop w:val="0"/>
                  <w:marBottom w:val="0"/>
                  <w:divBdr>
                    <w:top w:val="none" w:sz="0" w:space="0" w:color="auto"/>
                    <w:left w:val="none" w:sz="0" w:space="0" w:color="auto"/>
                    <w:bottom w:val="none" w:sz="0" w:space="0" w:color="auto"/>
                    <w:right w:val="none" w:sz="0" w:space="0" w:color="auto"/>
                  </w:divBdr>
                  <w:divsChild>
                    <w:div w:id="965427005">
                      <w:marLeft w:val="0"/>
                      <w:marRight w:val="0"/>
                      <w:marTop w:val="0"/>
                      <w:marBottom w:val="0"/>
                      <w:divBdr>
                        <w:top w:val="none" w:sz="0" w:space="0" w:color="auto"/>
                        <w:left w:val="none" w:sz="0" w:space="0" w:color="auto"/>
                        <w:bottom w:val="none" w:sz="0" w:space="0" w:color="auto"/>
                        <w:right w:val="none" w:sz="0" w:space="0" w:color="auto"/>
                      </w:divBdr>
                    </w:div>
                  </w:divsChild>
                </w:div>
                <w:div w:id="914360899">
                  <w:marLeft w:val="0"/>
                  <w:marRight w:val="0"/>
                  <w:marTop w:val="0"/>
                  <w:marBottom w:val="0"/>
                  <w:divBdr>
                    <w:top w:val="none" w:sz="0" w:space="0" w:color="auto"/>
                    <w:left w:val="none" w:sz="0" w:space="0" w:color="auto"/>
                    <w:bottom w:val="none" w:sz="0" w:space="0" w:color="auto"/>
                    <w:right w:val="none" w:sz="0" w:space="0" w:color="auto"/>
                  </w:divBdr>
                  <w:divsChild>
                    <w:div w:id="370956339">
                      <w:marLeft w:val="0"/>
                      <w:marRight w:val="0"/>
                      <w:marTop w:val="0"/>
                      <w:marBottom w:val="0"/>
                      <w:divBdr>
                        <w:top w:val="none" w:sz="0" w:space="0" w:color="auto"/>
                        <w:left w:val="none" w:sz="0" w:space="0" w:color="auto"/>
                        <w:bottom w:val="none" w:sz="0" w:space="0" w:color="auto"/>
                        <w:right w:val="none" w:sz="0" w:space="0" w:color="auto"/>
                      </w:divBdr>
                    </w:div>
                  </w:divsChild>
                </w:div>
                <w:div w:id="947933147">
                  <w:marLeft w:val="0"/>
                  <w:marRight w:val="0"/>
                  <w:marTop w:val="0"/>
                  <w:marBottom w:val="0"/>
                  <w:divBdr>
                    <w:top w:val="none" w:sz="0" w:space="0" w:color="auto"/>
                    <w:left w:val="none" w:sz="0" w:space="0" w:color="auto"/>
                    <w:bottom w:val="none" w:sz="0" w:space="0" w:color="auto"/>
                    <w:right w:val="none" w:sz="0" w:space="0" w:color="auto"/>
                  </w:divBdr>
                  <w:divsChild>
                    <w:div w:id="1012073597">
                      <w:marLeft w:val="0"/>
                      <w:marRight w:val="0"/>
                      <w:marTop w:val="0"/>
                      <w:marBottom w:val="0"/>
                      <w:divBdr>
                        <w:top w:val="none" w:sz="0" w:space="0" w:color="auto"/>
                        <w:left w:val="none" w:sz="0" w:space="0" w:color="auto"/>
                        <w:bottom w:val="none" w:sz="0" w:space="0" w:color="auto"/>
                        <w:right w:val="none" w:sz="0" w:space="0" w:color="auto"/>
                      </w:divBdr>
                    </w:div>
                  </w:divsChild>
                </w:div>
                <w:div w:id="979456228">
                  <w:marLeft w:val="0"/>
                  <w:marRight w:val="0"/>
                  <w:marTop w:val="0"/>
                  <w:marBottom w:val="0"/>
                  <w:divBdr>
                    <w:top w:val="none" w:sz="0" w:space="0" w:color="auto"/>
                    <w:left w:val="none" w:sz="0" w:space="0" w:color="auto"/>
                    <w:bottom w:val="none" w:sz="0" w:space="0" w:color="auto"/>
                    <w:right w:val="none" w:sz="0" w:space="0" w:color="auto"/>
                  </w:divBdr>
                  <w:divsChild>
                    <w:div w:id="550075365">
                      <w:marLeft w:val="0"/>
                      <w:marRight w:val="0"/>
                      <w:marTop w:val="0"/>
                      <w:marBottom w:val="0"/>
                      <w:divBdr>
                        <w:top w:val="none" w:sz="0" w:space="0" w:color="auto"/>
                        <w:left w:val="none" w:sz="0" w:space="0" w:color="auto"/>
                        <w:bottom w:val="none" w:sz="0" w:space="0" w:color="auto"/>
                        <w:right w:val="none" w:sz="0" w:space="0" w:color="auto"/>
                      </w:divBdr>
                    </w:div>
                  </w:divsChild>
                </w:div>
                <w:div w:id="980887142">
                  <w:marLeft w:val="0"/>
                  <w:marRight w:val="0"/>
                  <w:marTop w:val="0"/>
                  <w:marBottom w:val="0"/>
                  <w:divBdr>
                    <w:top w:val="none" w:sz="0" w:space="0" w:color="auto"/>
                    <w:left w:val="none" w:sz="0" w:space="0" w:color="auto"/>
                    <w:bottom w:val="none" w:sz="0" w:space="0" w:color="auto"/>
                    <w:right w:val="none" w:sz="0" w:space="0" w:color="auto"/>
                  </w:divBdr>
                  <w:divsChild>
                    <w:div w:id="1317340619">
                      <w:marLeft w:val="0"/>
                      <w:marRight w:val="0"/>
                      <w:marTop w:val="0"/>
                      <w:marBottom w:val="0"/>
                      <w:divBdr>
                        <w:top w:val="none" w:sz="0" w:space="0" w:color="auto"/>
                        <w:left w:val="none" w:sz="0" w:space="0" w:color="auto"/>
                        <w:bottom w:val="none" w:sz="0" w:space="0" w:color="auto"/>
                        <w:right w:val="none" w:sz="0" w:space="0" w:color="auto"/>
                      </w:divBdr>
                    </w:div>
                  </w:divsChild>
                </w:div>
                <w:div w:id="1205367702">
                  <w:marLeft w:val="0"/>
                  <w:marRight w:val="0"/>
                  <w:marTop w:val="0"/>
                  <w:marBottom w:val="0"/>
                  <w:divBdr>
                    <w:top w:val="none" w:sz="0" w:space="0" w:color="auto"/>
                    <w:left w:val="none" w:sz="0" w:space="0" w:color="auto"/>
                    <w:bottom w:val="none" w:sz="0" w:space="0" w:color="auto"/>
                    <w:right w:val="none" w:sz="0" w:space="0" w:color="auto"/>
                  </w:divBdr>
                  <w:divsChild>
                    <w:div w:id="1302809023">
                      <w:marLeft w:val="0"/>
                      <w:marRight w:val="0"/>
                      <w:marTop w:val="0"/>
                      <w:marBottom w:val="0"/>
                      <w:divBdr>
                        <w:top w:val="none" w:sz="0" w:space="0" w:color="auto"/>
                        <w:left w:val="none" w:sz="0" w:space="0" w:color="auto"/>
                        <w:bottom w:val="none" w:sz="0" w:space="0" w:color="auto"/>
                        <w:right w:val="none" w:sz="0" w:space="0" w:color="auto"/>
                      </w:divBdr>
                    </w:div>
                  </w:divsChild>
                </w:div>
                <w:div w:id="1226530227">
                  <w:marLeft w:val="0"/>
                  <w:marRight w:val="0"/>
                  <w:marTop w:val="0"/>
                  <w:marBottom w:val="0"/>
                  <w:divBdr>
                    <w:top w:val="none" w:sz="0" w:space="0" w:color="auto"/>
                    <w:left w:val="none" w:sz="0" w:space="0" w:color="auto"/>
                    <w:bottom w:val="none" w:sz="0" w:space="0" w:color="auto"/>
                    <w:right w:val="none" w:sz="0" w:space="0" w:color="auto"/>
                  </w:divBdr>
                  <w:divsChild>
                    <w:div w:id="2079473984">
                      <w:marLeft w:val="0"/>
                      <w:marRight w:val="0"/>
                      <w:marTop w:val="0"/>
                      <w:marBottom w:val="0"/>
                      <w:divBdr>
                        <w:top w:val="none" w:sz="0" w:space="0" w:color="auto"/>
                        <w:left w:val="none" w:sz="0" w:space="0" w:color="auto"/>
                        <w:bottom w:val="none" w:sz="0" w:space="0" w:color="auto"/>
                        <w:right w:val="none" w:sz="0" w:space="0" w:color="auto"/>
                      </w:divBdr>
                    </w:div>
                  </w:divsChild>
                </w:div>
                <w:div w:id="1469518779">
                  <w:marLeft w:val="0"/>
                  <w:marRight w:val="0"/>
                  <w:marTop w:val="0"/>
                  <w:marBottom w:val="0"/>
                  <w:divBdr>
                    <w:top w:val="none" w:sz="0" w:space="0" w:color="auto"/>
                    <w:left w:val="none" w:sz="0" w:space="0" w:color="auto"/>
                    <w:bottom w:val="none" w:sz="0" w:space="0" w:color="auto"/>
                    <w:right w:val="none" w:sz="0" w:space="0" w:color="auto"/>
                  </w:divBdr>
                  <w:divsChild>
                    <w:div w:id="1262833355">
                      <w:marLeft w:val="0"/>
                      <w:marRight w:val="0"/>
                      <w:marTop w:val="0"/>
                      <w:marBottom w:val="0"/>
                      <w:divBdr>
                        <w:top w:val="none" w:sz="0" w:space="0" w:color="auto"/>
                        <w:left w:val="none" w:sz="0" w:space="0" w:color="auto"/>
                        <w:bottom w:val="none" w:sz="0" w:space="0" w:color="auto"/>
                        <w:right w:val="none" w:sz="0" w:space="0" w:color="auto"/>
                      </w:divBdr>
                    </w:div>
                  </w:divsChild>
                </w:div>
                <w:div w:id="1494956114">
                  <w:marLeft w:val="0"/>
                  <w:marRight w:val="0"/>
                  <w:marTop w:val="0"/>
                  <w:marBottom w:val="0"/>
                  <w:divBdr>
                    <w:top w:val="none" w:sz="0" w:space="0" w:color="auto"/>
                    <w:left w:val="none" w:sz="0" w:space="0" w:color="auto"/>
                    <w:bottom w:val="none" w:sz="0" w:space="0" w:color="auto"/>
                    <w:right w:val="none" w:sz="0" w:space="0" w:color="auto"/>
                  </w:divBdr>
                  <w:divsChild>
                    <w:div w:id="784039103">
                      <w:marLeft w:val="0"/>
                      <w:marRight w:val="0"/>
                      <w:marTop w:val="0"/>
                      <w:marBottom w:val="0"/>
                      <w:divBdr>
                        <w:top w:val="none" w:sz="0" w:space="0" w:color="auto"/>
                        <w:left w:val="none" w:sz="0" w:space="0" w:color="auto"/>
                        <w:bottom w:val="none" w:sz="0" w:space="0" w:color="auto"/>
                        <w:right w:val="none" w:sz="0" w:space="0" w:color="auto"/>
                      </w:divBdr>
                    </w:div>
                  </w:divsChild>
                </w:div>
                <w:div w:id="1520773668">
                  <w:marLeft w:val="0"/>
                  <w:marRight w:val="0"/>
                  <w:marTop w:val="0"/>
                  <w:marBottom w:val="0"/>
                  <w:divBdr>
                    <w:top w:val="none" w:sz="0" w:space="0" w:color="auto"/>
                    <w:left w:val="none" w:sz="0" w:space="0" w:color="auto"/>
                    <w:bottom w:val="none" w:sz="0" w:space="0" w:color="auto"/>
                    <w:right w:val="none" w:sz="0" w:space="0" w:color="auto"/>
                  </w:divBdr>
                  <w:divsChild>
                    <w:div w:id="344091721">
                      <w:marLeft w:val="0"/>
                      <w:marRight w:val="0"/>
                      <w:marTop w:val="0"/>
                      <w:marBottom w:val="0"/>
                      <w:divBdr>
                        <w:top w:val="none" w:sz="0" w:space="0" w:color="auto"/>
                        <w:left w:val="none" w:sz="0" w:space="0" w:color="auto"/>
                        <w:bottom w:val="none" w:sz="0" w:space="0" w:color="auto"/>
                        <w:right w:val="none" w:sz="0" w:space="0" w:color="auto"/>
                      </w:divBdr>
                    </w:div>
                  </w:divsChild>
                </w:div>
                <w:div w:id="1685203625">
                  <w:marLeft w:val="0"/>
                  <w:marRight w:val="0"/>
                  <w:marTop w:val="0"/>
                  <w:marBottom w:val="0"/>
                  <w:divBdr>
                    <w:top w:val="none" w:sz="0" w:space="0" w:color="auto"/>
                    <w:left w:val="none" w:sz="0" w:space="0" w:color="auto"/>
                    <w:bottom w:val="none" w:sz="0" w:space="0" w:color="auto"/>
                    <w:right w:val="none" w:sz="0" w:space="0" w:color="auto"/>
                  </w:divBdr>
                  <w:divsChild>
                    <w:div w:id="1116487620">
                      <w:marLeft w:val="0"/>
                      <w:marRight w:val="0"/>
                      <w:marTop w:val="0"/>
                      <w:marBottom w:val="0"/>
                      <w:divBdr>
                        <w:top w:val="none" w:sz="0" w:space="0" w:color="auto"/>
                        <w:left w:val="none" w:sz="0" w:space="0" w:color="auto"/>
                        <w:bottom w:val="none" w:sz="0" w:space="0" w:color="auto"/>
                        <w:right w:val="none" w:sz="0" w:space="0" w:color="auto"/>
                      </w:divBdr>
                    </w:div>
                  </w:divsChild>
                </w:div>
                <w:div w:id="1731072606">
                  <w:marLeft w:val="0"/>
                  <w:marRight w:val="0"/>
                  <w:marTop w:val="0"/>
                  <w:marBottom w:val="0"/>
                  <w:divBdr>
                    <w:top w:val="none" w:sz="0" w:space="0" w:color="auto"/>
                    <w:left w:val="none" w:sz="0" w:space="0" w:color="auto"/>
                    <w:bottom w:val="none" w:sz="0" w:space="0" w:color="auto"/>
                    <w:right w:val="none" w:sz="0" w:space="0" w:color="auto"/>
                  </w:divBdr>
                  <w:divsChild>
                    <w:div w:id="992951426">
                      <w:marLeft w:val="0"/>
                      <w:marRight w:val="0"/>
                      <w:marTop w:val="0"/>
                      <w:marBottom w:val="0"/>
                      <w:divBdr>
                        <w:top w:val="none" w:sz="0" w:space="0" w:color="auto"/>
                        <w:left w:val="none" w:sz="0" w:space="0" w:color="auto"/>
                        <w:bottom w:val="none" w:sz="0" w:space="0" w:color="auto"/>
                        <w:right w:val="none" w:sz="0" w:space="0" w:color="auto"/>
                      </w:divBdr>
                    </w:div>
                  </w:divsChild>
                </w:div>
                <w:div w:id="2039235050">
                  <w:marLeft w:val="0"/>
                  <w:marRight w:val="0"/>
                  <w:marTop w:val="0"/>
                  <w:marBottom w:val="0"/>
                  <w:divBdr>
                    <w:top w:val="none" w:sz="0" w:space="0" w:color="auto"/>
                    <w:left w:val="none" w:sz="0" w:space="0" w:color="auto"/>
                    <w:bottom w:val="none" w:sz="0" w:space="0" w:color="auto"/>
                    <w:right w:val="none" w:sz="0" w:space="0" w:color="auto"/>
                  </w:divBdr>
                  <w:divsChild>
                    <w:div w:id="866143357">
                      <w:marLeft w:val="0"/>
                      <w:marRight w:val="0"/>
                      <w:marTop w:val="0"/>
                      <w:marBottom w:val="0"/>
                      <w:divBdr>
                        <w:top w:val="none" w:sz="0" w:space="0" w:color="auto"/>
                        <w:left w:val="none" w:sz="0" w:space="0" w:color="auto"/>
                        <w:bottom w:val="none" w:sz="0" w:space="0" w:color="auto"/>
                        <w:right w:val="none" w:sz="0" w:space="0" w:color="auto"/>
                      </w:divBdr>
                    </w:div>
                  </w:divsChild>
                </w:div>
                <w:div w:id="2041009565">
                  <w:marLeft w:val="0"/>
                  <w:marRight w:val="0"/>
                  <w:marTop w:val="0"/>
                  <w:marBottom w:val="0"/>
                  <w:divBdr>
                    <w:top w:val="none" w:sz="0" w:space="0" w:color="auto"/>
                    <w:left w:val="none" w:sz="0" w:space="0" w:color="auto"/>
                    <w:bottom w:val="none" w:sz="0" w:space="0" w:color="auto"/>
                    <w:right w:val="none" w:sz="0" w:space="0" w:color="auto"/>
                  </w:divBdr>
                  <w:divsChild>
                    <w:div w:id="38614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281804">
          <w:marLeft w:val="0"/>
          <w:marRight w:val="0"/>
          <w:marTop w:val="0"/>
          <w:marBottom w:val="0"/>
          <w:divBdr>
            <w:top w:val="none" w:sz="0" w:space="0" w:color="auto"/>
            <w:left w:val="none" w:sz="0" w:space="0" w:color="auto"/>
            <w:bottom w:val="none" w:sz="0" w:space="0" w:color="auto"/>
            <w:right w:val="none" w:sz="0" w:space="0" w:color="auto"/>
          </w:divBdr>
        </w:div>
        <w:div w:id="1426607757">
          <w:marLeft w:val="0"/>
          <w:marRight w:val="0"/>
          <w:marTop w:val="0"/>
          <w:marBottom w:val="0"/>
          <w:divBdr>
            <w:top w:val="none" w:sz="0" w:space="0" w:color="auto"/>
            <w:left w:val="none" w:sz="0" w:space="0" w:color="auto"/>
            <w:bottom w:val="none" w:sz="0" w:space="0" w:color="auto"/>
            <w:right w:val="none" w:sz="0" w:space="0" w:color="auto"/>
          </w:divBdr>
        </w:div>
        <w:div w:id="1661155302">
          <w:marLeft w:val="0"/>
          <w:marRight w:val="0"/>
          <w:marTop w:val="0"/>
          <w:marBottom w:val="0"/>
          <w:divBdr>
            <w:top w:val="none" w:sz="0" w:space="0" w:color="auto"/>
            <w:left w:val="none" w:sz="0" w:space="0" w:color="auto"/>
            <w:bottom w:val="none" w:sz="0" w:space="0" w:color="auto"/>
            <w:right w:val="none" w:sz="0" w:space="0" w:color="auto"/>
          </w:divBdr>
        </w:div>
      </w:divsChild>
    </w:div>
    <w:div w:id="672293534">
      <w:bodyDiv w:val="1"/>
      <w:marLeft w:val="0"/>
      <w:marRight w:val="0"/>
      <w:marTop w:val="0"/>
      <w:marBottom w:val="0"/>
      <w:divBdr>
        <w:top w:val="none" w:sz="0" w:space="0" w:color="auto"/>
        <w:left w:val="none" w:sz="0" w:space="0" w:color="auto"/>
        <w:bottom w:val="none" w:sz="0" w:space="0" w:color="auto"/>
        <w:right w:val="none" w:sz="0" w:space="0" w:color="auto"/>
      </w:divBdr>
    </w:div>
    <w:div w:id="713432744">
      <w:bodyDiv w:val="1"/>
      <w:marLeft w:val="0"/>
      <w:marRight w:val="0"/>
      <w:marTop w:val="0"/>
      <w:marBottom w:val="0"/>
      <w:divBdr>
        <w:top w:val="none" w:sz="0" w:space="0" w:color="auto"/>
        <w:left w:val="none" w:sz="0" w:space="0" w:color="auto"/>
        <w:bottom w:val="none" w:sz="0" w:space="0" w:color="auto"/>
        <w:right w:val="none" w:sz="0" w:space="0" w:color="auto"/>
      </w:divBdr>
    </w:div>
    <w:div w:id="719136880">
      <w:bodyDiv w:val="1"/>
      <w:marLeft w:val="0"/>
      <w:marRight w:val="0"/>
      <w:marTop w:val="0"/>
      <w:marBottom w:val="0"/>
      <w:divBdr>
        <w:top w:val="none" w:sz="0" w:space="0" w:color="auto"/>
        <w:left w:val="none" w:sz="0" w:space="0" w:color="auto"/>
        <w:bottom w:val="none" w:sz="0" w:space="0" w:color="auto"/>
        <w:right w:val="none" w:sz="0" w:space="0" w:color="auto"/>
      </w:divBdr>
      <w:divsChild>
        <w:div w:id="380982718">
          <w:marLeft w:val="0"/>
          <w:marRight w:val="0"/>
          <w:marTop w:val="0"/>
          <w:marBottom w:val="0"/>
          <w:divBdr>
            <w:top w:val="none" w:sz="0" w:space="0" w:color="auto"/>
            <w:left w:val="none" w:sz="0" w:space="0" w:color="auto"/>
            <w:bottom w:val="none" w:sz="0" w:space="0" w:color="auto"/>
            <w:right w:val="none" w:sz="0" w:space="0" w:color="auto"/>
          </w:divBdr>
        </w:div>
        <w:div w:id="447354269">
          <w:marLeft w:val="0"/>
          <w:marRight w:val="0"/>
          <w:marTop w:val="0"/>
          <w:marBottom w:val="0"/>
          <w:divBdr>
            <w:top w:val="none" w:sz="0" w:space="0" w:color="auto"/>
            <w:left w:val="none" w:sz="0" w:space="0" w:color="auto"/>
            <w:bottom w:val="none" w:sz="0" w:space="0" w:color="auto"/>
            <w:right w:val="none" w:sz="0" w:space="0" w:color="auto"/>
          </w:divBdr>
          <w:divsChild>
            <w:div w:id="1115369443">
              <w:marLeft w:val="-75"/>
              <w:marRight w:val="0"/>
              <w:marTop w:val="30"/>
              <w:marBottom w:val="30"/>
              <w:divBdr>
                <w:top w:val="none" w:sz="0" w:space="0" w:color="auto"/>
                <w:left w:val="none" w:sz="0" w:space="0" w:color="auto"/>
                <w:bottom w:val="none" w:sz="0" w:space="0" w:color="auto"/>
                <w:right w:val="none" w:sz="0" w:space="0" w:color="auto"/>
              </w:divBdr>
              <w:divsChild>
                <w:div w:id="81682315">
                  <w:marLeft w:val="0"/>
                  <w:marRight w:val="0"/>
                  <w:marTop w:val="0"/>
                  <w:marBottom w:val="0"/>
                  <w:divBdr>
                    <w:top w:val="none" w:sz="0" w:space="0" w:color="auto"/>
                    <w:left w:val="none" w:sz="0" w:space="0" w:color="auto"/>
                    <w:bottom w:val="none" w:sz="0" w:space="0" w:color="auto"/>
                    <w:right w:val="none" w:sz="0" w:space="0" w:color="auto"/>
                  </w:divBdr>
                  <w:divsChild>
                    <w:div w:id="119803745">
                      <w:marLeft w:val="0"/>
                      <w:marRight w:val="0"/>
                      <w:marTop w:val="0"/>
                      <w:marBottom w:val="0"/>
                      <w:divBdr>
                        <w:top w:val="none" w:sz="0" w:space="0" w:color="auto"/>
                        <w:left w:val="none" w:sz="0" w:space="0" w:color="auto"/>
                        <w:bottom w:val="none" w:sz="0" w:space="0" w:color="auto"/>
                        <w:right w:val="none" w:sz="0" w:space="0" w:color="auto"/>
                      </w:divBdr>
                    </w:div>
                    <w:div w:id="620379365">
                      <w:marLeft w:val="0"/>
                      <w:marRight w:val="0"/>
                      <w:marTop w:val="0"/>
                      <w:marBottom w:val="0"/>
                      <w:divBdr>
                        <w:top w:val="none" w:sz="0" w:space="0" w:color="auto"/>
                        <w:left w:val="none" w:sz="0" w:space="0" w:color="auto"/>
                        <w:bottom w:val="none" w:sz="0" w:space="0" w:color="auto"/>
                        <w:right w:val="none" w:sz="0" w:space="0" w:color="auto"/>
                      </w:divBdr>
                    </w:div>
                    <w:div w:id="728580375">
                      <w:marLeft w:val="0"/>
                      <w:marRight w:val="0"/>
                      <w:marTop w:val="0"/>
                      <w:marBottom w:val="0"/>
                      <w:divBdr>
                        <w:top w:val="none" w:sz="0" w:space="0" w:color="auto"/>
                        <w:left w:val="none" w:sz="0" w:space="0" w:color="auto"/>
                        <w:bottom w:val="none" w:sz="0" w:space="0" w:color="auto"/>
                        <w:right w:val="none" w:sz="0" w:space="0" w:color="auto"/>
                      </w:divBdr>
                    </w:div>
                    <w:div w:id="801658579">
                      <w:marLeft w:val="0"/>
                      <w:marRight w:val="0"/>
                      <w:marTop w:val="0"/>
                      <w:marBottom w:val="0"/>
                      <w:divBdr>
                        <w:top w:val="none" w:sz="0" w:space="0" w:color="auto"/>
                        <w:left w:val="none" w:sz="0" w:space="0" w:color="auto"/>
                        <w:bottom w:val="none" w:sz="0" w:space="0" w:color="auto"/>
                        <w:right w:val="none" w:sz="0" w:space="0" w:color="auto"/>
                      </w:divBdr>
                    </w:div>
                    <w:div w:id="1305501163">
                      <w:marLeft w:val="0"/>
                      <w:marRight w:val="0"/>
                      <w:marTop w:val="0"/>
                      <w:marBottom w:val="0"/>
                      <w:divBdr>
                        <w:top w:val="none" w:sz="0" w:space="0" w:color="auto"/>
                        <w:left w:val="none" w:sz="0" w:space="0" w:color="auto"/>
                        <w:bottom w:val="none" w:sz="0" w:space="0" w:color="auto"/>
                        <w:right w:val="none" w:sz="0" w:space="0" w:color="auto"/>
                      </w:divBdr>
                    </w:div>
                    <w:div w:id="1818301774">
                      <w:marLeft w:val="0"/>
                      <w:marRight w:val="0"/>
                      <w:marTop w:val="0"/>
                      <w:marBottom w:val="0"/>
                      <w:divBdr>
                        <w:top w:val="none" w:sz="0" w:space="0" w:color="auto"/>
                        <w:left w:val="none" w:sz="0" w:space="0" w:color="auto"/>
                        <w:bottom w:val="none" w:sz="0" w:space="0" w:color="auto"/>
                        <w:right w:val="none" w:sz="0" w:space="0" w:color="auto"/>
                      </w:divBdr>
                    </w:div>
                    <w:div w:id="1871214916">
                      <w:marLeft w:val="0"/>
                      <w:marRight w:val="0"/>
                      <w:marTop w:val="0"/>
                      <w:marBottom w:val="0"/>
                      <w:divBdr>
                        <w:top w:val="none" w:sz="0" w:space="0" w:color="auto"/>
                        <w:left w:val="none" w:sz="0" w:space="0" w:color="auto"/>
                        <w:bottom w:val="none" w:sz="0" w:space="0" w:color="auto"/>
                        <w:right w:val="none" w:sz="0" w:space="0" w:color="auto"/>
                      </w:divBdr>
                    </w:div>
                    <w:div w:id="2053458517">
                      <w:marLeft w:val="0"/>
                      <w:marRight w:val="0"/>
                      <w:marTop w:val="0"/>
                      <w:marBottom w:val="0"/>
                      <w:divBdr>
                        <w:top w:val="none" w:sz="0" w:space="0" w:color="auto"/>
                        <w:left w:val="none" w:sz="0" w:space="0" w:color="auto"/>
                        <w:bottom w:val="none" w:sz="0" w:space="0" w:color="auto"/>
                        <w:right w:val="none" w:sz="0" w:space="0" w:color="auto"/>
                      </w:divBdr>
                    </w:div>
                  </w:divsChild>
                </w:div>
                <w:div w:id="87652497">
                  <w:marLeft w:val="0"/>
                  <w:marRight w:val="0"/>
                  <w:marTop w:val="0"/>
                  <w:marBottom w:val="0"/>
                  <w:divBdr>
                    <w:top w:val="none" w:sz="0" w:space="0" w:color="auto"/>
                    <w:left w:val="none" w:sz="0" w:space="0" w:color="auto"/>
                    <w:bottom w:val="none" w:sz="0" w:space="0" w:color="auto"/>
                    <w:right w:val="none" w:sz="0" w:space="0" w:color="auto"/>
                  </w:divBdr>
                  <w:divsChild>
                    <w:div w:id="41831166">
                      <w:marLeft w:val="0"/>
                      <w:marRight w:val="0"/>
                      <w:marTop w:val="0"/>
                      <w:marBottom w:val="0"/>
                      <w:divBdr>
                        <w:top w:val="none" w:sz="0" w:space="0" w:color="auto"/>
                        <w:left w:val="none" w:sz="0" w:space="0" w:color="auto"/>
                        <w:bottom w:val="none" w:sz="0" w:space="0" w:color="auto"/>
                        <w:right w:val="none" w:sz="0" w:space="0" w:color="auto"/>
                      </w:divBdr>
                    </w:div>
                    <w:div w:id="293027424">
                      <w:marLeft w:val="0"/>
                      <w:marRight w:val="0"/>
                      <w:marTop w:val="0"/>
                      <w:marBottom w:val="0"/>
                      <w:divBdr>
                        <w:top w:val="none" w:sz="0" w:space="0" w:color="auto"/>
                        <w:left w:val="none" w:sz="0" w:space="0" w:color="auto"/>
                        <w:bottom w:val="none" w:sz="0" w:space="0" w:color="auto"/>
                        <w:right w:val="none" w:sz="0" w:space="0" w:color="auto"/>
                      </w:divBdr>
                    </w:div>
                    <w:div w:id="482232582">
                      <w:marLeft w:val="0"/>
                      <w:marRight w:val="0"/>
                      <w:marTop w:val="0"/>
                      <w:marBottom w:val="0"/>
                      <w:divBdr>
                        <w:top w:val="none" w:sz="0" w:space="0" w:color="auto"/>
                        <w:left w:val="none" w:sz="0" w:space="0" w:color="auto"/>
                        <w:bottom w:val="none" w:sz="0" w:space="0" w:color="auto"/>
                        <w:right w:val="none" w:sz="0" w:space="0" w:color="auto"/>
                      </w:divBdr>
                    </w:div>
                  </w:divsChild>
                </w:div>
                <w:div w:id="129444542">
                  <w:marLeft w:val="0"/>
                  <w:marRight w:val="0"/>
                  <w:marTop w:val="0"/>
                  <w:marBottom w:val="0"/>
                  <w:divBdr>
                    <w:top w:val="none" w:sz="0" w:space="0" w:color="auto"/>
                    <w:left w:val="none" w:sz="0" w:space="0" w:color="auto"/>
                    <w:bottom w:val="none" w:sz="0" w:space="0" w:color="auto"/>
                    <w:right w:val="none" w:sz="0" w:space="0" w:color="auto"/>
                  </w:divBdr>
                  <w:divsChild>
                    <w:div w:id="1853763657">
                      <w:marLeft w:val="0"/>
                      <w:marRight w:val="0"/>
                      <w:marTop w:val="0"/>
                      <w:marBottom w:val="0"/>
                      <w:divBdr>
                        <w:top w:val="none" w:sz="0" w:space="0" w:color="auto"/>
                        <w:left w:val="none" w:sz="0" w:space="0" w:color="auto"/>
                        <w:bottom w:val="none" w:sz="0" w:space="0" w:color="auto"/>
                        <w:right w:val="none" w:sz="0" w:space="0" w:color="auto"/>
                      </w:divBdr>
                    </w:div>
                  </w:divsChild>
                </w:div>
                <w:div w:id="139423150">
                  <w:marLeft w:val="0"/>
                  <w:marRight w:val="0"/>
                  <w:marTop w:val="0"/>
                  <w:marBottom w:val="0"/>
                  <w:divBdr>
                    <w:top w:val="none" w:sz="0" w:space="0" w:color="auto"/>
                    <w:left w:val="none" w:sz="0" w:space="0" w:color="auto"/>
                    <w:bottom w:val="none" w:sz="0" w:space="0" w:color="auto"/>
                    <w:right w:val="none" w:sz="0" w:space="0" w:color="auto"/>
                  </w:divBdr>
                  <w:divsChild>
                    <w:div w:id="222302514">
                      <w:marLeft w:val="0"/>
                      <w:marRight w:val="0"/>
                      <w:marTop w:val="0"/>
                      <w:marBottom w:val="0"/>
                      <w:divBdr>
                        <w:top w:val="none" w:sz="0" w:space="0" w:color="auto"/>
                        <w:left w:val="none" w:sz="0" w:space="0" w:color="auto"/>
                        <w:bottom w:val="none" w:sz="0" w:space="0" w:color="auto"/>
                        <w:right w:val="none" w:sz="0" w:space="0" w:color="auto"/>
                      </w:divBdr>
                    </w:div>
                    <w:div w:id="339814256">
                      <w:marLeft w:val="0"/>
                      <w:marRight w:val="0"/>
                      <w:marTop w:val="0"/>
                      <w:marBottom w:val="0"/>
                      <w:divBdr>
                        <w:top w:val="none" w:sz="0" w:space="0" w:color="auto"/>
                        <w:left w:val="none" w:sz="0" w:space="0" w:color="auto"/>
                        <w:bottom w:val="none" w:sz="0" w:space="0" w:color="auto"/>
                        <w:right w:val="none" w:sz="0" w:space="0" w:color="auto"/>
                      </w:divBdr>
                    </w:div>
                    <w:div w:id="508061042">
                      <w:marLeft w:val="0"/>
                      <w:marRight w:val="0"/>
                      <w:marTop w:val="0"/>
                      <w:marBottom w:val="0"/>
                      <w:divBdr>
                        <w:top w:val="none" w:sz="0" w:space="0" w:color="auto"/>
                        <w:left w:val="none" w:sz="0" w:space="0" w:color="auto"/>
                        <w:bottom w:val="none" w:sz="0" w:space="0" w:color="auto"/>
                        <w:right w:val="none" w:sz="0" w:space="0" w:color="auto"/>
                      </w:divBdr>
                    </w:div>
                    <w:div w:id="890074988">
                      <w:marLeft w:val="0"/>
                      <w:marRight w:val="0"/>
                      <w:marTop w:val="0"/>
                      <w:marBottom w:val="0"/>
                      <w:divBdr>
                        <w:top w:val="none" w:sz="0" w:space="0" w:color="auto"/>
                        <w:left w:val="none" w:sz="0" w:space="0" w:color="auto"/>
                        <w:bottom w:val="none" w:sz="0" w:space="0" w:color="auto"/>
                        <w:right w:val="none" w:sz="0" w:space="0" w:color="auto"/>
                      </w:divBdr>
                    </w:div>
                    <w:div w:id="1621648134">
                      <w:marLeft w:val="0"/>
                      <w:marRight w:val="0"/>
                      <w:marTop w:val="0"/>
                      <w:marBottom w:val="0"/>
                      <w:divBdr>
                        <w:top w:val="none" w:sz="0" w:space="0" w:color="auto"/>
                        <w:left w:val="none" w:sz="0" w:space="0" w:color="auto"/>
                        <w:bottom w:val="none" w:sz="0" w:space="0" w:color="auto"/>
                        <w:right w:val="none" w:sz="0" w:space="0" w:color="auto"/>
                      </w:divBdr>
                    </w:div>
                  </w:divsChild>
                </w:div>
                <w:div w:id="192306690">
                  <w:marLeft w:val="0"/>
                  <w:marRight w:val="0"/>
                  <w:marTop w:val="0"/>
                  <w:marBottom w:val="0"/>
                  <w:divBdr>
                    <w:top w:val="none" w:sz="0" w:space="0" w:color="auto"/>
                    <w:left w:val="none" w:sz="0" w:space="0" w:color="auto"/>
                    <w:bottom w:val="none" w:sz="0" w:space="0" w:color="auto"/>
                    <w:right w:val="none" w:sz="0" w:space="0" w:color="auto"/>
                  </w:divBdr>
                  <w:divsChild>
                    <w:div w:id="1403330916">
                      <w:marLeft w:val="0"/>
                      <w:marRight w:val="0"/>
                      <w:marTop w:val="0"/>
                      <w:marBottom w:val="0"/>
                      <w:divBdr>
                        <w:top w:val="none" w:sz="0" w:space="0" w:color="auto"/>
                        <w:left w:val="none" w:sz="0" w:space="0" w:color="auto"/>
                        <w:bottom w:val="none" w:sz="0" w:space="0" w:color="auto"/>
                        <w:right w:val="none" w:sz="0" w:space="0" w:color="auto"/>
                      </w:divBdr>
                    </w:div>
                  </w:divsChild>
                </w:div>
                <w:div w:id="194202424">
                  <w:marLeft w:val="0"/>
                  <w:marRight w:val="0"/>
                  <w:marTop w:val="0"/>
                  <w:marBottom w:val="0"/>
                  <w:divBdr>
                    <w:top w:val="none" w:sz="0" w:space="0" w:color="auto"/>
                    <w:left w:val="none" w:sz="0" w:space="0" w:color="auto"/>
                    <w:bottom w:val="none" w:sz="0" w:space="0" w:color="auto"/>
                    <w:right w:val="none" w:sz="0" w:space="0" w:color="auto"/>
                  </w:divBdr>
                  <w:divsChild>
                    <w:div w:id="2112705355">
                      <w:marLeft w:val="0"/>
                      <w:marRight w:val="0"/>
                      <w:marTop w:val="0"/>
                      <w:marBottom w:val="0"/>
                      <w:divBdr>
                        <w:top w:val="none" w:sz="0" w:space="0" w:color="auto"/>
                        <w:left w:val="none" w:sz="0" w:space="0" w:color="auto"/>
                        <w:bottom w:val="none" w:sz="0" w:space="0" w:color="auto"/>
                        <w:right w:val="none" w:sz="0" w:space="0" w:color="auto"/>
                      </w:divBdr>
                    </w:div>
                  </w:divsChild>
                </w:div>
                <w:div w:id="224682712">
                  <w:marLeft w:val="0"/>
                  <w:marRight w:val="0"/>
                  <w:marTop w:val="0"/>
                  <w:marBottom w:val="0"/>
                  <w:divBdr>
                    <w:top w:val="none" w:sz="0" w:space="0" w:color="auto"/>
                    <w:left w:val="none" w:sz="0" w:space="0" w:color="auto"/>
                    <w:bottom w:val="none" w:sz="0" w:space="0" w:color="auto"/>
                    <w:right w:val="none" w:sz="0" w:space="0" w:color="auto"/>
                  </w:divBdr>
                  <w:divsChild>
                    <w:div w:id="1702247699">
                      <w:marLeft w:val="0"/>
                      <w:marRight w:val="0"/>
                      <w:marTop w:val="0"/>
                      <w:marBottom w:val="0"/>
                      <w:divBdr>
                        <w:top w:val="none" w:sz="0" w:space="0" w:color="auto"/>
                        <w:left w:val="none" w:sz="0" w:space="0" w:color="auto"/>
                        <w:bottom w:val="none" w:sz="0" w:space="0" w:color="auto"/>
                        <w:right w:val="none" w:sz="0" w:space="0" w:color="auto"/>
                      </w:divBdr>
                    </w:div>
                  </w:divsChild>
                </w:div>
                <w:div w:id="291907240">
                  <w:marLeft w:val="0"/>
                  <w:marRight w:val="0"/>
                  <w:marTop w:val="0"/>
                  <w:marBottom w:val="0"/>
                  <w:divBdr>
                    <w:top w:val="none" w:sz="0" w:space="0" w:color="auto"/>
                    <w:left w:val="none" w:sz="0" w:space="0" w:color="auto"/>
                    <w:bottom w:val="none" w:sz="0" w:space="0" w:color="auto"/>
                    <w:right w:val="none" w:sz="0" w:space="0" w:color="auto"/>
                  </w:divBdr>
                  <w:divsChild>
                    <w:div w:id="1903175042">
                      <w:marLeft w:val="0"/>
                      <w:marRight w:val="0"/>
                      <w:marTop w:val="0"/>
                      <w:marBottom w:val="0"/>
                      <w:divBdr>
                        <w:top w:val="none" w:sz="0" w:space="0" w:color="auto"/>
                        <w:left w:val="none" w:sz="0" w:space="0" w:color="auto"/>
                        <w:bottom w:val="none" w:sz="0" w:space="0" w:color="auto"/>
                        <w:right w:val="none" w:sz="0" w:space="0" w:color="auto"/>
                      </w:divBdr>
                    </w:div>
                  </w:divsChild>
                </w:div>
                <w:div w:id="293950833">
                  <w:marLeft w:val="0"/>
                  <w:marRight w:val="0"/>
                  <w:marTop w:val="0"/>
                  <w:marBottom w:val="0"/>
                  <w:divBdr>
                    <w:top w:val="none" w:sz="0" w:space="0" w:color="auto"/>
                    <w:left w:val="none" w:sz="0" w:space="0" w:color="auto"/>
                    <w:bottom w:val="none" w:sz="0" w:space="0" w:color="auto"/>
                    <w:right w:val="none" w:sz="0" w:space="0" w:color="auto"/>
                  </w:divBdr>
                  <w:divsChild>
                    <w:div w:id="1066687745">
                      <w:marLeft w:val="0"/>
                      <w:marRight w:val="0"/>
                      <w:marTop w:val="0"/>
                      <w:marBottom w:val="0"/>
                      <w:divBdr>
                        <w:top w:val="none" w:sz="0" w:space="0" w:color="auto"/>
                        <w:left w:val="none" w:sz="0" w:space="0" w:color="auto"/>
                        <w:bottom w:val="none" w:sz="0" w:space="0" w:color="auto"/>
                        <w:right w:val="none" w:sz="0" w:space="0" w:color="auto"/>
                      </w:divBdr>
                    </w:div>
                  </w:divsChild>
                </w:div>
                <w:div w:id="350033775">
                  <w:marLeft w:val="0"/>
                  <w:marRight w:val="0"/>
                  <w:marTop w:val="0"/>
                  <w:marBottom w:val="0"/>
                  <w:divBdr>
                    <w:top w:val="none" w:sz="0" w:space="0" w:color="auto"/>
                    <w:left w:val="none" w:sz="0" w:space="0" w:color="auto"/>
                    <w:bottom w:val="none" w:sz="0" w:space="0" w:color="auto"/>
                    <w:right w:val="none" w:sz="0" w:space="0" w:color="auto"/>
                  </w:divBdr>
                  <w:divsChild>
                    <w:div w:id="732386494">
                      <w:marLeft w:val="0"/>
                      <w:marRight w:val="0"/>
                      <w:marTop w:val="0"/>
                      <w:marBottom w:val="0"/>
                      <w:divBdr>
                        <w:top w:val="none" w:sz="0" w:space="0" w:color="auto"/>
                        <w:left w:val="none" w:sz="0" w:space="0" w:color="auto"/>
                        <w:bottom w:val="none" w:sz="0" w:space="0" w:color="auto"/>
                        <w:right w:val="none" w:sz="0" w:space="0" w:color="auto"/>
                      </w:divBdr>
                    </w:div>
                  </w:divsChild>
                </w:div>
                <w:div w:id="353189964">
                  <w:marLeft w:val="0"/>
                  <w:marRight w:val="0"/>
                  <w:marTop w:val="0"/>
                  <w:marBottom w:val="0"/>
                  <w:divBdr>
                    <w:top w:val="none" w:sz="0" w:space="0" w:color="auto"/>
                    <w:left w:val="none" w:sz="0" w:space="0" w:color="auto"/>
                    <w:bottom w:val="none" w:sz="0" w:space="0" w:color="auto"/>
                    <w:right w:val="none" w:sz="0" w:space="0" w:color="auto"/>
                  </w:divBdr>
                  <w:divsChild>
                    <w:div w:id="901716697">
                      <w:marLeft w:val="0"/>
                      <w:marRight w:val="0"/>
                      <w:marTop w:val="0"/>
                      <w:marBottom w:val="0"/>
                      <w:divBdr>
                        <w:top w:val="none" w:sz="0" w:space="0" w:color="auto"/>
                        <w:left w:val="none" w:sz="0" w:space="0" w:color="auto"/>
                        <w:bottom w:val="none" w:sz="0" w:space="0" w:color="auto"/>
                        <w:right w:val="none" w:sz="0" w:space="0" w:color="auto"/>
                      </w:divBdr>
                    </w:div>
                  </w:divsChild>
                </w:div>
                <w:div w:id="389573182">
                  <w:marLeft w:val="0"/>
                  <w:marRight w:val="0"/>
                  <w:marTop w:val="0"/>
                  <w:marBottom w:val="0"/>
                  <w:divBdr>
                    <w:top w:val="none" w:sz="0" w:space="0" w:color="auto"/>
                    <w:left w:val="none" w:sz="0" w:space="0" w:color="auto"/>
                    <w:bottom w:val="none" w:sz="0" w:space="0" w:color="auto"/>
                    <w:right w:val="none" w:sz="0" w:space="0" w:color="auto"/>
                  </w:divBdr>
                  <w:divsChild>
                    <w:div w:id="244845853">
                      <w:marLeft w:val="0"/>
                      <w:marRight w:val="0"/>
                      <w:marTop w:val="0"/>
                      <w:marBottom w:val="0"/>
                      <w:divBdr>
                        <w:top w:val="none" w:sz="0" w:space="0" w:color="auto"/>
                        <w:left w:val="none" w:sz="0" w:space="0" w:color="auto"/>
                        <w:bottom w:val="none" w:sz="0" w:space="0" w:color="auto"/>
                        <w:right w:val="none" w:sz="0" w:space="0" w:color="auto"/>
                      </w:divBdr>
                    </w:div>
                  </w:divsChild>
                </w:div>
                <w:div w:id="412362727">
                  <w:marLeft w:val="0"/>
                  <w:marRight w:val="0"/>
                  <w:marTop w:val="0"/>
                  <w:marBottom w:val="0"/>
                  <w:divBdr>
                    <w:top w:val="none" w:sz="0" w:space="0" w:color="auto"/>
                    <w:left w:val="none" w:sz="0" w:space="0" w:color="auto"/>
                    <w:bottom w:val="none" w:sz="0" w:space="0" w:color="auto"/>
                    <w:right w:val="none" w:sz="0" w:space="0" w:color="auto"/>
                  </w:divBdr>
                  <w:divsChild>
                    <w:div w:id="199365317">
                      <w:marLeft w:val="0"/>
                      <w:marRight w:val="0"/>
                      <w:marTop w:val="0"/>
                      <w:marBottom w:val="0"/>
                      <w:divBdr>
                        <w:top w:val="none" w:sz="0" w:space="0" w:color="auto"/>
                        <w:left w:val="none" w:sz="0" w:space="0" w:color="auto"/>
                        <w:bottom w:val="none" w:sz="0" w:space="0" w:color="auto"/>
                        <w:right w:val="none" w:sz="0" w:space="0" w:color="auto"/>
                      </w:divBdr>
                    </w:div>
                    <w:div w:id="219177725">
                      <w:marLeft w:val="0"/>
                      <w:marRight w:val="0"/>
                      <w:marTop w:val="0"/>
                      <w:marBottom w:val="0"/>
                      <w:divBdr>
                        <w:top w:val="none" w:sz="0" w:space="0" w:color="auto"/>
                        <w:left w:val="none" w:sz="0" w:space="0" w:color="auto"/>
                        <w:bottom w:val="none" w:sz="0" w:space="0" w:color="auto"/>
                        <w:right w:val="none" w:sz="0" w:space="0" w:color="auto"/>
                      </w:divBdr>
                    </w:div>
                    <w:div w:id="791434747">
                      <w:marLeft w:val="0"/>
                      <w:marRight w:val="0"/>
                      <w:marTop w:val="0"/>
                      <w:marBottom w:val="0"/>
                      <w:divBdr>
                        <w:top w:val="none" w:sz="0" w:space="0" w:color="auto"/>
                        <w:left w:val="none" w:sz="0" w:space="0" w:color="auto"/>
                        <w:bottom w:val="none" w:sz="0" w:space="0" w:color="auto"/>
                        <w:right w:val="none" w:sz="0" w:space="0" w:color="auto"/>
                      </w:divBdr>
                    </w:div>
                    <w:div w:id="851257898">
                      <w:marLeft w:val="0"/>
                      <w:marRight w:val="0"/>
                      <w:marTop w:val="0"/>
                      <w:marBottom w:val="0"/>
                      <w:divBdr>
                        <w:top w:val="none" w:sz="0" w:space="0" w:color="auto"/>
                        <w:left w:val="none" w:sz="0" w:space="0" w:color="auto"/>
                        <w:bottom w:val="none" w:sz="0" w:space="0" w:color="auto"/>
                        <w:right w:val="none" w:sz="0" w:space="0" w:color="auto"/>
                      </w:divBdr>
                    </w:div>
                    <w:div w:id="961617284">
                      <w:marLeft w:val="0"/>
                      <w:marRight w:val="0"/>
                      <w:marTop w:val="0"/>
                      <w:marBottom w:val="0"/>
                      <w:divBdr>
                        <w:top w:val="none" w:sz="0" w:space="0" w:color="auto"/>
                        <w:left w:val="none" w:sz="0" w:space="0" w:color="auto"/>
                        <w:bottom w:val="none" w:sz="0" w:space="0" w:color="auto"/>
                        <w:right w:val="none" w:sz="0" w:space="0" w:color="auto"/>
                      </w:divBdr>
                    </w:div>
                    <w:div w:id="1014958936">
                      <w:marLeft w:val="0"/>
                      <w:marRight w:val="0"/>
                      <w:marTop w:val="0"/>
                      <w:marBottom w:val="0"/>
                      <w:divBdr>
                        <w:top w:val="none" w:sz="0" w:space="0" w:color="auto"/>
                        <w:left w:val="none" w:sz="0" w:space="0" w:color="auto"/>
                        <w:bottom w:val="none" w:sz="0" w:space="0" w:color="auto"/>
                        <w:right w:val="none" w:sz="0" w:space="0" w:color="auto"/>
                      </w:divBdr>
                    </w:div>
                    <w:div w:id="1087769831">
                      <w:marLeft w:val="0"/>
                      <w:marRight w:val="0"/>
                      <w:marTop w:val="0"/>
                      <w:marBottom w:val="0"/>
                      <w:divBdr>
                        <w:top w:val="none" w:sz="0" w:space="0" w:color="auto"/>
                        <w:left w:val="none" w:sz="0" w:space="0" w:color="auto"/>
                        <w:bottom w:val="none" w:sz="0" w:space="0" w:color="auto"/>
                        <w:right w:val="none" w:sz="0" w:space="0" w:color="auto"/>
                      </w:divBdr>
                    </w:div>
                    <w:div w:id="1183589855">
                      <w:marLeft w:val="0"/>
                      <w:marRight w:val="0"/>
                      <w:marTop w:val="0"/>
                      <w:marBottom w:val="0"/>
                      <w:divBdr>
                        <w:top w:val="none" w:sz="0" w:space="0" w:color="auto"/>
                        <w:left w:val="none" w:sz="0" w:space="0" w:color="auto"/>
                        <w:bottom w:val="none" w:sz="0" w:space="0" w:color="auto"/>
                        <w:right w:val="none" w:sz="0" w:space="0" w:color="auto"/>
                      </w:divBdr>
                    </w:div>
                    <w:div w:id="1287732471">
                      <w:marLeft w:val="0"/>
                      <w:marRight w:val="0"/>
                      <w:marTop w:val="0"/>
                      <w:marBottom w:val="0"/>
                      <w:divBdr>
                        <w:top w:val="none" w:sz="0" w:space="0" w:color="auto"/>
                        <w:left w:val="none" w:sz="0" w:space="0" w:color="auto"/>
                        <w:bottom w:val="none" w:sz="0" w:space="0" w:color="auto"/>
                        <w:right w:val="none" w:sz="0" w:space="0" w:color="auto"/>
                      </w:divBdr>
                    </w:div>
                    <w:div w:id="1307081377">
                      <w:marLeft w:val="0"/>
                      <w:marRight w:val="0"/>
                      <w:marTop w:val="0"/>
                      <w:marBottom w:val="0"/>
                      <w:divBdr>
                        <w:top w:val="none" w:sz="0" w:space="0" w:color="auto"/>
                        <w:left w:val="none" w:sz="0" w:space="0" w:color="auto"/>
                        <w:bottom w:val="none" w:sz="0" w:space="0" w:color="auto"/>
                        <w:right w:val="none" w:sz="0" w:space="0" w:color="auto"/>
                      </w:divBdr>
                    </w:div>
                    <w:div w:id="1587686876">
                      <w:marLeft w:val="0"/>
                      <w:marRight w:val="0"/>
                      <w:marTop w:val="0"/>
                      <w:marBottom w:val="0"/>
                      <w:divBdr>
                        <w:top w:val="none" w:sz="0" w:space="0" w:color="auto"/>
                        <w:left w:val="none" w:sz="0" w:space="0" w:color="auto"/>
                        <w:bottom w:val="none" w:sz="0" w:space="0" w:color="auto"/>
                        <w:right w:val="none" w:sz="0" w:space="0" w:color="auto"/>
                      </w:divBdr>
                    </w:div>
                    <w:div w:id="2050103736">
                      <w:marLeft w:val="0"/>
                      <w:marRight w:val="0"/>
                      <w:marTop w:val="0"/>
                      <w:marBottom w:val="0"/>
                      <w:divBdr>
                        <w:top w:val="none" w:sz="0" w:space="0" w:color="auto"/>
                        <w:left w:val="none" w:sz="0" w:space="0" w:color="auto"/>
                        <w:bottom w:val="none" w:sz="0" w:space="0" w:color="auto"/>
                        <w:right w:val="none" w:sz="0" w:space="0" w:color="auto"/>
                      </w:divBdr>
                    </w:div>
                    <w:div w:id="2086292467">
                      <w:marLeft w:val="0"/>
                      <w:marRight w:val="0"/>
                      <w:marTop w:val="0"/>
                      <w:marBottom w:val="0"/>
                      <w:divBdr>
                        <w:top w:val="none" w:sz="0" w:space="0" w:color="auto"/>
                        <w:left w:val="none" w:sz="0" w:space="0" w:color="auto"/>
                        <w:bottom w:val="none" w:sz="0" w:space="0" w:color="auto"/>
                        <w:right w:val="none" w:sz="0" w:space="0" w:color="auto"/>
                      </w:divBdr>
                    </w:div>
                    <w:div w:id="2111003834">
                      <w:marLeft w:val="0"/>
                      <w:marRight w:val="0"/>
                      <w:marTop w:val="0"/>
                      <w:marBottom w:val="0"/>
                      <w:divBdr>
                        <w:top w:val="none" w:sz="0" w:space="0" w:color="auto"/>
                        <w:left w:val="none" w:sz="0" w:space="0" w:color="auto"/>
                        <w:bottom w:val="none" w:sz="0" w:space="0" w:color="auto"/>
                        <w:right w:val="none" w:sz="0" w:space="0" w:color="auto"/>
                      </w:divBdr>
                    </w:div>
                    <w:div w:id="2112046776">
                      <w:marLeft w:val="0"/>
                      <w:marRight w:val="0"/>
                      <w:marTop w:val="0"/>
                      <w:marBottom w:val="0"/>
                      <w:divBdr>
                        <w:top w:val="none" w:sz="0" w:space="0" w:color="auto"/>
                        <w:left w:val="none" w:sz="0" w:space="0" w:color="auto"/>
                        <w:bottom w:val="none" w:sz="0" w:space="0" w:color="auto"/>
                        <w:right w:val="none" w:sz="0" w:space="0" w:color="auto"/>
                      </w:divBdr>
                    </w:div>
                    <w:div w:id="2123070027">
                      <w:marLeft w:val="0"/>
                      <w:marRight w:val="0"/>
                      <w:marTop w:val="0"/>
                      <w:marBottom w:val="0"/>
                      <w:divBdr>
                        <w:top w:val="none" w:sz="0" w:space="0" w:color="auto"/>
                        <w:left w:val="none" w:sz="0" w:space="0" w:color="auto"/>
                        <w:bottom w:val="none" w:sz="0" w:space="0" w:color="auto"/>
                        <w:right w:val="none" w:sz="0" w:space="0" w:color="auto"/>
                      </w:divBdr>
                    </w:div>
                  </w:divsChild>
                </w:div>
                <w:div w:id="423914560">
                  <w:marLeft w:val="0"/>
                  <w:marRight w:val="0"/>
                  <w:marTop w:val="0"/>
                  <w:marBottom w:val="0"/>
                  <w:divBdr>
                    <w:top w:val="none" w:sz="0" w:space="0" w:color="auto"/>
                    <w:left w:val="none" w:sz="0" w:space="0" w:color="auto"/>
                    <w:bottom w:val="none" w:sz="0" w:space="0" w:color="auto"/>
                    <w:right w:val="none" w:sz="0" w:space="0" w:color="auto"/>
                  </w:divBdr>
                  <w:divsChild>
                    <w:div w:id="2081903008">
                      <w:marLeft w:val="0"/>
                      <w:marRight w:val="0"/>
                      <w:marTop w:val="0"/>
                      <w:marBottom w:val="0"/>
                      <w:divBdr>
                        <w:top w:val="none" w:sz="0" w:space="0" w:color="auto"/>
                        <w:left w:val="none" w:sz="0" w:space="0" w:color="auto"/>
                        <w:bottom w:val="none" w:sz="0" w:space="0" w:color="auto"/>
                        <w:right w:val="none" w:sz="0" w:space="0" w:color="auto"/>
                      </w:divBdr>
                    </w:div>
                  </w:divsChild>
                </w:div>
                <w:div w:id="494148537">
                  <w:marLeft w:val="0"/>
                  <w:marRight w:val="0"/>
                  <w:marTop w:val="0"/>
                  <w:marBottom w:val="0"/>
                  <w:divBdr>
                    <w:top w:val="none" w:sz="0" w:space="0" w:color="auto"/>
                    <w:left w:val="none" w:sz="0" w:space="0" w:color="auto"/>
                    <w:bottom w:val="none" w:sz="0" w:space="0" w:color="auto"/>
                    <w:right w:val="none" w:sz="0" w:space="0" w:color="auto"/>
                  </w:divBdr>
                  <w:divsChild>
                    <w:div w:id="1206793837">
                      <w:marLeft w:val="0"/>
                      <w:marRight w:val="0"/>
                      <w:marTop w:val="0"/>
                      <w:marBottom w:val="0"/>
                      <w:divBdr>
                        <w:top w:val="none" w:sz="0" w:space="0" w:color="auto"/>
                        <w:left w:val="none" w:sz="0" w:space="0" w:color="auto"/>
                        <w:bottom w:val="none" w:sz="0" w:space="0" w:color="auto"/>
                        <w:right w:val="none" w:sz="0" w:space="0" w:color="auto"/>
                      </w:divBdr>
                    </w:div>
                  </w:divsChild>
                </w:div>
                <w:div w:id="517933368">
                  <w:marLeft w:val="0"/>
                  <w:marRight w:val="0"/>
                  <w:marTop w:val="0"/>
                  <w:marBottom w:val="0"/>
                  <w:divBdr>
                    <w:top w:val="none" w:sz="0" w:space="0" w:color="auto"/>
                    <w:left w:val="none" w:sz="0" w:space="0" w:color="auto"/>
                    <w:bottom w:val="none" w:sz="0" w:space="0" w:color="auto"/>
                    <w:right w:val="none" w:sz="0" w:space="0" w:color="auto"/>
                  </w:divBdr>
                  <w:divsChild>
                    <w:div w:id="1323847266">
                      <w:marLeft w:val="0"/>
                      <w:marRight w:val="0"/>
                      <w:marTop w:val="0"/>
                      <w:marBottom w:val="0"/>
                      <w:divBdr>
                        <w:top w:val="none" w:sz="0" w:space="0" w:color="auto"/>
                        <w:left w:val="none" w:sz="0" w:space="0" w:color="auto"/>
                        <w:bottom w:val="none" w:sz="0" w:space="0" w:color="auto"/>
                        <w:right w:val="none" w:sz="0" w:space="0" w:color="auto"/>
                      </w:divBdr>
                    </w:div>
                  </w:divsChild>
                </w:div>
                <w:div w:id="529956193">
                  <w:marLeft w:val="0"/>
                  <w:marRight w:val="0"/>
                  <w:marTop w:val="0"/>
                  <w:marBottom w:val="0"/>
                  <w:divBdr>
                    <w:top w:val="none" w:sz="0" w:space="0" w:color="auto"/>
                    <w:left w:val="none" w:sz="0" w:space="0" w:color="auto"/>
                    <w:bottom w:val="none" w:sz="0" w:space="0" w:color="auto"/>
                    <w:right w:val="none" w:sz="0" w:space="0" w:color="auto"/>
                  </w:divBdr>
                  <w:divsChild>
                    <w:div w:id="106241564">
                      <w:marLeft w:val="0"/>
                      <w:marRight w:val="0"/>
                      <w:marTop w:val="0"/>
                      <w:marBottom w:val="0"/>
                      <w:divBdr>
                        <w:top w:val="none" w:sz="0" w:space="0" w:color="auto"/>
                        <w:left w:val="none" w:sz="0" w:space="0" w:color="auto"/>
                        <w:bottom w:val="none" w:sz="0" w:space="0" w:color="auto"/>
                        <w:right w:val="none" w:sz="0" w:space="0" w:color="auto"/>
                      </w:divBdr>
                    </w:div>
                  </w:divsChild>
                </w:div>
                <w:div w:id="631981725">
                  <w:marLeft w:val="0"/>
                  <w:marRight w:val="0"/>
                  <w:marTop w:val="0"/>
                  <w:marBottom w:val="0"/>
                  <w:divBdr>
                    <w:top w:val="none" w:sz="0" w:space="0" w:color="auto"/>
                    <w:left w:val="none" w:sz="0" w:space="0" w:color="auto"/>
                    <w:bottom w:val="none" w:sz="0" w:space="0" w:color="auto"/>
                    <w:right w:val="none" w:sz="0" w:space="0" w:color="auto"/>
                  </w:divBdr>
                  <w:divsChild>
                    <w:div w:id="2039551272">
                      <w:marLeft w:val="0"/>
                      <w:marRight w:val="0"/>
                      <w:marTop w:val="0"/>
                      <w:marBottom w:val="0"/>
                      <w:divBdr>
                        <w:top w:val="none" w:sz="0" w:space="0" w:color="auto"/>
                        <w:left w:val="none" w:sz="0" w:space="0" w:color="auto"/>
                        <w:bottom w:val="none" w:sz="0" w:space="0" w:color="auto"/>
                        <w:right w:val="none" w:sz="0" w:space="0" w:color="auto"/>
                      </w:divBdr>
                    </w:div>
                  </w:divsChild>
                </w:div>
                <w:div w:id="679627807">
                  <w:marLeft w:val="0"/>
                  <w:marRight w:val="0"/>
                  <w:marTop w:val="0"/>
                  <w:marBottom w:val="0"/>
                  <w:divBdr>
                    <w:top w:val="none" w:sz="0" w:space="0" w:color="auto"/>
                    <w:left w:val="none" w:sz="0" w:space="0" w:color="auto"/>
                    <w:bottom w:val="none" w:sz="0" w:space="0" w:color="auto"/>
                    <w:right w:val="none" w:sz="0" w:space="0" w:color="auto"/>
                  </w:divBdr>
                  <w:divsChild>
                    <w:div w:id="367799180">
                      <w:marLeft w:val="0"/>
                      <w:marRight w:val="0"/>
                      <w:marTop w:val="0"/>
                      <w:marBottom w:val="0"/>
                      <w:divBdr>
                        <w:top w:val="none" w:sz="0" w:space="0" w:color="auto"/>
                        <w:left w:val="none" w:sz="0" w:space="0" w:color="auto"/>
                        <w:bottom w:val="none" w:sz="0" w:space="0" w:color="auto"/>
                        <w:right w:val="none" w:sz="0" w:space="0" w:color="auto"/>
                      </w:divBdr>
                    </w:div>
                  </w:divsChild>
                </w:div>
                <w:div w:id="793182817">
                  <w:marLeft w:val="0"/>
                  <w:marRight w:val="0"/>
                  <w:marTop w:val="0"/>
                  <w:marBottom w:val="0"/>
                  <w:divBdr>
                    <w:top w:val="none" w:sz="0" w:space="0" w:color="auto"/>
                    <w:left w:val="none" w:sz="0" w:space="0" w:color="auto"/>
                    <w:bottom w:val="none" w:sz="0" w:space="0" w:color="auto"/>
                    <w:right w:val="none" w:sz="0" w:space="0" w:color="auto"/>
                  </w:divBdr>
                  <w:divsChild>
                    <w:div w:id="383211524">
                      <w:marLeft w:val="0"/>
                      <w:marRight w:val="0"/>
                      <w:marTop w:val="0"/>
                      <w:marBottom w:val="0"/>
                      <w:divBdr>
                        <w:top w:val="none" w:sz="0" w:space="0" w:color="auto"/>
                        <w:left w:val="none" w:sz="0" w:space="0" w:color="auto"/>
                        <w:bottom w:val="none" w:sz="0" w:space="0" w:color="auto"/>
                        <w:right w:val="none" w:sz="0" w:space="0" w:color="auto"/>
                      </w:divBdr>
                    </w:div>
                  </w:divsChild>
                </w:div>
                <w:div w:id="818692850">
                  <w:marLeft w:val="0"/>
                  <w:marRight w:val="0"/>
                  <w:marTop w:val="0"/>
                  <w:marBottom w:val="0"/>
                  <w:divBdr>
                    <w:top w:val="none" w:sz="0" w:space="0" w:color="auto"/>
                    <w:left w:val="none" w:sz="0" w:space="0" w:color="auto"/>
                    <w:bottom w:val="none" w:sz="0" w:space="0" w:color="auto"/>
                    <w:right w:val="none" w:sz="0" w:space="0" w:color="auto"/>
                  </w:divBdr>
                  <w:divsChild>
                    <w:div w:id="1442802657">
                      <w:marLeft w:val="0"/>
                      <w:marRight w:val="0"/>
                      <w:marTop w:val="0"/>
                      <w:marBottom w:val="0"/>
                      <w:divBdr>
                        <w:top w:val="none" w:sz="0" w:space="0" w:color="auto"/>
                        <w:left w:val="none" w:sz="0" w:space="0" w:color="auto"/>
                        <w:bottom w:val="none" w:sz="0" w:space="0" w:color="auto"/>
                        <w:right w:val="none" w:sz="0" w:space="0" w:color="auto"/>
                      </w:divBdr>
                    </w:div>
                  </w:divsChild>
                </w:div>
                <w:div w:id="823545254">
                  <w:marLeft w:val="0"/>
                  <w:marRight w:val="0"/>
                  <w:marTop w:val="0"/>
                  <w:marBottom w:val="0"/>
                  <w:divBdr>
                    <w:top w:val="none" w:sz="0" w:space="0" w:color="auto"/>
                    <w:left w:val="none" w:sz="0" w:space="0" w:color="auto"/>
                    <w:bottom w:val="none" w:sz="0" w:space="0" w:color="auto"/>
                    <w:right w:val="none" w:sz="0" w:space="0" w:color="auto"/>
                  </w:divBdr>
                  <w:divsChild>
                    <w:div w:id="993485142">
                      <w:marLeft w:val="0"/>
                      <w:marRight w:val="0"/>
                      <w:marTop w:val="0"/>
                      <w:marBottom w:val="0"/>
                      <w:divBdr>
                        <w:top w:val="none" w:sz="0" w:space="0" w:color="auto"/>
                        <w:left w:val="none" w:sz="0" w:space="0" w:color="auto"/>
                        <w:bottom w:val="none" w:sz="0" w:space="0" w:color="auto"/>
                        <w:right w:val="none" w:sz="0" w:space="0" w:color="auto"/>
                      </w:divBdr>
                    </w:div>
                    <w:div w:id="1814523965">
                      <w:marLeft w:val="0"/>
                      <w:marRight w:val="0"/>
                      <w:marTop w:val="0"/>
                      <w:marBottom w:val="0"/>
                      <w:divBdr>
                        <w:top w:val="none" w:sz="0" w:space="0" w:color="auto"/>
                        <w:left w:val="none" w:sz="0" w:space="0" w:color="auto"/>
                        <w:bottom w:val="none" w:sz="0" w:space="0" w:color="auto"/>
                        <w:right w:val="none" w:sz="0" w:space="0" w:color="auto"/>
                      </w:divBdr>
                    </w:div>
                    <w:div w:id="1918707279">
                      <w:marLeft w:val="0"/>
                      <w:marRight w:val="0"/>
                      <w:marTop w:val="0"/>
                      <w:marBottom w:val="0"/>
                      <w:divBdr>
                        <w:top w:val="none" w:sz="0" w:space="0" w:color="auto"/>
                        <w:left w:val="none" w:sz="0" w:space="0" w:color="auto"/>
                        <w:bottom w:val="none" w:sz="0" w:space="0" w:color="auto"/>
                        <w:right w:val="none" w:sz="0" w:space="0" w:color="auto"/>
                      </w:divBdr>
                    </w:div>
                  </w:divsChild>
                </w:div>
                <w:div w:id="1006402969">
                  <w:marLeft w:val="0"/>
                  <w:marRight w:val="0"/>
                  <w:marTop w:val="0"/>
                  <w:marBottom w:val="0"/>
                  <w:divBdr>
                    <w:top w:val="none" w:sz="0" w:space="0" w:color="auto"/>
                    <w:left w:val="none" w:sz="0" w:space="0" w:color="auto"/>
                    <w:bottom w:val="none" w:sz="0" w:space="0" w:color="auto"/>
                    <w:right w:val="none" w:sz="0" w:space="0" w:color="auto"/>
                  </w:divBdr>
                  <w:divsChild>
                    <w:div w:id="1619026315">
                      <w:marLeft w:val="0"/>
                      <w:marRight w:val="0"/>
                      <w:marTop w:val="0"/>
                      <w:marBottom w:val="0"/>
                      <w:divBdr>
                        <w:top w:val="none" w:sz="0" w:space="0" w:color="auto"/>
                        <w:left w:val="none" w:sz="0" w:space="0" w:color="auto"/>
                        <w:bottom w:val="none" w:sz="0" w:space="0" w:color="auto"/>
                        <w:right w:val="none" w:sz="0" w:space="0" w:color="auto"/>
                      </w:divBdr>
                    </w:div>
                  </w:divsChild>
                </w:div>
                <w:div w:id="1082793734">
                  <w:marLeft w:val="0"/>
                  <w:marRight w:val="0"/>
                  <w:marTop w:val="0"/>
                  <w:marBottom w:val="0"/>
                  <w:divBdr>
                    <w:top w:val="none" w:sz="0" w:space="0" w:color="auto"/>
                    <w:left w:val="none" w:sz="0" w:space="0" w:color="auto"/>
                    <w:bottom w:val="none" w:sz="0" w:space="0" w:color="auto"/>
                    <w:right w:val="none" w:sz="0" w:space="0" w:color="auto"/>
                  </w:divBdr>
                  <w:divsChild>
                    <w:div w:id="441657881">
                      <w:marLeft w:val="0"/>
                      <w:marRight w:val="0"/>
                      <w:marTop w:val="0"/>
                      <w:marBottom w:val="0"/>
                      <w:divBdr>
                        <w:top w:val="none" w:sz="0" w:space="0" w:color="auto"/>
                        <w:left w:val="none" w:sz="0" w:space="0" w:color="auto"/>
                        <w:bottom w:val="none" w:sz="0" w:space="0" w:color="auto"/>
                        <w:right w:val="none" w:sz="0" w:space="0" w:color="auto"/>
                      </w:divBdr>
                    </w:div>
                    <w:div w:id="634605942">
                      <w:marLeft w:val="0"/>
                      <w:marRight w:val="0"/>
                      <w:marTop w:val="0"/>
                      <w:marBottom w:val="0"/>
                      <w:divBdr>
                        <w:top w:val="none" w:sz="0" w:space="0" w:color="auto"/>
                        <w:left w:val="none" w:sz="0" w:space="0" w:color="auto"/>
                        <w:bottom w:val="none" w:sz="0" w:space="0" w:color="auto"/>
                        <w:right w:val="none" w:sz="0" w:space="0" w:color="auto"/>
                      </w:divBdr>
                    </w:div>
                    <w:div w:id="1382364461">
                      <w:marLeft w:val="0"/>
                      <w:marRight w:val="0"/>
                      <w:marTop w:val="0"/>
                      <w:marBottom w:val="0"/>
                      <w:divBdr>
                        <w:top w:val="none" w:sz="0" w:space="0" w:color="auto"/>
                        <w:left w:val="none" w:sz="0" w:space="0" w:color="auto"/>
                        <w:bottom w:val="none" w:sz="0" w:space="0" w:color="auto"/>
                        <w:right w:val="none" w:sz="0" w:space="0" w:color="auto"/>
                      </w:divBdr>
                    </w:div>
                  </w:divsChild>
                </w:div>
                <w:div w:id="1083258176">
                  <w:marLeft w:val="0"/>
                  <w:marRight w:val="0"/>
                  <w:marTop w:val="0"/>
                  <w:marBottom w:val="0"/>
                  <w:divBdr>
                    <w:top w:val="none" w:sz="0" w:space="0" w:color="auto"/>
                    <w:left w:val="none" w:sz="0" w:space="0" w:color="auto"/>
                    <w:bottom w:val="none" w:sz="0" w:space="0" w:color="auto"/>
                    <w:right w:val="none" w:sz="0" w:space="0" w:color="auto"/>
                  </w:divBdr>
                  <w:divsChild>
                    <w:div w:id="1543251111">
                      <w:marLeft w:val="0"/>
                      <w:marRight w:val="0"/>
                      <w:marTop w:val="0"/>
                      <w:marBottom w:val="0"/>
                      <w:divBdr>
                        <w:top w:val="none" w:sz="0" w:space="0" w:color="auto"/>
                        <w:left w:val="none" w:sz="0" w:space="0" w:color="auto"/>
                        <w:bottom w:val="none" w:sz="0" w:space="0" w:color="auto"/>
                        <w:right w:val="none" w:sz="0" w:space="0" w:color="auto"/>
                      </w:divBdr>
                    </w:div>
                  </w:divsChild>
                </w:div>
                <w:div w:id="1143891764">
                  <w:marLeft w:val="0"/>
                  <w:marRight w:val="0"/>
                  <w:marTop w:val="0"/>
                  <w:marBottom w:val="0"/>
                  <w:divBdr>
                    <w:top w:val="none" w:sz="0" w:space="0" w:color="auto"/>
                    <w:left w:val="none" w:sz="0" w:space="0" w:color="auto"/>
                    <w:bottom w:val="none" w:sz="0" w:space="0" w:color="auto"/>
                    <w:right w:val="none" w:sz="0" w:space="0" w:color="auto"/>
                  </w:divBdr>
                  <w:divsChild>
                    <w:div w:id="2123304849">
                      <w:marLeft w:val="0"/>
                      <w:marRight w:val="0"/>
                      <w:marTop w:val="0"/>
                      <w:marBottom w:val="0"/>
                      <w:divBdr>
                        <w:top w:val="none" w:sz="0" w:space="0" w:color="auto"/>
                        <w:left w:val="none" w:sz="0" w:space="0" w:color="auto"/>
                        <w:bottom w:val="none" w:sz="0" w:space="0" w:color="auto"/>
                        <w:right w:val="none" w:sz="0" w:space="0" w:color="auto"/>
                      </w:divBdr>
                    </w:div>
                  </w:divsChild>
                </w:div>
                <w:div w:id="1168638474">
                  <w:marLeft w:val="0"/>
                  <w:marRight w:val="0"/>
                  <w:marTop w:val="0"/>
                  <w:marBottom w:val="0"/>
                  <w:divBdr>
                    <w:top w:val="none" w:sz="0" w:space="0" w:color="auto"/>
                    <w:left w:val="none" w:sz="0" w:space="0" w:color="auto"/>
                    <w:bottom w:val="none" w:sz="0" w:space="0" w:color="auto"/>
                    <w:right w:val="none" w:sz="0" w:space="0" w:color="auto"/>
                  </w:divBdr>
                  <w:divsChild>
                    <w:div w:id="2121336761">
                      <w:marLeft w:val="0"/>
                      <w:marRight w:val="0"/>
                      <w:marTop w:val="0"/>
                      <w:marBottom w:val="0"/>
                      <w:divBdr>
                        <w:top w:val="none" w:sz="0" w:space="0" w:color="auto"/>
                        <w:left w:val="none" w:sz="0" w:space="0" w:color="auto"/>
                        <w:bottom w:val="none" w:sz="0" w:space="0" w:color="auto"/>
                        <w:right w:val="none" w:sz="0" w:space="0" w:color="auto"/>
                      </w:divBdr>
                    </w:div>
                  </w:divsChild>
                </w:div>
                <w:div w:id="1180000003">
                  <w:marLeft w:val="0"/>
                  <w:marRight w:val="0"/>
                  <w:marTop w:val="0"/>
                  <w:marBottom w:val="0"/>
                  <w:divBdr>
                    <w:top w:val="none" w:sz="0" w:space="0" w:color="auto"/>
                    <w:left w:val="none" w:sz="0" w:space="0" w:color="auto"/>
                    <w:bottom w:val="none" w:sz="0" w:space="0" w:color="auto"/>
                    <w:right w:val="none" w:sz="0" w:space="0" w:color="auto"/>
                  </w:divBdr>
                  <w:divsChild>
                    <w:div w:id="206070552">
                      <w:marLeft w:val="0"/>
                      <w:marRight w:val="0"/>
                      <w:marTop w:val="0"/>
                      <w:marBottom w:val="0"/>
                      <w:divBdr>
                        <w:top w:val="none" w:sz="0" w:space="0" w:color="auto"/>
                        <w:left w:val="none" w:sz="0" w:space="0" w:color="auto"/>
                        <w:bottom w:val="none" w:sz="0" w:space="0" w:color="auto"/>
                        <w:right w:val="none" w:sz="0" w:space="0" w:color="auto"/>
                      </w:divBdr>
                    </w:div>
                    <w:div w:id="1095976664">
                      <w:marLeft w:val="0"/>
                      <w:marRight w:val="0"/>
                      <w:marTop w:val="0"/>
                      <w:marBottom w:val="0"/>
                      <w:divBdr>
                        <w:top w:val="none" w:sz="0" w:space="0" w:color="auto"/>
                        <w:left w:val="none" w:sz="0" w:space="0" w:color="auto"/>
                        <w:bottom w:val="none" w:sz="0" w:space="0" w:color="auto"/>
                        <w:right w:val="none" w:sz="0" w:space="0" w:color="auto"/>
                      </w:divBdr>
                    </w:div>
                    <w:div w:id="1577979189">
                      <w:marLeft w:val="0"/>
                      <w:marRight w:val="0"/>
                      <w:marTop w:val="0"/>
                      <w:marBottom w:val="0"/>
                      <w:divBdr>
                        <w:top w:val="none" w:sz="0" w:space="0" w:color="auto"/>
                        <w:left w:val="none" w:sz="0" w:space="0" w:color="auto"/>
                        <w:bottom w:val="none" w:sz="0" w:space="0" w:color="auto"/>
                        <w:right w:val="none" w:sz="0" w:space="0" w:color="auto"/>
                      </w:divBdr>
                    </w:div>
                  </w:divsChild>
                </w:div>
                <w:div w:id="1261839096">
                  <w:marLeft w:val="0"/>
                  <w:marRight w:val="0"/>
                  <w:marTop w:val="0"/>
                  <w:marBottom w:val="0"/>
                  <w:divBdr>
                    <w:top w:val="none" w:sz="0" w:space="0" w:color="auto"/>
                    <w:left w:val="none" w:sz="0" w:space="0" w:color="auto"/>
                    <w:bottom w:val="none" w:sz="0" w:space="0" w:color="auto"/>
                    <w:right w:val="none" w:sz="0" w:space="0" w:color="auto"/>
                  </w:divBdr>
                  <w:divsChild>
                    <w:div w:id="16662564">
                      <w:marLeft w:val="0"/>
                      <w:marRight w:val="0"/>
                      <w:marTop w:val="0"/>
                      <w:marBottom w:val="0"/>
                      <w:divBdr>
                        <w:top w:val="none" w:sz="0" w:space="0" w:color="auto"/>
                        <w:left w:val="none" w:sz="0" w:space="0" w:color="auto"/>
                        <w:bottom w:val="none" w:sz="0" w:space="0" w:color="auto"/>
                        <w:right w:val="none" w:sz="0" w:space="0" w:color="auto"/>
                      </w:divBdr>
                    </w:div>
                  </w:divsChild>
                </w:div>
                <w:div w:id="1262033611">
                  <w:marLeft w:val="0"/>
                  <w:marRight w:val="0"/>
                  <w:marTop w:val="0"/>
                  <w:marBottom w:val="0"/>
                  <w:divBdr>
                    <w:top w:val="none" w:sz="0" w:space="0" w:color="auto"/>
                    <w:left w:val="none" w:sz="0" w:space="0" w:color="auto"/>
                    <w:bottom w:val="none" w:sz="0" w:space="0" w:color="auto"/>
                    <w:right w:val="none" w:sz="0" w:space="0" w:color="auto"/>
                  </w:divBdr>
                  <w:divsChild>
                    <w:div w:id="146630482">
                      <w:marLeft w:val="0"/>
                      <w:marRight w:val="0"/>
                      <w:marTop w:val="0"/>
                      <w:marBottom w:val="0"/>
                      <w:divBdr>
                        <w:top w:val="none" w:sz="0" w:space="0" w:color="auto"/>
                        <w:left w:val="none" w:sz="0" w:space="0" w:color="auto"/>
                        <w:bottom w:val="none" w:sz="0" w:space="0" w:color="auto"/>
                        <w:right w:val="none" w:sz="0" w:space="0" w:color="auto"/>
                      </w:divBdr>
                    </w:div>
                  </w:divsChild>
                </w:div>
                <w:div w:id="1311250063">
                  <w:marLeft w:val="0"/>
                  <w:marRight w:val="0"/>
                  <w:marTop w:val="0"/>
                  <w:marBottom w:val="0"/>
                  <w:divBdr>
                    <w:top w:val="none" w:sz="0" w:space="0" w:color="auto"/>
                    <w:left w:val="none" w:sz="0" w:space="0" w:color="auto"/>
                    <w:bottom w:val="none" w:sz="0" w:space="0" w:color="auto"/>
                    <w:right w:val="none" w:sz="0" w:space="0" w:color="auto"/>
                  </w:divBdr>
                  <w:divsChild>
                    <w:div w:id="237789496">
                      <w:marLeft w:val="0"/>
                      <w:marRight w:val="0"/>
                      <w:marTop w:val="0"/>
                      <w:marBottom w:val="0"/>
                      <w:divBdr>
                        <w:top w:val="none" w:sz="0" w:space="0" w:color="auto"/>
                        <w:left w:val="none" w:sz="0" w:space="0" w:color="auto"/>
                        <w:bottom w:val="none" w:sz="0" w:space="0" w:color="auto"/>
                        <w:right w:val="none" w:sz="0" w:space="0" w:color="auto"/>
                      </w:divBdr>
                    </w:div>
                    <w:div w:id="817769592">
                      <w:marLeft w:val="0"/>
                      <w:marRight w:val="0"/>
                      <w:marTop w:val="0"/>
                      <w:marBottom w:val="0"/>
                      <w:divBdr>
                        <w:top w:val="none" w:sz="0" w:space="0" w:color="auto"/>
                        <w:left w:val="none" w:sz="0" w:space="0" w:color="auto"/>
                        <w:bottom w:val="none" w:sz="0" w:space="0" w:color="auto"/>
                        <w:right w:val="none" w:sz="0" w:space="0" w:color="auto"/>
                      </w:divBdr>
                    </w:div>
                    <w:div w:id="1210536779">
                      <w:marLeft w:val="0"/>
                      <w:marRight w:val="0"/>
                      <w:marTop w:val="0"/>
                      <w:marBottom w:val="0"/>
                      <w:divBdr>
                        <w:top w:val="none" w:sz="0" w:space="0" w:color="auto"/>
                        <w:left w:val="none" w:sz="0" w:space="0" w:color="auto"/>
                        <w:bottom w:val="none" w:sz="0" w:space="0" w:color="auto"/>
                        <w:right w:val="none" w:sz="0" w:space="0" w:color="auto"/>
                      </w:divBdr>
                    </w:div>
                    <w:div w:id="1539244166">
                      <w:marLeft w:val="0"/>
                      <w:marRight w:val="0"/>
                      <w:marTop w:val="0"/>
                      <w:marBottom w:val="0"/>
                      <w:divBdr>
                        <w:top w:val="none" w:sz="0" w:space="0" w:color="auto"/>
                        <w:left w:val="none" w:sz="0" w:space="0" w:color="auto"/>
                        <w:bottom w:val="none" w:sz="0" w:space="0" w:color="auto"/>
                        <w:right w:val="none" w:sz="0" w:space="0" w:color="auto"/>
                      </w:divBdr>
                    </w:div>
                    <w:div w:id="1680623122">
                      <w:marLeft w:val="0"/>
                      <w:marRight w:val="0"/>
                      <w:marTop w:val="0"/>
                      <w:marBottom w:val="0"/>
                      <w:divBdr>
                        <w:top w:val="none" w:sz="0" w:space="0" w:color="auto"/>
                        <w:left w:val="none" w:sz="0" w:space="0" w:color="auto"/>
                        <w:bottom w:val="none" w:sz="0" w:space="0" w:color="auto"/>
                        <w:right w:val="none" w:sz="0" w:space="0" w:color="auto"/>
                      </w:divBdr>
                    </w:div>
                    <w:div w:id="1828131986">
                      <w:marLeft w:val="0"/>
                      <w:marRight w:val="0"/>
                      <w:marTop w:val="0"/>
                      <w:marBottom w:val="0"/>
                      <w:divBdr>
                        <w:top w:val="none" w:sz="0" w:space="0" w:color="auto"/>
                        <w:left w:val="none" w:sz="0" w:space="0" w:color="auto"/>
                        <w:bottom w:val="none" w:sz="0" w:space="0" w:color="auto"/>
                        <w:right w:val="none" w:sz="0" w:space="0" w:color="auto"/>
                      </w:divBdr>
                    </w:div>
                    <w:div w:id="1834105942">
                      <w:marLeft w:val="0"/>
                      <w:marRight w:val="0"/>
                      <w:marTop w:val="0"/>
                      <w:marBottom w:val="0"/>
                      <w:divBdr>
                        <w:top w:val="none" w:sz="0" w:space="0" w:color="auto"/>
                        <w:left w:val="none" w:sz="0" w:space="0" w:color="auto"/>
                        <w:bottom w:val="none" w:sz="0" w:space="0" w:color="auto"/>
                        <w:right w:val="none" w:sz="0" w:space="0" w:color="auto"/>
                      </w:divBdr>
                    </w:div>
                    <w:div w:id="2069377522">
                      <w:marLeft w:val="0"/>
                      <w:marRight w:val="0"/>
                      <w:marTop w:val="0"/>
                      <w:marBottom w:val="0"/>
                      <w:divBdr>
                        <w:top w:val="none" w:sz="0" w:space="0" w:color="auto"/>
                        <w:left w:val="none" w:sz="0" w:space="0" w:color="auto"/>
                        <w:bottom w:val="none" w:sz="0" w:space="0" w:color="auto"/>
                        <w:right w:val="none" w:sz="0" w:space="0" w:color="auto"/>
                      </w:divBdr>
                    </w:div>
                  </w:divsChild>
                </w:div>
                <w:div w:id="1468668434">
                  <w:marLeft w:val="0"/>
                  <w:marRight w:val="0"/>
                  <w:marTop w:val="0"/>
                  <w:marBottom w:val="0"/>
                  <w:divBdr>
                    <w:top w:val="none" w:sz="0" w:space="0" w:color="auto"/>
                    <w:left w:val="none" w:sz="0" w:space="0" w:color="auto"/>
                    <w:bottom w:val="none" w:sz="0" w:space="0" w:color="auto"/>
                    <w:right w:val="none" w:sz="0" w:space="0" w:color="auto"/>
                  </w:divBdr>
                  <w:divsChild>
                    <w:div w:id="1534998968">
                      <w:marLeft w:val="0"/>
                      <w:marRight w:val="0"/>
                      <w:marTop w:val="0"/>
                      <w:marBottom w:val="0"/>
                      <w:divBdr>
                        <w:top w:val="none" w:sz="0" w:space="0" w:color="auto"/>
                        <w:left w:val="none" w:sz="0" w:space="0" w:color="auto"/>
                        <w:bottom w:val="none" w:sz="0" w:space="0" w:color="auto"/>
                        <w:right w:val="none" w:sz="0" w:space="0" w:color="auto"/>
                      </w:divBdr>
                    </w:div>
                  </w:divsChild>
                </w:div>
                <w:div w:id="1625966648">
                  <w:marLeft w:val="0"/>
                  <w:marRight w:val="0"/>
                  <w:marTop w:val="0"/>
                  <w:marBottom w:val="0"/>
                  <w:divBdr>
                    <w:top w:val="none" w:sz="0" w:space="0" w:color="auto"/>
                    <w:left w:val="none" w:sz="0" w:space="0" w:color="auto"/>
                    <w:bottom w:val="none" w:sz="0" w:space="0" w:color="auto"/>
                    <w:right w:val="none" w:sz="0" w:space="0" w:color="auto"/>
                  </w:divBdr>
                  <w:divsChild>
                    <w:div w:id="261494608">
                      <w:marLeft w:val="0"/>
                      <w:marRight w:val="0"/>
                      <w:marTop w:val="0"/>
                      <w:marBottom w:val="0"/>
                      <w:divBdr>
                        <w:top w:val="none" w:sz="0" w:space="0" w:color="auto"/>
                        <w:left w:val="none" w:sz="0" w:space="0" w:color="auto"/>
                        <w:bottom w:val="none" w:sz="0" w:space="0" w:color="auto"/>
                        <w:right w:val="none" w:sz="0" w:space="0" w:color="auto"/>
                      </w:divBdr>
                    </w:div>
                  </w:divsChild>
                </w:div>
                <w:div w:id="1663317437">
                  <w:marLeft w:val="0"/>
                  <w:marRight w:val="0"/>
                  <w:marTop w:val="0"/>
                  <w:marBottom w:val="0"/>
                  <w:divBdr>
                    <w:top w:val="none" w:sz="0" w:space="0" w:color="auto"/>
                    <w:left w:val="none" w:sz="0" w:space="0" w:color="auto"/>
                    <w:bottom w:val="none" w:sz="0" w:space="0" w:color="auto"/>
                    <w:right w:val="none" w:sz="0" w:space="0" w:color="auto"/>
                  </w:divBdr>
                  <w:divsChild>
                    <w:div w:id="2002345276">
                      <w:marLeft w:val="0"/>
                      <w:marRight w:val="0"/>
                      <w:marTop w:val="0"/>
                      <w:marBottom w:val="0"/>
                      <w:divBdr>
                        <w:top w:val="none" w:sz="0" w:space="0" w:color="auto"/>
                        <w:left w:val="none" w:sz="0" w:space="0" w:color="auto"/>
                        <w:bottom w:val="none" w:sz="0" w:space="0" w:color="auto"/>
                        <w:right w:val="none" w:sz="0" w:space="0" w:color="auto"/>
                      </w:divBdr>
                    </w:div>
                  </w:divsChild>
                </w:div>
                <w:div w:id="1680545445">
                  <w:marLeft w:val="0"/>
                  <w:marRight w:val="0"/>
                  <w:marTop w:val="0"/>
                  <w:marBottom w:val="0"/>
                  <w:divBdr>
                    <w:top w:val="none" w:sz="0" w:space="0" w:color="auto"/>
                    <w:left w:val="none" w:sz="0" w:space="0" w:color="auto"/>
                    <w:bottom w:val="none" w:sz="0" w:space="0" w:color="auto"/>
                    <w:right w:val="none" w:sz="0" w:space="0" w:color="auto"/>
                  </w:divBdr>
                  <w:divsChild>
                    <w:div w:id="290674720">
                      <w:marLeft w:val="0"/>
                      <w:marRight w:val="0"/>
                      <w:marTop w:val="0"/>
                      <w:marBottom w:val="0"/>
                      <w:divBdr>
                        <w:top w:val="none" w:sz="0" w:space="0" w:color="auto"/>
                        <w:left w:val="none" w:sz="0" w:space="0" w:color="auto"/>
                        <w:bottom w:val="none" w:sz="0" w:space="0" w:color="auto"/>
                        <w:right w:val="none" w:sz="0" w:space="0" w:color="auto"/>
                      </w:divBdr>
                    </w:div>
                  </w:divsChild>
                </w:div>
                <w:div w:id="1720784407">
                  <w:marLeft w:val="0"/>
                  <w:marRight w:val="0"/>
                  <w:marTop w:val="0"/>
                  <w:marBottom w:val="0"/>
                  <w:divBdr>
                    <w:top w:val="none" w:sz="0" w:space="0" w:color="auto"/>
                    <w:left w:val="none" w:sz="0" w:space="0" w:color="auto"/>
                    <w:bottom w:val="none" w:sz="0" w:space="0" w:color="auto"/>
                    <w:right w:val="none" w:sz="0" w:space="0" w:color="auto"/>
                  </w:divBdr>
                  <w:divsChild>
                    <w:div w:id="122818043">
                      <w:marLeft w:val="0"/>
                      <w:marRight w:val="0"/>
                      <w:marTop w:val="0"/>
                      <w:marBottom w:val="0"/>
                      <w:divBdr>
                        <w:top w:val="none" w:sz="0" w:space="0" w:color="auto"/>
                        <w:left w:val="none" w:sz="0" w:space="0" w:color="auto"/>
                        <w:bottom w:val="none" w:sz="0" w:space="0" w:color="auto"/>
                        <w:right w:val="none" w:sz="0" w:space="0" w:color="auto"/>
                      </w:divBdr>
                    </w:div>
                    <w:div w:id="1028874177">
                      <w:marLeft w:val="0"/>
                      <w:marRight w:val="0"/>
                      <w:marTop w:val="0"/>
                      <w:marBottom w:val="0"/>
                      <w:divBdr>
                        <w:top w:val="none" w:sz="0" w:space="0" w:color="auto"/>
                        <w:left w:val="none" w:sz="0" w:space="0" w:color="auto"/>
                        <w:bottom w:val="none" w:sz="0" w:space="0" w:color="auto"/>
                        <w:right w:val="none" w:sz="0" w:space="0" w:color="auto"/>
                      </w:divBdr>
                    </w:div>
                    <w:div w:id="1449397719">
                      <w:marLeft w:val="0"/>
                      <w:marRight w:val="0"/>
                      <w:marTop w:val="0"/>
                      <w:marBottom w:val="0"/>
                      <w:divBdr>
                        <w:top w:val="none" w:sz="0" w:space="0" w:color="auto"/>
                        <w:left w:val="none" w:sz="0" w:space="0" w:color="auto"/>
                        <w:bottom w:val="none" w:sz="0" w:space="0" w:color="auto"/>
                        <w:right w:val="none" w:sz="0" w:space="0" w:color="auto"/>
                      </w:divBdr>
                    </w:div>
                    <w:div w:id="1516387602">
                      <w:marLeft w:val="0"/>
                      <w:marRight w:val="0"/>
                      <w:marTop w:val="0"/>
                      <w:marBottom w:val="0"/>
                      <w:divBdr>
                        <w:top w:val="none" w:sz="0" w:space="0" w:color="auto"/>
                        <w:left w:val="none" w:sz="0" w:space="0" w:color="auto"/>
                        <w:bottom w:val="none" w:sz="0" w:space="0" w:color="auto"/>
                        <w:right w:val="none" w:sz="0" w:space="0" w:color="auto"/>
                      </w:divBdr>
                    </w:div>
                  </w:divsChild>
                </w:div>
                <w:div w:id="1762946803">
                  <w:marLeft w:val="0"/>
                  <w:marRight w:val="0"/>
                  <w:marTop w:val="0"/>
                  <w:marBottom w:val="0"/>
                  <w:divBdr>
                    <w:top w:val="none" w:sz="0" w:space="0" w:color="auto"/>
                    <w:left w:val="none" w:sz="0" w:space="0" w:color="auto"/>
                    <w:bottom w:val="none" w:sz="0" w:space="0" w:color="auto"/>
                    <w:right w:val="none" w:sz="0" w:space="0" w:color="auto"/>
                  </w:divBdr>
                  <w:divsChild>
                    <w:div w:id="604727323">
                      <w:marLeft w:val="0"/>
                      <w:marRight w:val="0"/>
                      <w:marTop w:val="0"/>
                      <w:marBottom w:val="0"/>
                      <w:divBdr>
                        <w:top w:val="none" w:sz="0" w:space="0" w:color="auto"/>
                        <w:left w:val="none" w:sz="0" w:space="0" w:color="auto"/>
                        <w:bottom w:val="none" w:sz="0" w:space="0" w:color="auto"/>
                        <w:right w:val="none" w:sz="0" w:space="0" w:color="auto"/>
                      </w:divBdr>
                    </w:div>
                  </w:divsChild>
                </w:div>
                <w:div w:id="1897620098">
                  <w:marLeft w:val="0"/>
                  <w:marRight w:val="0"/>
                  <w:marTop w:val="0"/>
                  <w:marBottom w:val="0"/>
                  <w:divBdr>
                    <w:top w:val="none" w:sz="0" w:space="0" w:color="auto"/>
                    <w:left w:val="none" w:sz="0" w:space="0" w:color="auto"/>
                    <w:bottom w:val="none" w:sz="0" w:space="0" w:color="auto"/>
                    <w:right w:val="none" w:sz="0" w:space="0" w:color="auto"/>
                  </w:divBdr>
                  <w:divsChild>
                    <w:div w:id="187303752">
                      <w:marLeft w:val="0"/>
                      <w:marRight w:val="0"/>
                      <w:marTop w:val="0"/>
                      <w:marBottom w:val="0"/>
                      <w:divBdr>
                        <w:top w:val="none" w:sz="0" w:space="0" w:color="auto"/>
                        <w:left w:val="none" w:sz="0" w:space="0" w:color="auto"/>
                        <w:bottom w:val="none" w:sz="0" w:space="0" w:color="auto"/>
                        <w:right w:val="none" w:sz="0" w:space="0" w:color="auto"/>
                      </w:divBdr>
                    </w:div>
                  </w:divsChild>
                </w:div>
                <w:div w:id="1968118387">
                  <w:marLeft w:val="0"/>
                  <w:marRight w:val="0"/>
                  <w:marTop w:val="0"/>
                  <w:marBottom w:val="0"/>
                  <w:divBdr>
                    <w:top w:val="none" w:sz="0" w:space="0" w:color="auto"/>
                    <w:left w:val="none" w:sz="0" w:space="0" w:color="auto"/>
                    <w:bottom w:val="none" w:sz="0" w:space="0" w:color="auto"/>
                    <w:right w:val="none" w:sz="0" w:space="0" w:color="auto"/>
                  </w:divBdr>
                  <w:divsChild>
                    <w:div w:id="778254893">
                      <w:marLeft w:val="0"/>
                      <w:marRight w:val="0"/>
                      <w:marTop w:val="0"/>
                      <w:marBottom w:val="0"/>
                      <w:divBdr>
                        <w:top w:val="none" w:sz="0" w:space="0" w:color="auto"/>
                        <w:left w:val="none" w:sz="0" w:space="0" w:color="auto"/>
                        <w:bottom w:val="none" w:sz="0" w:space="0" w:color="auto"/>
                        <w:right w:val="none" w:sz="0" w:space="0" w:color="auto"/>
                      </w:divBdr>
                    </w:div>
                  </w:divsChild>
                </w:div>
                <w:div w:id="2021076472">
                  <w:marLeft w:val="0"/>
                  <w:marRight w:val="0"/>
                  <w:marTop w:val="0"/>
                  <w:marBottom w:val="0"/>
                  <w:divBdr>
                    <w:top w:val="none" w:sz="0" w:space="0" w:color="auto"/>
                    <w:left w:val="none" w:sz="0" w:space="0" w:color="auto"/>
                    <w:bottom w:val="none" w:sz="0" w:space="0" w:color="auto"/>
                    <w:right w:val="none" w:sz="0" w:space="0" w:color="auto"/>
                  </w:divBdr>
                  <w:divsChild>
                    <w:div w:id="1319698682">
                      <w:marLeft w:val="0"/>
                      <w:marRight w:val="0"/>
                      <w:marTop w:val="0"/>
                      <w:marBottom w:val="0"/>
                      <w:divBdr>
                        <w:top w:val="none" w:sz="0" w:space="0" w:color="auto"/>
                        <w:left w:val="none" w:sz="0" w:space="0" w:color="auto"/>
                        <w:bottom w:val="none" w:sz="0" w:space="0" w:color="auto"/>
                        <w:right w:val="none" w:sz="0" w:space="0" w:color="auto"/>
                      </w:divBdr>
                    </w:div>
                  </w:divsChild>
                </w:div>
                <w:div w:id="2078816986">
                  <w:marLeft w:val="0"/>
                  <w:marRight w:val="0"/>
                  <w:marTop w:val="0"/>
                  <w:marBottom w:val="0"/>
                  <w:divBdr>
                    <w:top w:val="none" w:sz="0" w:space="0" w:color="auto"/>
                    <w:left w:val="none" w:sz="0" w:space="0" w:color="auto"/>
                    <w:bottom w:val="none" w:sz="0" w:space="0" w:color="auto"/>
                    <w:right w:val="none" w:sz="0" w:space="0" w:color="auto"/>
                  </w:divBdr>
                  <w:divsChild>
                    <w:div w:id="87577529">
                      <w:marLeft w:val="0"/>
                      <w:marRight w:val="0"/>
                      <w:marTop w:val="0"/>
                      <w:marBottom w:val="0"/>
                      <w:divBdr>
                        <w:top w:val="none" w:sz="0" w:space="0" w:color="auto"/>
                        <w:left w:val="none" w:sz="0" w:space="0" w:color="auto"/>
                        <w:bottom w:val="none" w:sz="0" w:space="0" w:color="auto"/>
                        <w:right w:val="none" w:sz="0" w:space="0" w:color="auto"/>
                      </w:divBdr>
                    </w:div>
                  </w:divsChild>
                </w:div>
                <w:div w:id="2084401307">
                  <w:marLeft w:val="0"/>
                  <w:marRight w:val="0"/>
                  <w:marTop w:val="0"/>
                  <w:marBottom w:val="0"/>
                  <w:divBdr>
                    <w:top w:val="none" w:sz="0" w:space="0" w:color="auto"/>
                    <w:left w:val="none" w:sz="0" w:space="0" w:color="auto"/>
                    <w:bottom w:val="none" w:sz="0" w:space="0" w:color="auto"/>
                    <w:right w:val="none" w:sz="0" w:space="0" w:color="auto"/>
                  </w:divBdr>
                  <w:divsChild>
                    <w:div w:id="22029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632465">
          <w:marLeft w:val="0"/>
          <w:marRight w:val="0"/>
          <w:marTop w:val="0"/>
          <w:marBottom w:val="0"/>
          <w:divBdr>
            <w:top w:val="none" w:sz="0" w:space="0" w:color="auto"/>
            <w:left w:val="none" w:sz="0" w:space="0" w:color="auto"/>
            <w:bottom w:val="none" w:sz="0" w:space="0" w:color="auto"/>
            <w:right w:val="none" w:sz="0" w:space="0" w:color="auto"/>
          </w:divBdr>
          <w:divsChild>
            <w:div w:id="487215161">
              <w:marLeft w:val="0"/>
              <w:marRight w:val="0"/>
              <w:marTop w:val="0"/>
              <w:marBottom w:val="0"/>
              <w:divBdr>
                <w:top w:val="none" w:sz="0" w:space="0" w:color="auto"/>
                <w:left w:val="none" w:sz="0" w:space="0" w:color="auto"/>
                <w:bottom w:val="none" w:sz="0" w:space="0" w:color="auto"/>
                <w:right w:val="none" w:sz="0" w:space="0" w:color="auto"/>
              </w:divBdr>
            </w:div>
            <w:div w:id="1087725807">
              <w:marLeft w:val="0"/>
              <w:marRight w:val="0"/>
              <w:marTop w:val="0"/>
              <w:marBottom w:val="0"/>
              <w:divBdr>
                <w:top w:val="none" w:sz="0" w:space="0" w:color="auto"/>
                <w:left w:val="none" w:sz="0" w:space="0" w:color="auto"/>
                <w:bottom w:val="none" w:sz="0" w:space="0" w:color="auto"/>
                <w:right w:val="none" w:sz="0" w:space="0" w:color="auto"/>
              </w:divBdr>
            </w:div>
            <w:div w:id="1738630229">
              <w:marLeft w:val="0"/>
              <w:marRight w:val="0"/>
              <w:marTop w:val="0"/>
              <w:marBottom w:val="0"/>
              <w:divBdr>
                <w:top w:val="none" w:sz="0" w:space="0" w:color="auto"/>
                <w:left w:val="none" w:sz="0" w:space="0" w:color="auto"/>
                <w:bottom w:val="none" w:sz="0" w:space="0" w:color="auto"/>
                <w:right w:val="none" w:sz="0" w:space="0" w:color="auto"/>
              </w:divBdr>
            </w:div>
          </w:divsChild>
        </w:div>
        <w:div w:id="670722414">
          <w:marLeft w:val="0"/>
          <w:marRight w:val="0"/>
          <w:marTop w:val="0"/>
          <w:marBottom w:val="0"/>
          <w:divBdr>
            <w:top w:val="none" w:sz="0" w:space="0" w:color="auto"/>
            <w:left w:val="none" w:sz="0" w:space="0" w:color="auto"/>
            <w:bottom w:val="none" w:sz="0" w:space="0" w:color="auto"/>
            <w:right w:val="none" w:sz="0" w:space="0" w:color="auto"/>
          </w:divBdr>
        </w:div>
        <w:div w:id="883640810">
          <w:marLeft w:val="0"/>
          <w:marRight w:val="0"/>
          <w:marTop w:val="0"/>
          <w:marBottom w:val="0"/>
          <w:divBdr>
            <w:top w:val="none" w:sz="0" w:space="0" w:color="auto"/>
            <w:left w:val="none" w:sz="0" w:space="0" w:color="auto"/>
            <w:bottom w:val="none" w:sz="0" w:space="0" w:color="auto"/>
            <w:right w:val="none" w:sz="0" w:space="0" w:color="auto"/>
          </w:divBdr>
        </w:div>
        <w:div w:id="905723764">
          <w:marLeft w:val="0"/>
          <w:marRight w:val="0"/>
          <w:marTop w:val="0"/>
          <w:marBottom w:val="0"/>
          <w:divBdr>
            <w:top w:val="none" w:sz="0" w:space="0" w:color="auto"/>
            <w:left w:val="none" w:sz="0" w:space="0" w:color="auto"/>
            <w:bottom w:val="none" w:sz="0" w:space="0" w:color="auto"/>
            <w:right w:val="none" w:sz="0" w:space="0" w:color="auto"/>
          </w:divBdr>
        </w:div>
        <w:div w:id="990206866">
          <w:marLeft w:val="0"/>
          <w:marRight w:val="0"/>
          <w:marTop w:val="0"/>
          <w:marBottom w:val="0"/>
          <w:divBdr>
            <w:top w:val="none" w:sz="0" w:space="0" w:color="auto"/>
            <w:left w:val="none" w:sz="0" w:space="0" w:color="auto"/>
            <w:bottom w:val="none" w:sz="0" w:space="0" w:color="auto"/>
            <w:right w:val="none" w:sz="0" w:space="0" w:color="auto"/>
          </w:divBdr>
        </w:div>
        <w:div w:id="1692490481">
          <w:marLeft w:val="0"/>
          <w:marRight w:val="0"/>
          <w:marTop w:val="0"/>
          <w:marBottom w:val="0"/>
          <w:divBdr>
            <w:top w:val="none" w:sz="0" w:space="0" w:color="auto"/>
            <w:left w:val="none" w:sz="0" w:space="0" w:color="auto"/>
            <w:bottom w:val="none" w:sz="0" w:space="0" w:color="auto"/>
            <w:right w:val="none" w:sz="0" w:space="0" w:color="auto"/>
          </w:divBdr>
          <w:divsChild>
            <w:div w:id="1710495861">
              <w:marLeft w:val="0"/>
              <w:marRight w:val="0"/>
              <w:marTop w:val="0"/>
              <w:marBottom w:val="0"/>
              <w:divBdr>
                <w:top w:val="none" w:sz="0" w:space="0" w:color="auto"/>
                <w:left w:val="none" w:sz="0" w:space="0" w:color="auto"/>
                <w:bottom w:val="none" w:sz="0" w:space="0" w:color="auto"/>
                <w:right w:val="none" w:sz="0" w:space="0" w:color="auto"/>
              </w:divBdr>
            </w:div>
            <w:div w:id="1754619753">
              <w:marLeft w:val="0"/>
              <w:marRight w:val="0"/>
              <w:marTop w:val="0"/>
              <w:marBottom w:val="0"/>
              <w:divBdr>
                <w:top w:val="none" w:sz="0" w:space="0" w:color="auto"/>
                <w:left w:val="none" w:sz="0" w:space="0" w:color="auto"/>
                <w:bottom w:val="none" w:sz="0" w:space="0" w:color="auto"/>
                <w:right w:val="none" w:sz="0" w:space="0" w:color="auto"/>
              </w:divBdr>
            </w:div>
            <w:div w:id="1799452860">
              <w:marLeft w:val="0"/>
              <w:marRight w:val="0"/>
              <w:marTop w:val="0"/>
              <w:marBottom w:val="0"/>
              <w:divBdr>
                <w:top w:val="none" w:sz="0" w:space="0" w:color="auto"/>
                <w:left w:val="none" w:sz="0" w:space="0" w:color="auto"/>
                <w:bottom w:val="none" w:sz="0" w:space="0" w:color="auto"/>
                <w:right w:val="none" w:sz="0" w:space="0" w:color="auto"/>
              </w:divBdr>
            </w:div>
          </w:divsChild>
        </w:div>
        <w:div w:id="2053577637">
          <w:marLeft w:val="0"/>
          <w:marRight w:val="0"/>
          <w:marTop w:val="0"/>
          <w:marBottom w:val="0"/>
          <w:divBdr>
            <w:top w:val="none" w:sz="0" w:space="0" w:color="auto"/>
            <w:left w:val="none" w:sz="0" w:space="0" w:color="auto"/>
            <w:bottom w:val="none" w:sz="0" w:space="0" w:color="auto"/>
            <w:right w:val="none" w:sz="0" w:space="0" w:color="auto"/>
          </w:divBdr>
          <w:divsChild>
            <w:div w:id="1138765590">
              <w:marLeft w:val="0"/>
              <w:marRight w:val="0"/>
              <w:marTop w:val="0"/>
              <w:marBottom w:val="0"/>
              <w:divBdr>
                <w:top w:val="none" w:sz="0" w:space="0" w:color="auto"/>
                <w:left w:val="none" w:sz="0" w:space="0" w:color="auto"/>
                <w:bottom w:val="none" w:sz="0" w:space="0" w:color="auto"/>
                <w:right w:val="none" w:sz="0" w:space="0" w:color="auto"/>
              </w:divBdr>
            </w:div>
            <w:div w:id="1632323057">
              <w:marLeft w:val="0"/>
              <w:marRight w:val="0"/>
              <w:marTop w:val="0"/>
              <w:marBottom w:val="0"/>
              <w:divBdr>
                <w:top w:val="none" w:sz="0" w:space="0" w:color="auto"/>
                <w:left w:val="none" w:sz="0" w:space="0" w:color="auto"/>
                <w:bottom w:val="none" w:sz="0" w:space="0" w:color="auto"/>
                <w:right w:val="none" w:sz="0" w:space="0" w:color="auto"/>
              </w:divBdr>
            </w:div>
            <w:div w:id="1741099104">
              <w:marLeft w:val="0"/>
              <w:marRight w:val="0"/>
              <w:marTop w:val="0"/>
              <w:marBottom w:val="0"/>
              <w:divBdr>
                <w:top w:val="none" w:sz="0" w:space="0" w:color="auto"/>
                <w:left w:val="none" w:sz="0" w:space="0" w:color="auto"/>
                <w:bottom w:val="none" w:sz="0" w:space="0" w:color="auto"/>
                <w:right w:val="none" w:sz="0" w:space="0" w:color="auto"/>
              </w:divBdr>
            </w:div>
            <w:div w:id="1966504010">
              <w:marLeft w:val="0"/>
              <w:marRight w:val="0"/>
              <w:marTop w:val="0"/>
              <w:marBottom w:val="0"/>
              <w:divBdr>
                <w:top w:val="none" w:sz="0" w:space="0" w:color="auto"/>
                <w:left w:val="none" w:sz="0" w:space="0" w:color="auto"/>
                <w:bottom w:val="none" w:sz="0" w:space="0" w:color="auto"/>
                <w:right w:val="none" w:sz="0" w:space="0" w:color="auto"/>
              </w:divBdr>
            </w:div>
          </w:divsChild>
        </w:div>
        <w:div w:id="2093356259">
          <w:marLeft w:val="0"/>
          <w:marRight w:val="0"/>
          <w:marTop w:val="0"/>
          <w:marBottom w:val="0"/>
          <w:divBdr>
            <w:top w:val="none" w:sz="0" w:space="0" w:color="auto"/>
            <w:left w:val="none" w:sz="0" w:space="0" w:color="auto"/>
            <w:bottom w:val="none" w:sz="0" w:space="0" w:color="auto"/>
            <w:right w:val="none" w:sz="0" w:space="0" w:color="auto"/>
          </w:divBdr>
        </w:div>
      </w:divsChild>
    </w:div>
    <w:div w:id="721173695">
      <w:bodyDiv w:val="1"/>
      <w:marLeft w:val="0"/>
      <w:marRight w:val="0"/>
      <w:marTop w:val="0"/>
      <w:marBottom w:val="0"/>
      <w:divBdr>
        <w:top w:val="none" w:sz="0" w:space="0" w:color="auto"/>
        <w:left w:val="none" w:sz="0" w:space="0" w:color="auto"/>
        <w:bottom w:val="none" w:sz="0" w:space="0" w:color="auto"/>
        <w:right w:val="none" w:sz="0" w:space="0" w:color="auto"/>
      </w:divBdr>
    </w:div>
    <w:div w:id="728454956">
      <w:bodyDiv w:val="1"/>
      <w:marLeft w:val="0"/>
      <w:marRight w:val="0"/>
      <w:marTop w:val="0"/>
      <w:marBottom w:val="0"/>
      <w:divBdr>
        <w:top w:val="none" w:sz="0" w:space="0" w:color="auto"/>
        <w:left w:val="none" w:sz="0" w:space="0" w:color="auto"/>
        <w:bottom w:val="none" w:sz="0" w:space="0" w:color="auto"/>
        <w:right w:val="none" w:sz="0" w:space="0" w:color="auto"/>
      </w:divBdr>
    </w:div>
    <w:div w:id="731348886">
      <w:bodyDiv w:val="1"/>
      <w:marLeft w:val="0"/>
      <w:marRight w:val="0"/>
      <w:marTop w:val="0"/>
      <w:marBottom w:val="0"/>
      <w:divBdr>
        <w:top w:val="none" w:sz="0" w:space="0" w:color="auto"/>
        <w:left w:val="none" w:sz="0" w:space="0" w:color="auto"/>
        <w:bottom w:val="none" w:sz="0" w:space="0" w:color="auto"/>
        <w:right w:val="none" w:sz="0" w:space="0" w:color="auto"/>
      </w:divBdr>
    </w:div>
    <w:div w:id="738139535">
      <w:bodyDiv w:val="1"/>
      <w:marLeft w:val="0"/>
      <w:marRight w:val="0"/>
      <w:marTop w:val="0"/>
      <w:marBottom w:val="0"/>
      <w:divBdr>
        <w:top w:val="none" w:sz="0" w:space="0" w:color="auto"/>
        <w:left w:val="none" w:sz="0" w:space="0" w:color="auto"/>
        <w:bottom w:val="none" w:sz="0" w:space="0" w:color="auto"/>
        <w:right w:val="none" w:sz="0" w:space="0" w:color="auto"/>
      </w:divBdr>
    </w:div>
    <w:div w:id="742682943">
      <w:bodyDiv w:val="1"/>
      <w:marLeft w:val="0"/>
      <w:marRight w:val="0"/>
      <w:marTop w:val="0"/>
      <w:marBottom w:val="0"/>
      <w:divBdr>
        <w:top w:val="none" w:sz="0" w:space="0" w:color="auto"/>
        <w:left w:val="none" w:sz="0" w:space="0" w:color="auto"/>
        <w:bottom w:val="none" w:sz="0" w:space="0" w:color="auto"/>
        <w:right w:val="none" w:sz="0" w:space="0" w:color="auto"/>
      </w:divBdr>
    </w:div>
    <w:div w:id="746341684">
      <w:bodyDiv w:val="1"/>
      <w:marLeft w:val="0"/>
      <w:marRight w:val="0"/>
      <w:marTop w:val="0"/>
      <w:marBottom w:val="0"/>
      <w:divBdr>
        <w:top w:val="none" w:sz="0" w:space="0" w:color="auto"/>
        <w:left w:val="none" w:sz="0" w:space="0" w:color="auto"/>
        <w:bottom w:val="none" w:sz="0" w:space="0" w:color="auto"/>
        <w:right w:val="none" w:sz="0" w:space="0" w:color="auto"/>
      </w:divBdr>
    </w:div>
    <w:div w:id="747924554">
      <w:bodyDiv w:val="1"/>
      <w:marLeft w:val="0"/>
      <w:marRight w:val="0"/>
      <w:marTop w:val="0"/>
      <w:marBottom w:val="0"/>
      <w:divBdr>
        <w:top w:val="none" w:sz="0" w:space="0" w:color="auto"/>
        <w:left w:val="none" w:sz="0" w:space="0" w:color="auto"/>
        <w:bottom w:val="none" w:sz="0" w:space="0" w:color="auto"/>
        <w:right w:val="none" w:sz="0" w:space="0" w:color="auto"/>
      </w:divBdr>
    </w:div>
    <w:div w:id="758720760">
      <w:bodyDiv w:val="1"/>
      <w:marLeft w:val="0"/>
      <w:marRight w:val="0"/>
      <w:marTop w:val="0"/>
      <w:marBottom w:val="0"/>
      <w:divBdr>
        <w:top w:val="none" w:sz="0" w:space="0" w:color="auto"/>
        <w:left w:val="none" w:sz="0" w:space="0" w:color="auto"/>
        <w:bottom w:val="none" w:sz="0" w:space="0" w:color="auto"/>
        <w:right w:val="none" w:sz="0" w:space="0" w:color="auto"/>
      </w:divBdr>
      <w:divsChild>
        <w:div w:id="379478124">
          <w:marLeft w:val="230"/>
          <w:marRight w:val="0"/>
          <w:marTop w:val="60"/>
          <w:marBottom w:val="60"/>
          <w:divBdr>
            <w:top w:val="none" w:sz="0" w:space="0" w:color="auto"/>
            <w:left w:val="none" w:sz="0" w:space="0" w:color="auto"/>
            <w:bottom w:val="none" w:sz="0" w:space="0" w:color="auto"/>
            <w:right w:val="none" w:sz="0" w:space="0" w:color="auto"/>
          </w:divBdr>
        </w:div>
        <w:div w:id="630089753">
          <w:marLeft w:val="230"/>
          <w:marRight w:val="0"/>
          <w:marTop w:val="60"/>
          <w:marBottom w:val="60"/>
          <w:divBdr>
            <w:top w:val="none" w:sz="0" w:space="0" w:color="auto"/>
            <w:left w:val="none" w:sz="0" w:space="0" w:color="auto"/>
            <w:bottom w:val="none" w:sz="0" w:space="0" w:color="auto"/>
            <w:right w:val="none" w:sz="0" w:space="0" w:color="auto"/>
          </w:divBdr>
        </w:div>
        <w:div w:id="1141656838">
          <w:marLeft w:val="230"/>
          <w:marRight w:val="0"/>
          <w:marTop w:val="60"/>
          <w:marBottom w:val="60"/>
          <w:divBdr>
            <w:top w:val="none" w:sz="0" w:space="0" w:color="auto"/>
            <w:left w:val="none" w:sz="0" w:space="0" w:color="auto"/>
            <w:bottom w:val="none" w:sz="0" w:space="0" w:color="auto"/>
            <w:right w:val="none" w:sz="0" w:space="0" w:color="auto"/>
          </w:divBdr>
        </w:div>
      </w:divsChild>
    </w:div>
    <w:div w:id="779031769">
      <w:bodyDiv w:val="1"/>
      <w:marLeft w:val="0"/>
      <w:marRight w:val="0"/>
      <w:marTop w:val="0"/>
      <w:marBottom w:val="0"/>
      <w:divBdr>
        <w:top w:val="none" w:sz="0" w:space="0" w:color="auto"/>
        <w:left w:val="none" w:sz="0" w:space="0" w:color="auto"/>
        <w:bottom w:val="none" w:sz="0" w:space="0" w:color="auto"/>
        <w:right w:val="none" w:sz="0" w:space="0" w:color="auto"/>
      </w:divBdr>
    </w:div>
    <w:div w:id="786315919">
      <w:bodyDiv w:val="1"/>
      <w:marLeft w:val="0"/>
      <w:marRight w:val="0"/>
      <w:marTop w:val="0"/>
      <w:marBottom w:val="0"/>
      <w:divBdr>
        <w:top w:val="none" w:sz="0" w:space="0" w:color="auto"/>
        <w:left w:val="none" w:sz="0" w:space="0" w:color="auto"/>
        <w:bottom w:val="none" w:sz="0" w:space="0" w:color="auto"/>
        <w:right w:val="none" w:sz="0" w:space="0" w:color="auto"/>
      </w:divBdr>
    </w:div>
    <w:div w:id="799689280">
      <w:bodyDiv w:val="1"/>
      <w:marLeft w:val="0"/>
      <w:marRight w:val="0"/>
      <w:marTop w:val="0"/>
      <w:marBottom w:val="0"/>
      <w:divBdr>
        <w:top w:val="none" w:sz="0" w:space="0" w:color="auto"/>
        <w:left w:val="none" w:sz="0" w:space="0" w:color="auto"/>
        <w:bottom w:val="none" w:sz="0" w:space="0" w:color="auto"/>
        <w:right w:val="none" w:sz="0" w:space="0" w:color="auto"/>
      </w:divBdr>
      <w:divsChild>
        <w:div w:id="97796179">
          <w:marLeft w:val="0"/>
          <w:marRight w:val="0"/>
          <w:marTop w:val="0"/>
          <w:marBottom w:val="0"/>
          <w:divBdr>
            <w:top w:val="none" w:sz="0" w:space="0" w:color="auto"/>
            <w:left w:val="none" w:sz="0" w:space="0" w:color="auto"/>
            <w:bottom w:val="none" w:sz="0" w:space="0" w:color="auto"/>
            <w:right w:val="none" w:sz="0" w:space="0" w:color="auto"/>
          </w:divBdr>
        </w:div>
        <w:div w:id="1227300180">
          <w:marLeft w:val="0"/>
          <w:marRight w:val="0"/>
          <w:marTop w:val="0"/>
          <w:marBottom w:val="0"/>
          <w:divBdr>
            <w:top w:val="none" w:sz="0" w:space="0" w:color="auto"/>
            <w:left w:val="none" w:sz="0" w:space="0" w:color="auto"/>
            <w:bottom w:val="none" w:sz="0" w:space="0" w:color="auto"/>
            <w:right w:val="none" w:sz="0" w:space="0" w:color="auto"/>
          </w:divBdr>
        </w:div>
      </w:divsChild>
    </w:div>
    <w:div w:id="813836405">
      <w:bodyDiv w:val="1"/>
      <w:marLeft w:val="0"/>
      <w:marRight w:val="0"/>
      <w:marTop w:val="0"/>
      <w:marBottom w:val="0"/>
      <w:divBdr>
        <w:top w:val="none" w:sz="0" w:space="0" w:color="auto"/>
        <w:left w:val="none" w:sz="0" w:space="0" w:color="auto"/>
        <w:bottom w:val="none" w:sz="0" w:space="0" w:color="auto"/>
        <w:right w:val="none" w:sz="0" w:space="0" w:color="auto"/>
      </w:divBdr>
      <w:divsChild>
        <w:div w:id="1388990210">
          <w:marLeft w:val="230"/>
          <w:marRight w:val="0"/>
          <w:marTop w:val="60"/>
          <w:marBottom w:val="20"/>
          <w:divBdr>
            <w:top w:val="none" w:sz="0" w:space="0" w:color="auto"/>
            <w:left w:val="none" w:sz="0" w:space="0" w:color="auto"/>
            <w:bottom w:val="none" w:sz="0" w:space="0" w:color="auto"/>
            <w:right w:val="none" w:sz="0" w:space="0" w:color="auto"/>
          </w:divBdr>
        </w:div>
      </w:divsChild>
    </w:div>
    <w:div w:id="825560337">
      <w:bodyDiv w:val="1"/>
      <w:marLeft w:val="0"/>
      <w:marRight w:val="0"/>
      <w:marTop w:val="0"/>
      <w:marBottom w:val="0"/>
      <w:divBdr>
        <w:top w:val="none" w:sz="0" w:space="0" w:color="auto"/>
        <w:left w:val="none" w:sz="0" w:space="0" w:color="auto"/>
        <w:bottom w:val="none" w:sz="0" w:space="0" w:color="auto"/>
        <w:right w:val="none" w:sz="0" w:space="0" w:color="auto"/>
      </w:divBdr>
    </w:div>
    <w:div w:id="837887913">
      <w:bodyDiv w:val="1"/>
      <w:marLeft w:val="0"/>
      <w:marRight w:val="0"/>
      <w:marTop w:val="0"/>
      <w:marBottom w:val="0"/>
      <w:divBdr>
        <w:top w:val="none" w:sz="0" w:space="0" w:color="auto"/>
        <w:left w:val="none" w:sz="0" w:space="0" w:color="auto"/>
        <w:bottom w:val="none" w:sz="0" w:space="0" w:color="auto"/>
        <w:right w:val="none" w:sz="0" w:space="0" w:color="auto"/>
      </w:divBdr>
    </w:div>
    <w:div w:id="841317784">
      <w:bodyDiv w:val="1"/>
      <w:marLeft w:val="0"/>
      <w:marRight w:val="0"/>
      <w:marTop w:val="0"/>
      <w:marBottom w:val="0"/>
      <w:divBdr>
        <w:top w:val="none" w:sz="0" w:space="0" w:color="auto"/>
        <w:left w:val="none" w:sz="0" w:space="0" w:color="auto"/>
        <w:bottom w:val="none" w:sz="0" w:space="0" w:color="auto"/>
        <w:right w:val="none" w:sz="0" w:space="0" w:color="auto"/>
      </w:divBdr>
    </w:div>
    <w:div w:id="843201383">
      <w:bodyDiv w:val="1"/>
      <w:marLeft w:val="0"/>
      <w:marRight w:val="0"/>
      <w:marTop w:val="0"/>
      <w:marBottom w:val="0"/>
      <w:divBdr>
        <w:top w:val="none" w:sz="0" w:space="0" w:color="auto"/>
        <w:left w:val="none" w:sz="0" w:space="0" w:color="auto"/>
        <w:bottom w:val="none" w:sz="0" w:space="0" w:color="auto"/>
        <w:right w:val="none" w:sz="0" w:space="0" w:color="auto"/>
      </w:divBdr>
      <w:divsChild>
        <w:div w:id="668027070">
          <w:marLeft w:val="230"/>
          <w:marRight w:val="0"/>
          <w:marTop w:val="60"/>
          <w:marBottom w:val="60"/>
          <w:divBdr>
            <w:top w:val="none" w:sz="0" w:space="0" w:color="auto"/>
            <w:left w:val="none" w:sz="0" w:space="0" w:color="auto"/>
            <w:bottom w:val="none" w:sz="0" w:space="0" w:color="auto"/>
            <w:right w:val="none" w:sz="0" w:space="0" w:color="auto"/>
          </w:divBdr>
        </w:div>
      </w:divsChild>
    </w:div>
    <w:div w:id="875849210">
      <w:bodyDiv w:val="1"/>
      <w:marLeft w:val="0"/>
      <w:marRight w:val="0"/>
      <w:marTop w:val="0"/>
      <w:marBottom w:val="0"/>
      <w:divBdr>
        <w:top w:val="none" w:sz="0" w:space="0" w:color="auto"/>
        <w:left w:val="none" w:sz="0" w:space="0" w:color="auto"/>
        <w:bottom w:val="none" w:sz="0" w:space="0" w:color="auto"/>
        <w:right w:val="none" w:sz="0" w:space="0" w:color="auto"/>
      </w:divBdr>
      <w:divsChild>
        <w:div w:id="1464228773">
          <w:marLeft w:val="0"/>
          <w:marRight w:val="0"/>
          <w:marTop w:val="0"/>
          <w:marBottom w:val="0"/>
          <w:divBdr>
            <w:top w:val="none" w:sz="0" w:space="0" w:color="auto"/>
            <w:left w:val="none" w:sz="0" w:space="0" w:color="auto"/>
            <w:bottom w:val="none" w:sz="0" w:space="0" w:color="auto"/>
            <w:right w:val="none" w:sz="0" w:space="0" w:color="auto"/>
          </w:divBdr>
        </w:div>
      </w:divsChild>
    </w:div>
    <w:div w:id="883523474">
      <w:bodyDiv w:val="1"/>
      <w:marLeft w:val="0"/>
      <w:marRight w:val="0"/>
      <w:marTop w:val="0"/>
      <w:marBottom w:val="0"/>
      <w:divBdr>
        <w:top w:val="none" w:sz="0" w:space="0" w:color="auto"/>
        <w:left w:val="none" w:sz="0" w:space="0" w:color="auto"/>
        <w:bottom w:val="none" w:sz="0" w:space="0" w:color="auto"/>
        <w:right w:val="none" w:sz="0" w:space="0" w:color="auto"/>
      </w:divBdr>
    </w:div>
    <w:div w:id="915624880">
      <w:bodyDiv w:val="1"/>
      <w:marLeft w:val="0"/>
      <w:marRight w:val="0"/>
      <w:marTop w:val="0"/>
      <w:marBottom w:val="0"/>
      <w:divBdr>
        <w:top w:val="none" w:sz="0" w:space="0" w:color="auto"/>
        <w:left w:val="none" w:sz="0" w:space="0" w:color="auto"/>
        <w:bottom w:val="none" w:sz="0" w:space="0" w:color="auto"/>
        <w:right w:val="none" w:sz="0" w:space="0" w:color="auto"/>
      </w:divBdr>
    </w:div>
    <w:div w:id="975372922">
      <w:bodyDiv w:val="1"/>
      <w:marLeft w:val="0"/>
      <w:marRight w:val="0"/>
      <w:marTop w:val="0"/>
      <w:marBottom w:val="0"/>
      <w:divBdr>
        <w:top w:val="none" w:sz="0" w:space="0" w:color="auto"/>
        <w:left w:val="none" w:sz="0" w:space="0" w:color="auto"/>
        <w:bottom w:val="none" w:sz="0" w:space="0" w:color="auto"/>
        <w:right w:val="none" w:sz="0" w:space="0" w:color="auto"/>
      </w:divBdr>
    </w:div>
    <w:div w:id="989290509">
      <w:bodyDiv w:val="1"/>
      <w:marLeft w:val="0"/>
      <w:marRight w:val="0"/>
      <w:marTop w:val="0"/>
      <w:marBottom w:val="0"/>
      <w:divBdr>
        <w:top w:val="none" w:sz="0" w:space="0" w:color="auto"/>
        <w:left w:val="none" w:sz="0" w:space="0" w:color="auto"/>
        <w:bottom w:val="none" w:sz="0" w:space="0" w:color="auto"/>
        <w:right w:val="none" w:sz="0" w:space="0" w:color="auto"/>
      </w:divBdr>
    </w:div>
    <w:div w:id="1013459320">
      <w:bodyDiv w:val="1"/>
      <w:marLeft w:val="0"/>
      <w:marRight w:val="0"/>
      <w:marTop w:val="0"/>
      <w:marBottom w:val="0"/>
      <w:divBdr>
        <w:top w:val="none" w:sz="0" w:space="0" w:color="auto"/>
        <w:left w:val="none" w:sz="0" w:space="0" w:color="auto"/>
        <w:bottom w:val="none" w:sz="0" w:space="0" w:color="auto"/>
        <w:right w:val="none" w:sz="0" w:space="0" w:color="auto"/>
      </w:divBdr>
    </w:div>
    <w:div w:id="1013802607">
      <w:bodyDiv w:val="1"/>
      <w:marLeft w:val="0"/>
      <w:marRight w:val="0"/>
      <w:marTop w:val="0"/>
      <w:marBottom w:val="0"/>
      <w:divBdr>
        <w:top w:val="none" w:sz="0" w:space="0" w:color="auto"/>
        <w:left w:val="none" w:sz="0" w:space="0" w:color="auto"/>
        <w:bottom w:val="none" w:sz="0" w:space="0" w:color="auto"/>
        <w:right w:val="none" w:sz="0" w:space="0" w:color="auto"/>
      </w:divBdr>
    </w:div>
    <w:div w:id="1034382719">
      <w:bodyDiv w:val="1"/>
      <w:marLeft w:val="0"/>
      <w:marRight w:val="0"/>
      <w:marTop w:val="0"/>
      <w:marBottom w:val="0"/>
      <w:divBdr>
        <w:top w:val="none" w:sz="0" w:space="0" w:color="auto"/>
        <w:left w:val="none" w:sz="0" w:space="0" w:color="auto"/>
        <w:bottom w:val="none" w:sz="0" w:space="0" w:color="auto"/>
        <w:right w:val="none" w:sz="0" w:space="0" w:color="auto"/>
      </w:divBdr>
    </w:div>
    <w:div w:id="1044255959">
      <w:bodyDiv w:val="1"/>
      <w:marLeft w:val="0"/>
      <w:marRight w:val="0"/>
      <w:marTop w:val="0"/>
      <w:marBottom w:val="0"/>
      <w:divBdr>
        <w:top w:val="none" w:sz="0" w:space="0" w:color="auto"/>
        <w:left w:val="none" w:sz="0" w:space="0" w:color="auto"/>
        <w:bottom w:val="none" w:sz="0" w:space="0" w:color="auto"/>
        <w:right w:val="none" w:sz="0" w:space="0" w:color="auto"/>
      </w:divBdr>
      <w:divsChild>
        <w:div w:id="149911004">
          <w:marLeft w:val="274"/>
          <w:marRight w:val="0"/>
          <w:marTop w:val="0"/>
          <w:marBottom w:val="0"/>
          <w:divBdr>
            <w:top w:val="none" w:sz="0" w:space="0" w:color="auto"/>
            <w:left w:val="none" w:sz="0" w:space="0" w:color="auto"/>
            <w:bottom w:val="none" w:sz="0" w:space="0" w:color="auto"/>
            <w:right w:val="none" w:sz="0" w:space="0" w:color="auto"/>
          </w:divBdr>
        </w:div>
        <w:div w:id="257300938">
          <w:marLeft w:val="274"/>
          <w:marRight w:val="0"/>
          <w:marTop w:val="0"/>
          <w:marBottom w:val="0"/>
          <w:divBdr>
            <w:top w:val="none" w:sz="0" w:space="0" w:color="auto"/>
            <w:left w:val="none" w:sz="0" w:space="0" w:color="auto"/>
            <w:bottom w:val="none" w:sz="0" w:space="0" w:color="auto"/>
            <w:right w:val="none" w:sz="0" w:space="0" w:color="auto"/>
          </w:divBdr>
        </w:div>
        <w:div w:id="432668891">
          <w:marLeft w:val="274"/>
          <w:marRight w:val="0"/>
          <w:marTop w:val="0"/>
          <w:marBottom w:val="0"/>
          <w:divBdr>
            <w:top w:val="none" w:sz="0" w:space="0" w:color="auto"/>
            <w:left w:val="none" w:sz="0" w:space="0" w:color="auto"/>
            <w:bottom w:val="none" w:sz="0" w:space="0" w:color="auto"/>
            <w:right w:val="none" w:sz="0" w:space="0" w:color="auto"/>
          </w:divBdr>
        </w:div>
        <w:div w:id="465315390">
          <w:marLeft w:val="274"/>
          <w:marRight w:val="0"/>
          <w:marTop w:val="0"/>
          <w:marBottom w:val="0"/>
          <w:divBdr>
            <w:top w:val="none" w:sz="0" w:space="0" w:color="auto"/>
            <w:left w:val="none" w:sz="0" w:space="0" w:color="auto"/>
            <w:bottom w:val="none" w:sz="0" w:space="0" w:color="auto"/>
            <w:right w:val="none" w:sz="0" w:space="0" w:color="auto"/>
          </w:divBdr>
        </w:div>
        <w:div w:id="1418481089">
          <w:marLeft w:val="274"/>
          <w:marRight w:val="0"/>
          <w:marTop w:val="0"/>
          <w:marBottom w:val="0"/>
          <w:divBdr>
            <w:top w:val="none" w:sz="0" w:space="0" w:color="auto"/>
            <w:left w:val="none" w:sz="0" w:space="0" w:color="auto"/>
            <w:bottom w:val="none" w:sz="0" w:space="0" w:color="auto"/>
            <w:right w:val="none" w:sz="0" w:space="0" w:color="auto"/>
          </w:divBdr>
        </w:div>
        <w:div w:id="1660688080">
          <w:marLeft w:val="274"/>
          <w:marRight w:val="0"/>
          <w:marTop w:val="0"/>
          <w:marBottom w:val="0"/>
          <w:divBdr>
            <w:top w:val="none" w:sz="0" w:space="0" w:color="auto"/>
            <w:left w:val="none" w:sz="0" w:space="0" w:color="auto"/>
            <w:bottom w:val="none" w:sz="0" w:space="0" w:color="auto"/>
            <w:right w:val="none" w:sz="0" w:space="0" w:color="auto"/>
          </w:divBdr>
        </w:div>
        <w:div w:id="1661735446">
          <w:marLeft w:val="274"/>
          <w:marRight w:val="0"/>
          <w:marTop w:val="0"/>
          <w:marBottom w:val="0"/>
          <w:divBdr>
            <w:top w:val="none" w:sz="0" w:space="0" w:color="auto"/>
            <w:left w:val="none" w:sz="0" w:space="0" w:color="auto"/>
            <w:bottom w:val="none" w:sz="0" w:space="0" w:color="auto"/>
            <w:right w:val="none" w:sz="0" w:space="0" w:color="auto"/>
          </w:divBdr>
        </w:div>
        <w:div w:id="1678196090">
          <w:marLeft w:val="274"/>
          <w:marRight w:val="0"/>
          <w:marTop w:val="0"/>
          <w:marBottom w:val="0"/>
          <w:divBdr>
            <w:top w:val="none" w:sz="0" w:space="0" w:color="auto"/>
            <w:left w:val="none" w:sz="0" w:space="0" w:color="auto"/>
            <w:bottom w:val="none" w:sz="0" w:space="0" w:color="auto"/>
            <w:right w:val="none" w:sz="0" w:space="0" w:color="auto"/>
          </w:divBdr>
        </w:div>
      </w:divsChild>
    </w:div>
    <w:div w:id="1054544572">
      <w:bodyDiv w:val="1"/>
      <w:marLeft w:val="0"/>
      <w:marRight w:val="0"/>
      <w:marTop w:val="0"/>
      <w:marBottom w:val="0"/>
      <w:divBdr>
        <w:top w:val="none" w:sz="0" w:space="0" w:color="auto"/>
        <w:left w:val="none" w:sz="0" w:space="0" w:color="auto"/>
        <w:bottom w:val="none" w:sz="0" w:space="0" w:color="auto"/>
        <w:right w:val="none" w:sz="0" w:space="0" w:color="auto"/>
      </w:divBdr>
    </w:div>
    <w:div w:id="1080130994">
      <w:bodyDiv w:val="1"/>
      <w:marLeft w:val="0"/>
      <w:marRight w:val="0"/>
      <w:marTop w:val="0"/>
      <w:marBottom w:val="0"/>
      <w:divBdr>
        <w:top w:val="none" w:sz="0" w:space="0" w:color="auto"/>
        <w:left w:val="none" w:sz="0" w:space="0" w:color="auto"/>
        <w:bottom w:val="none" w:sz="0" w:space="0" w:color="auto"/>
        <w:right w:val="none" w:sz="0" w:space="0" w:color="auto"/>
      </w:divBdr>
    </w:div>
    <w:div w:id="1085079782">
      <w:bodyDiv w:val="1"/>
      <w:marLeft w:val="0"/>
      <w:marRight w:val="0"/>
      <w:marTop w:val="0"/>
      <w:marBottom w:val="0"/>
      <w:divBdr>
        <w:top w:val="none" w:sz="0" w:space="0" w:color="auto"/>
        <w:left w:val="none" w:sz="0" w:space="0" w:color="auto"/>
        <w:bottom w:val="none" w:sz="0" w:space="0" w:color="auto"/>
        <w:right w:val="none" w:sz="0" w:space="0" w:color="auto"/>
      </w:divBdr>
    </w:div>
    <w:div w:id="1091464681">
      <w:bodyDiv w:val="1"/>
      <w:marLeft w:val="0"/>
      <w:marRight w:val="0"/>
      <w:marTop w:val="0"/>
      <w:marBottom w:val="0"/>
      <w:divBdr>
        <w:top w:val="none" w:sz="0" w:space="0" w:color="auto"/>
        <w:left w:val="none" w:sz="0" w:space="0" w:color="auto"/>
        <w:bottom w:val="none" w:sz="0" w:space="0" w:color="auto"/>
        <w:right w:val="none" w:sz="0" w:space="0" w:color="auto"/>
      </w:divBdr>
      <w:divsChild>
        <w:div w:id="190579714">
          <w:marLeft w:val="274"/>
          <w:marRight w:val="0"/>
          <w:marTop w:val="0"/>
          <w:marBottom w:val="0"/>
          <w:divBdr>
            <w:top w:val="none" w:sz="0" w:space="0" w:color="auto"/>
            <w:left w:val="none" w:sz="0" w:space="0" w:color="auto"/>
            <w:bottom w:val="none" w:sz="0" w:space="0" w:color="auto"/>
            <w:right w:val="none" w:sz="0" w:space="0" w:color="auto"/>
          </w:divBdr>
        </w:div>
        <w:div w:id="286085226">
          <w:marLeft w:val="274"/>
          <w:marRight w:val="0"/>
          <w:marTop w:val="0"/>
          <w:marBottom w:val="0"/>
          <w:divBdr>
            <w:top w:val="none" w:sz="0" w:space="0" w:color="auto"/>
            <w:left w:val="none" w:sz="0" w:space="0" w:color="auto"/>
            <w:bottom w:val="none" w:sz="0" w:space="0" w:color="auto"/>
            <w:right w:val="none" w:sz="0" w:space="0" w:color="auto"/>
          </w:divBdr>
        </w:div>
        <w:div w:id="475412005">
          <w:marLeft w:val="274"/>
          <w:marRight w:val="0"/>
          <w:marTop w:val="0"/>
          <w:marBottom w:val="0"/>
          <w:divBdr>
            <w:top w:val="none" w:sz="0" w:space="0" w:color="auto"/>
            <w:left w:val="none" w:sz="0" w:space="0" w:color="auto"/>
            <w:bottom w:val="none" w:sz="0" w:space="0" w:color="auto"/>
            <w:right w:val="none" w:sz="0" w:space="0" w:color="auto"/>
          </w:divBdr>
        </w:div>
        <w:div w:id="531189439">
          <w:marLeft w:val="274"/>
          <w:marRight w:val="0"/>
          <w:marTop w:val="0"/>
          <w:marBottom w:val="0"/>
          <w:divBdr>
            <w:top w:val="none" w:sz="0" w:space="0" w:color="auto"/>
            <w:left w:val="none" w:sz="0" w:space="0" w:color="auto"/>
            <w:bottom w:val="none" w:sz="0" w:space="0" w:color="auto"/>
            <w:right w:val="none" w:sz="0" w:space="0" w:color="auto"/>
          </w:divBdr>
        </w:div>
        <w:div w:id="975525987">
          <w:marLeft w:val="274"/>
          <w:marRight w:val="0"/>
          <w:marTop w:val="0"/>
          <w:marBottom w:val="0"/>
          <w:divBdr>
            <w:top w:val="none" w:sz="0" w:space="0" w:color="auto"/>
            <w:left w:val="none" w:sz="0" w:space="0" w:color="auto"/>
            <w:bottom w:val="none" w:sz="0" w:space="0" w:color="auto"/>
            <w:right w:val="none" w:sz="0" w:space="0" w:color="auto"/>
          </w:divBdr>
        </w:div>
        <w:div w:id="1379472061">
          <w:marLeft w:val="274"/>
          <w:marRight w:val="0"/>
          <w:marTop w:val="0"/>
          <w:marBottom w:val="0"/>
          <w:divBdr>
            <w:top w:val="none" w:sz="0" w:space="0" w:color="auto"/>
            <w:left w:val="none" w:sz="0" w:space="0" w:color="auto"/>
            <w:bottom w:val="none" w:sz="0" w:space="0" w:color="auto"/>
            <w:right w:val="none" w:sz="0" w:space="0" w:color="auto"/>
          </w:divBdr>
        </w:div>
        <w:div w:id="1670937971">
          <w:marLeft w:val="274"/>
          <w:marRight w:val="0"/>
          <w:marTop w:val="0"/>
          <w:marBottom w:val="0"/>
          <w:divBdr>
            <w:top w:val="none" w:sz="0" w:space="0" w:color="auto"/>
            <w:left w:val="none" w:sz="0" w:space="0" w:color="auto"/>
            <w:bottom w:val="none" w:sz="0" w:space="0" w:color="auto"/>
            <w:right w:val="none" w:sz="0" w:space="0" w:color="auto"/>
          </w:divBdr>
        </w:div>
        <w:div w:id="1891766336">
          <w:marLeft w:val="274"/>
          <w:marRight w:val="0"/>
          <w:marTop w:val="0"/>
          <w:marBottom w:val="0"/>
          <w:divBdr>
            <w:top w:val="none" w:sz="0" w:space="0" w:color="auto"/>
            <w:left w:val="none" w:sz="0" w:space="0" w:color="auto"/>
            <w:bottom w:val="none" w:sz="0" w:space="0" w:color="auto"/>
            <w:right w:val="none" w:sz="0" w:space="0" w:color="auto"/>
          </w:divBdr>
        </w:div>
        <w:div w:id="1903559978">
          <w:marLeft w:val="274"/>
          <w:marRight w:val="0"/>
          <w:marTop w:val="0"/>
          <w:marBottom w:val="0"/>
          <w:divBdr>
            <w:top w:val="none" w:sz="0" w:space="0" w:color="auto"/>
            <w:left w:val="none" w:sz="0" w:space="0" w:color="auto"/>
            <w:bottom w:val="none" w:sz="0" w:space="0" w:color="auto"/>
            <w:right w:val="none" w:sz="0" w:space="0" w:color="auto"/>
          </w:divBdr>
        </w:div>
        <w:div w:id="1942444352">
          <w:marLeft w:val="274"/>
          <w:marRight w:val="0"/>
          <w:marTop w:val="0"/>
          <w:marBottom w:val="0"/>
          <w:divBdr>
            <w:top w:val="none" w:sz="0" w:space="0" w:color="auto"/>
            <w:left w:val="none" w:sz="0" w:space="0" w:color="auto"/>
            <w:bottom w:val="none" w:sz="0" w:space="0" w:color="auto"/>
            <w:right w:val="none" w:sz="0" w:space="0" w:color="auto"/>
          </w:divBdr>
        </w:div>
      </w:divsChild>
    </w:div>
    <w:div w:id="1107892090">
      <w:bodyDiv w:val="1"/>
      <w:marLeft w:val="0"/>
      <w:marRight w:val="0"/>
      <w:marTop w:val="0"/>
      <w:marBottom w:val="0"/>
      <w:divBdr>
        <w:top w:val="none" w:sz="0" w:space="0" w:color="auto"/>
        <w:left w:val="none" w:sz="0" w:space="0" w:color="auto"/>
        <w:bottom w:val="none" w:sz="0" w:space="0" w:color="auto"/>
        <w:right w:val="none" w:sz="0" w:space="0" w:color="auto"/>
      </w:divBdr>
      <w:divsChild>
        <w:div w:id="719286155">
          <w:marLeft w:val="0"/>
          <w:marRight w:val="0"/>
          <w:marTop w:val="0"/>
          <w:marBottom w:val="0"/>
          <w:divBdr>
            <w:top w:val="none" w:sz="0" w:space="0" w:color="auto"/>
            <w:left w:val="none" w:sz="0" w:space="0" w:color="auto"/>
            <w:bottom w:val="none" w:sz="0" w:space="0" w:color="auto"/>
            <w:right w:val="none" w:sz="0" w:space="0" w:color="auto"/>
          </w:divBdr>
        </w:div>
        <w:div w:id="960844214">
          <w:marLeft w:val="0"/>
          <w:marRight w:val="0"/>
          <w:marTop w:val="0"/>
          <w:marBottom w:val="0"/>
          <w:divBdr>
            <w:top w:val="none" w:sz="0" w:space="0" w:color="auto"/>
            <w:left w:val="none" w:sz="0" w:space="0" w:color="auto"/>
            <w:bottom w:val="none" w:sz="0" w:space="0" w:color="auto"/>
            <w:right w:val="none" w:sz="0" w:space="0" w:color="auto"/>
          </w:divBdr>
        </w:div>
        <w:div w:id="978222848">
          <w:marLeft w:val="0"/>
          <w:marRight w:val="0"/>
          <w:marTop w:val="0"/>
          <w:marBottom w:val="0"/>
          <w:divBdr>
            <w:top w:val="none" w:sz="0" w:space="0" w:color="auto"/>
            <w:left w:val="none" w:sz="0" w:space="0" w:color="auto"/>
            <w:bottom w:val="none" w:sz="0" w:space="0" w:color="auto"/>
            <w:right w:val="none" w:sz="0" w:space="0" w:color="auto"/>
          </w:divBdr>
        </w:div>
        <w:div w:id="1084110615">
          <w:marLeft w:val="0"/>
          <w:marRight w:val="0"/>
          <w:marTop w:val="0"/>
          <w:marBottom w:val="0"/>
          <w:divBdr>
            <w:top w:val="none" w:sz="0" w:space="0" w:color="auto"/>
            <w:left w:val="none" w:sz="0" w:space="0" w:color="auto"/>
            <w:bottom w:val="none" w:sz="0" w:space="0" w:color="auto"/>
            <w:right w:val="none" w:sz="0" w:space="0" w:color="auto"/>
          </w:divBdr>
        </w:div>
        <w:div w:id="1104348786">
          <w:marLeft w:val="0"/>
          <w:marRight w:val="0"/>
          <w:marTop w:val="0"/>
          <w:marBottom w:val="0"/>
          <w:divBdr>
            <w:top w:val="none" w:sz="0" w:space="0" w:color="auto"/>
            <w:left w:val="none" w:sz="0" w:space="0" w:color="auto"/>
            <w:bottom w:val="none" w:sz="0" w:space="0" w:color="auto"/>
            <w:right w:val="none" w:sz="0" w:space="0" w:color="auto"/>
          </w:divBdr>
        </w:div>
        <w:div w:id="1180508437">
          <w:marLeft w:val="0"/>
          <w:marRight w:val="0"/>
          <w:marTop w:val="0"/>
          <w:marBottom w:val="0"/>
          <w:divBdr>
            <w:top w:val="none" w:sz="0" w:space="0" w:color="auto"/>
            <w:left w:val="none" w:sz="0" w:space="0" w:color="auto"/>
            <w:bottom w:val="none" w:sz="0" w:space="0" w:color="auto"/>
            <w:right w:val="none" w:sz="0" w:space="0" w:color="auto"/>
          </w:divBdr>
        </w:div>
        <w:div w:id="1521237855">
          <w:marLeft w:val="0"/>
          <w:marRight w:val="0"/>
          <w:marTop w:val="0"/>
          <w:marBottom w:val="0"/>
          <w:divBdr>
            <w:top w:val="none" w:sz="0" w:space="0" w:color="auto"/>
            <w:left w:val="none" w:sz="0" w:space="0" w:color="auto"/>
            <w:bottom w:val="none" w:sz="0" w:space="0" w:color="auto"/>
            <w:right w:val="none" w:sz="0" w:space="0" w:color="auto"/>
          </w:divBdr>
        </w:div>
        <w:div w:id="1549219316">
          <w:marLeft w:val="0"/>
          <w:marRight w:val="0"/>
          <w:marTop w:val="0"/>
          <w:marBottom w:val="0"/>
          <w:divBdr>
            <w:top w:val="none" w:sz="0" w:space="0" w:color="auto"/>
            <w:left w:val="none" w:sz="0" w:space="0" w:color="auto"/>
            <w:bottom w:val="none" w:sz="0" w:space="0" w:color="auto"/>
            <w:right w:val="none" w:sz="0" w:space="0" w:color="auto"/>
          </w:divBdr>
        </w:div>
        <w:div w:id="1581481380">
          <w:marLeft w:val="0"/>
          <w:marRight w:val="0"/>
          <w:marTop w:val="0"/>
          <w:marBottom w:val="0"/>
          <w:divBdr>
            <w:top w:val="none" w:sz="0" w:space="0" w:color="auto"/>
            <w:left w:val="none" w:sz="0" w:space="0" w:color="auto"/>
            <w:bottom w:val="none" w:sz="0" w:space="0" w:color="auto"/>
            <w:right w:val="none" w:sz="0" w:space="0" w:color="auto"/>
          </w:divBdr>
        </w:div>
        <w:div w:id="1637447163">
          <w:marLeft w:val="0"/>
          <w:marRight w:val="0"/>
          <w:marTop w:val="0"/>
          <w:marBottom w:val="0"/>
          <w:divBdr>
            <w:top w:val="none" w:sz="0" w:space="0" w:color="auto"/>
            <w:left w:val="none" w:sz="0" w:space="0" w:color="auto"/>
            <w:bottom w:val="none" w:sz="0" w:space="0" w:color="auto"/>
            <w:right w:val="none" w:sz="0" w:space="0" w:color="auto"/>
          </w:divBdr>
          <w:divsChild>
            <w:div w:id="577521458">
              <w:marLeft w:val="-75"/>
              <w:marRight w:val="0"/>
              <w:marTop w:val="30"/>
              <w:marBottom w:val="30"/>
              <w:divBdr>
                <w:top w:val="none" w:sz="0" w:space="0" w:color="auto"/>
                <w:left w:val="none" w:sz="0" w:space="0" w:color="auto"/>
                <w:bottom w:val="none" w:sz="0" w:space="0" w:color="auto"/>
                <w:right w:val="none" w:sz="0" w:space="0" w:color="auto"/>
              </w:divBdr>
              <w:divsChild>
                <w:div w:id="314190452">
                  <w:marLeft w:val="0"/>
                  <w:marRight w:val="0"/>
                  <w:marTop w:val="0"/>
                  <w:marBottom w:val="0"/>
                  <w:divBdr>
                    <w:top w:val="none" w:sz="0" w:space="0" w:color="auto"/>
                    <w:left w:val="none" w:sz="0" w:space="0" w:color="auto"/>
                    <w:bottom w:val="none" w:sz="0" w:space="0" w:color="auto"/>
                    <w:right w:val="none" w:sz="0" w:space="0" w:color="auto"/>
                  </w:divBdr>
                  <w:divsChild>
                    <w:div w:id="1101144567">
                      <w:marLeft w:val="0"/>
                      <w:marRight w:val="0"/>
                      <w:marTop w:val="0"/>
                      <w:marBottom w:val="0"/>
                      <w:divBdr>
                        <w:top w:val="none" w:sz="0" w:space="0" w:color="auto"/>
                        <w:left w:val="none" w:sz="0" w:space="0" w:color="auto"/>
                        <w:bottom w:val="none" w:sz="0" w:space="0" w:color="auto"/>
                        <w:right w:val="none" w:sz="0" w:space="0" w:color="auto"/>
                      </w:divBdr>
                    </w:div>
                  </w:divsChild>
                </w:div>
                <w:div w:id="1287352933">
                  <w:marLeft w:val="0"/>
                  <w:marRight w:val="0"/>
                  <w:marTop w:val="0"/>
                  <w:marBottom w:val="0"/>
                  <w:divBdr>
                    <w:top w:val="none" w:sz="0" w:space="0" w:color="auto"/>
                    <w:left w:val="none" w:sz="0" w:space="0" w:color="auto"/>
                    <w:bottom w:val="none" w:sz="0" w:space="0" w:color="auto"/>
                    <w:right w:val="none" w:sz="0" w:space="0" w:color="auto"/>
                  </w:divBdr>
                  <w:divsChild>
                    <w:div w:id="490754756">
                      <w:marLeft w:val="0"/>
                      <w:marRight w:val="0"/>
                      <w:marTop w:val="0"/>
                      <w:marBottom w:val="0"/>
                      <w:divBdr>
                        <w:top w:val="none" w:sz="0" w:space="0" w:color="auto"/>
                        <w:left w:val="none" w:sz="0" w:space="0" w:color="auto"/>
                        <w:bottom w:val="none" w:sz="0" w:space="0" w:color="auto"/>
                        <w:right w:val="none" w:sz="0" w:space="0" w:color="auto"/>
                      </w:divBdr>
                    </w:div>
                  </w:divsChild>
                </w:div>
                <w:div w:id="1997103314">
                  <w:marLeft w:val="0"/>
                  <w:marRight w:val="0"/>
                  <w:marTop w:val="0"/>
                  <w:marBottom w:val="0"/>
                  <w:divBdr>
                    <w:top w:val="none" w:sz="0" w:space="0" w:color="auto"/>
                    <w:left w:val="none" w:sz="0" w:space="0" w:color="auto"/>
                    <w:bottom w:val="none" w:sz="0" w:space="0" w:color="auto"/>
                    <w:right w:val="none" w:sz="0" w:space="0" w:color="auto"/>
                  </w:divBdr>
                  <w:divsChild>
                    <w:div w:id="362828619">
                      <w:marLeft w:val="0"/>
                      <w:marRight w:val="0"/>
                      <w:marTop w:val="0"/>
                      <w:marBottom w:val="0"/>
                      <w:divBdr>
                        <w:top w:val="none" w:sz="0" w:space="0" w:color="auto"/>
                        <w:left w:val="none" w:sz="0" w:space="0" w:color="auto"/>
                        <w:bottom w:val="none" w:sz="0" w:space="0" w:color="auto"/>
                        <w:right w:val="none" w:sz="0" w:space="0" w:color="auto"/>
                      </w:divBdr>
                    </w:div>
                  </w:divsChild>
                </w:div>
                <w:div w:id="2097676909">
                  <w:marLeft w:val="0"/>
                  <w:marRight w:val="0"/>
                  <w:marTop w:val="0"/>
                  <w:marBottom w:val="0"/>
                  <w:divBdr>
                    <w:top w:val="none" w:sz="0" w:space="0" w:color="auto"/>
                    <w:left w:val="none" w:sz="0" w:space="0" w:color="auto"/>
                    <w:bottom w:val="none" w:sz="0" w:space="0" w:color="auto"/>
                    <w:right w:val="none" w:sz="0" w:space="0" w:color="auto"/>
                  </w:divBdr>
                  <w:divsChild>
                    <w:div w:id="1848715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400002">
          <w:marLeft w:val="0"/>
          <w:marRight w:val="0"/>
          <w:marTop w:val="0"/>
          <w:marBottom w:val="0"/>
          <w:divBdr>
            <w:top w:val="none" w:sz="0" w:space="0" w:color="auto"/>
            <w:left w:val="none" w:sz="0" w:space="0" w:color="auto"/>
            <w:bottom w:val="none" w:sz="0" w:space="0" w:color="auto"/>
            <w:right w:val="none" w:sz="0" w:space="0" w:color="auto"/>
          </w:divBdr>
        </w:div>
      </w:divsChild>
    </w:div>
    <w:div w:id="1108500148">
      <w:bodyDiv w:val="1"/>
      <w:marLeft w:val="0"/>
      <w:marRight w:val="0"/>
      <w:marTop w:val="0"/>
      <w:marBottom w:val="0"/>
      <w:divBdr>
        <w:top w:val="none" w:sz="0" w:space="0" w:color="auto"/>
        <w:left w:val="none" w:sz="0" w:space="0" w:color="auto"/>
        <w:bottom w:val="none" w:sz="0" w:space="0" w:color="auto"/>
        <w:right w:val="none" w:sz="0" w:space="0" w:color="auto"/>
      </w:divBdr>
    </w:div>
    <w:div w:id="1121656377">
      <w:bodyDiv w:val="1"/>
      <w:marLeft w:val="0"/>
      <w:marRight w:val="0"/>
      <w:marTop w:val="0"/>
      <w:marBottom w:val="0"/>
      <w:divBdr>
        <w:top w:val="none" w:sz="0" w:space="0" w:color="auto"/>
        <w:left w:val="none" w:sz="0" w:space="0" w:color="auto"/>
        <w:bottom w:val="none" w:sz="0" w:space="0" w:color="auto"/>
        <w:right w:val="none" w:sz="0" w:space="0" w:color="auto"/>
      </w:divBdr>
    </w:div>
    <w:div w:id="1124882395">
      <w:bodyDiv w:val="1"/>
      <w:marLeft w:val="0"/>
      <w:marRight w:val="0"/>
      <w:marTop w:val="0"/>
      <w:marBottom w:val="0"/>
      <w:divBdr>
        <w:top w:val="none" w:sz="0" w:space="0" w:color="auto"/>
        <w:left w:val="none" w:sz="0" w:space="0" w:color="auto"/>
        <w:bottom w:val="none" w:sz="0" w:space="0" w:color="auto"/>
        <w:right w:val="none" w:sz="0" w:space="0" w:color="auto"/>
      </w:divBdr>
    </w:div>
    <w:div w:id="1128550393">
      <w:bodyDiv w:val="1"/>
      <w:marLeft w:val="0"/>
      <w:marRight w:val="0"/>
      <w:marTop w:val="0"/>
      <w:marBottom w:val="0"/>
      <w:divBdr>
        <w:top w:val="none" w:sz="0" w:space="0" w:color="auto"/>
        <w:left w:val="none" w:sz="0" w:space="0" w:color="auto"/>
        <w:bottom w:val="none" w:sz="0" w:space="0" w:color="auto"/>
        <w:right w:val="none" w:sz="0" w:space="0" w:color="auto"/>
      </w:divBdr>
    </w:div>
    <w:div w:id="1163664065">
      <w:bodyDiv w:val="1"/>
      <w:marLeft w:val="0"/>
      <w:marRight w:val="0"/>
      <w:marTop w:val="0"/>
      <w:marBottom w:val="0"/>
      <w:divBdr>
        <w:top w:val="none" w:sz="0" w:space="0" w:color="auto"/>
        <w:left w:val="none" w:sz="0" w:space="0" w:color="auto"/>
        <w:bottom w:val="none" w:sz="0" w:space="0" w:color="auto"/>
        <w:right w:val="none" w:sz="0" w:space="0" w:color="auto"/>
      </w:divBdr>
      <w:divsChild>
        <w:div w:id="1293751101">
          <w:marLeft w:val="230"/>
          <w:marRight w:val="0"/>
          <w:marTop w:val="60"/>
          <w:marBottom w:val="60"/>
          <w:divBdr>
            <w:top w:val="none" w:sz="0" w:space="0" w:color="auto"/>
            <w:left w:val="none" w:sz="0" w:space="0" w:color="auto"/>
            <w:bottom w:val="none" w:sz="0" w:space="0" w:color="auto"/>
            <w:right w:val="none" w:sz="0" w:space="0" w:color="auto"/>
          </w:divBdr>
        </w:div>
        <w:div w:id="1897549752">
          <w:marLeft w:val="230"/>
          <w:marRight w:val="0"/>
          <w:marTop w:val="60"/>
          <w:marBottom w:val="60"/>
          <w:divBdr>
            <w:top w:val="none" w:sz="0" w:space="0" w:color="auto"/>
            <w:left w:val="none" w:sz="0" w:space="0" w:color="auto"/>
            <w:bottom w:val="none" w:sz="0" w:space="0" w:color="auto"/>
            <w:right w:val="none" w:sz="0" w:space="0" w:color="auto"/>
          </w:divBdr>
        </w:div>
        <w:div w:id="2130077178">
          <w:marLeft w:val="230"/>
          <w:marRight w:val="0"/>
          <w:marTop w:val="60"/>
          <w:marBottom w:val="60"/>
          <w:divBdr>
            <w:top w:val="none" w:sz="0" w:space="0" w:color="auto"/>
            <w:left w:val="none" w:sz="0" w:space="0" w:color="auto"/>
            <w:bottom w:val="none" w:sz="0" w:space="0" w:color="auto"/>
            <w:right w:val="none" w:sz="0" w:space="0" w:color="auto"/>
          </w:divBdr>
        </w:div>
      </w:divsChild>
    </w:div>
    <w:div w:id="1166439648">
      <w:bodyDiv w:val="1"/>
      <w:marLeft w:val="0"/>
      <w:marRight w:val="0"/>
      <w:marTop w:val="0"/>
      <w:marBottom w:val="0"/>
      <w:divBdr>
        <w:top w:val="none" w:sz="0" w:space="0" w:color="auto"/>
        <w:left w:val="none" w:sz="0" w:space="0" w:color="auto"/>
        <w:bottom w:val="none" w:sz="0" w:space="0" w:color="auto"/>
        <w:right w:val="none" w:sz="0" w:space="0" w:color="auto"/>
      </w:divBdr>
    </w:div>
    <w:div w:id="1180192291">
      <w:bodyDiv w:val="1"/>
      <w:marLeft w:val="0"/>
      <w:marRight w:val="0"/>
      <w:marTop w:val="0"/>
      <w:marBottom w:val="0"/>
      <w:divBdr>
        <w:top w:val="none" w:sz="0" w:space="0" w:color="auto"/>
        <w:left w:val="none" w:sz="0" w:space="0" w:color="auto"/>
        <w:bottom w:val="none" w:sz="0" w:space="0" w:color="auto"/>
        <w:right w:val="none" w:sz="0" w:space="0" w:color="auto"/>
      </w:divBdr>
      <w:divsChild>
        <w:div w:id="120157004">
          <w:marLeft w:val="1166"/>
          <w:marRight w:val="0"/>
          <w:marTop w:val="0"/>
          <w:marBottom w:val="0"/>
          <w:divBdr>
            <w:top w:val="none" w:sz="0" w:space="0" w:color="auto"/>
            <w:left w:val="none" w:sz="0" w:space="0" w:color="auto"/>
            <w:bottom w:val="none" w:sz="0" w:space="0" w:color="auto"/>
            <w:right w:val="none" w:sz="0" w:space="0" w:color="auto"/>
          </w:divBdr>
        </w:div>
      </w:divsChild>
    </w:div>
    <w:div w:id="1192373818">
      <w:bodyDiv w:val="1"/>
      <w:marLeft w:val="0"/>
      <w:marRight w:val="0"/>
      <w:marTop w:val="0"/>
      <w:marBottom w:val="0"/>
      <w:divBdr>
        <w:top w:val="none" w:sz="0" w:space="0" w:color="auto"/>
        <w:left w:val="none" w:sz="0" w:space="0" w:color="auto"/>
        <w:bottom w:val="none" w:sz="0" w:space="0" w:color="auto"/>
        <w:right w:val="none" w:sz="0" w:space="0" w:color="auto"/>
      </w:divBdr>
    </w:div>
    <w:div w:id="1193765315">
      <w:bodyDiv w:val="1"/>
      <w:marLeft w:val="0"/>
      <w:marRight w:val="0"/>
      <w:marTop w:val="0"/>
      <w:marBottom w:val="0"/>
      <w:divBdr>
        <w:top w:val="none" w:sz="0" w:space="0" w:color="auto"/>
        <w:left w:val="none" w:sz="0" w:space="0" w:color="auto"/>
        <w:bottom w:val="none" w:sz="0" w:space="0" w:color="auto"/>
        <w:right w:val="none" w:sz="0" w:space="0" w:color="auto"/>
      </w:divBdr>
    </w:div>
    <w:div w:id="1204293290">
      <w:bodyDiv w:val="1"/>
      <w:marLeft w:val="0"/>
      <w:marRight w:val="0"/>
      <w:marTop w:val="0"/>
      <w:marBottom w:val="0"/>
      <w:divBdr>
        <w:top w:val="none" w:sz="0" w:space="0" w:color="auto"/>
        <w:left w:val="none" w:sz="0" w:space="0" w:color="auto"/>
        <w:bottom w:val="none" w:sz="0" w:space="0" w:color="auto"/>
        <w:right w:val="none" w:sz="0" w:space="0" w:color="auto"/>
      </w:divBdr>
      <w:divsChild>
        <w:div w:id="274404497">
          <w:marLeft w:val="0"/>
          <w:marRight w:val="0"/>
          <w:marTop w:val="0"/>
          <w:marBottom w:val="0"/>
          <w:divBdr>
            <w:top w:val="none" w:sz="0" w:space="0" w:color="auto"/>
            <w:left w:val="none" w:sz="0" w:space="0" w:color="auto"/>
            <w:bottom w:val="none" w:sz="0" w:space="0" w:color="auto"/>
            <w:right w:val="none" w:sz="0" w:space="0" w:color="auto"/>
          </w:divBdr>
        </w:div>
        <w:div w:id="514537228">
          <w:marLeft w:val="0"/>
          <w:marRight w:val="0"/>
          <w:marTop w:val="0"/>
          <w:marBottom w:val="0"/>
          <w:divBdr>
            <w:top w:val="none" w:sz="0" w:space="0" w:color="auto"/>
            <w:left w:val="none" w:sz="0" w:space="0" w:color="auto"/>
            <w:bottom w:val="none" w:sz="0" w:space="0" w:color="auto"/>
            <w:right w:val="none" w:sz="0" w:space="0" w:color="auto"/>
          </w:divBdr>
        </w:div>
        <w:div w:id="694968624">
          <w:marLeft w:val="0"/>
          <w:marRight w:val="0"/>
          <w:marTop w:val="0"/>
          <w:marBottom w:val="0"/>
          <w:divBdr>
            <w:top w:val="none" w:sz="0" w:space="0" w:color="auto"/>
            <w:left w:val="none" w:sz="0" w:space="0" w:color="auto"/>
            <w:bottom w:val="none" w:sz="0" w:space="0" w:color="auto"/>
            <w:right w:val="none" w:sz="0" w:space="0" w:color="auto"/>
          </w:divBdr>
          <w:divsChild>
            <w:div w:id="27948552">
              <w:marLeft w:val="0"/>
              <w:marRight w:val="0"/>
              <w:marTop w:val="0"/>
              <w:marBottom w:val="0"/>
              <w:divBdr>
                <w:top w:val="none" w:sz="0" w:space="0" w:color="auto"/>
                <w:left w:val="none" w:sz="0" w:space="0" w:color="auto"/>
                <w:bottom w:val="none" w:sz="0" w:space="0" w:color="auto"/>
                <w:right w:val="none" w:sz="0" w:space="0" w:color="auto"/>
              </w:divBdr>
            </w:div>
            <w:div w:id="1918902298">
              <w:marLeft w:val="0"/>
              <w:marRight w:val="0"/>
              <w:marTop w:val="0"/>
              <w:marBottom w:val="0"/>
              <w:divBdr>
                <w:top w:val="none" w:sz="0" w:space="0" w:color="auto"/>
                <w:left w:val="none" w:sz="0" w:space="0" w:color="auto"/>
                <w:bottom w:val="none" w:sz="0" w:space="0" w:color="auto"/>
                <w:right w:val="none" w:sz="0" w:space="0" w:color="auto"/>
              </w:divBdr>
            </w:div>
          </w:divsChild>
        </w:div>
        <w:div w:id="1206521845">
          <w:marLeft w:val="0"/>
          <w:marRight w:val="0"/>
          <w:marTop w:val="0"/>
          <w:marBottom w:val="0"/>
          <w:divBdr>
            <w:top w:val="none" w:sz="0" w:space="0" w:color="auto"/>
            <w:left w:val="none" w:sz="0" w:space="0" w:color="auto"/>
            <w:bottom w:val="none" w:sz="0" w:space="0" w:color="auto"/>
            <w:right w:val="none" w:sz="0" w:space="0" w:color="auto"/>
          </w:divBdr>
          <w:divsChild>
            <w:div w:id="1378972422">
              <w:marLeft w:val="0"/>
              <w:marRight w:val="0"/>
              <w:marTop w:val="0"/>
              <w:marBottom w:val="0"/>
              <w:divBdr>
                <w:top w:val="none" w:sz="0" w:space="0" w:color="auto"/>
                <w:left w:val="none" w:sz="0" w:space="0" w:color="auto"/>
                <w:bottom w:val="none" w:sz="0" w:space="0" w:color="auto"/>
                <w:right w:val="none" w:sz="0" w:space="0" w:color="auto"/>
              </w:divBdr>
            </w:div>
          </w:divsChild>
        </w:div>
        <w:div w:id="1218318179">
          <w:marLeft w:val="0"/>
          <w:marRight w:val="0"/>
          <w:marTop w:val="0"/>
          <w:marBottom w:val="0"/>
          <w:divBdr>
            <w:top w:val="none" w:sz="0" w:space="0" w:color="auto"/>
            <w:left w:val="none" w:sz="0" w:space="0" w:color="auto"/>
            <w:bottom w:val="none" w:sz="0" w:space="0" w:color="auto"/>
            <w:right w:val="none" w:sz="0" w:space="0" w:color="auto"/>
          </w:divBdr>
        </w:div>
        <w:div w:id="1267343454">
          <w:marLeft w:val="0"/>
          <w:marRight w:val="0"/>
          <w:marTop w:val="0"/>
          <w:marBottom w:val="0"/>
          <w:divBdr>
            <w:top w:val="none" w:sz="0" w:space="0" w:color="auto"/>
            <w:left w:val="none" w:sz="0" w:space="0" w:color="auto"/>
            <w:bottom w:val="none" w:sz="0" w:space="0" w:color="auto"/>
            <w:right w:val="none" w:sz="0" w:space="0" w:color="auto"/>
          </w:divBdr>
          <w:divsChild>
            <w:div w:id="1420446298">
              <w:marLeft w:val="0"/>
              <w:marRight w:val="0"/>
              <w:marTop w:val="0"/>
              <w:marBottom w:val="0"/>
              <w:divBdr>
                <w:top w:val="none" w:sz="0" w:space="0" w:color="auto"/>
                <w:left w:val="none" w:sz="0" w:space="0" w:color="auto"/>
                <w:bottom w:val="none" w:sz="0" w:space="0" w:color="auto"/>
                <w:right w:val="none" w:sz="0" w:space="0" w:color="auto"/>
              </w:divBdr>
            </w:div>
            <w:div w:id="1990012486">
              <w:marLeft w:val="0"/>
              <w:marRight w:val="0"/>
              <w:marTop w:val="0"/>
              <w:marBottom w:val="0"/>
              <w:divBdr>
                <w:top w:val="none" w:sz="0" w:space="0" w:color="auto"/>
                <w:left w:val="none" w:sz="0" w:space="0" w:color="auto"/>
                <w:bottom w:val="none" w:sz="0" w:space="0" w:color="auto"/>
                <w:right w:val="none" w:sz="0" w:space="0" w:color="auto"/>
              </w:divBdr>
            </w:div>
            <w:div w:id="2128306431">
              <w:marLeft w:val="0"/>
              <w:marRight w:val="0"/>
              <w:marTop w:val="0"/>
              <w:marBottom w:val="0"/>
              <w:divBdr>
                <w:top w:val="none" w:sz="0" w:space="0" w:color="auto"/>
                <w:left w:val="none" w:sz="0" w:space="0" w:color="auto"/>
                <w:bottom w:val="none" w:sz="0" w:space="0" w:color="auto"/>
                <w:right w:val="none" w:sz="0" w:space="0" w:color="auto"/>
              </w:divBdr>
            </w:div>
          </w:divsChild>
        </w:div>
        <w:div w:id="1321734054">
          <w:marLeft w:val="0"/>
          <w:marRight w:val="0"/>
          <w:marTop w:val="0"/>
          <w:marBottom w:val="0"/>
          <w:divBdr>
            <w:top w:val="none" w:sz="0" w:space="0" w:color="auto"/>
            <w:left w:val="none" w:sz="0" w:space="0" w:color="auto"/>
            <w:bottom w:val="none" w:sz="0" w:space="0" w:color="auto"/>
            <w:right w:val="none" w:sz="0" w:space="0" w:color="auto"/>
          </w:divBdr>
          <w:divsChild>
            <w:div w:id="124007667">
              <w:marLeft w:val="0"/>
              <w:marRight w:val="0"/>
              <w:marTop w:val="0"/>
              <w:marBottom w:val="0"/>
              <w:divBdr>
                <w:top w:val="none" w:sz="0" w:space="0" w:color="auto"/>
                <w:left w:val="none" w:sz="0" w:space="0" w:color="auto"/>
                <w:bottom w:val="none" w:sz="0" w:space="0" w:color="auto"/>
                <w:right w:val="none" w:sz="0" w:space="0" w:color="auto"/>
              </w:divBdr>
            </w:div>
            <w:div w:id="469788245">
              <w:marLeft w:val="0"/>
              <w:marRight w:val="0"/>
              <w:marTop w:val="0"/>
              <w:marBottom w:val="0"/>
              <w:divBdr>
                <w:top w:val="none" w:sz="0" w:space="0" w:color="auto"/>
                <w:left w:val="none" w:sz="0" w:space="0" w:color="auto"/>
                <w:bottom w:val="none" w:sz="0" w:space="0" w:color="auto"/>
                <w:right w:val="none" w:sz="0" w:space="0" w:color="auto"/>
              </w:divBdr>
            </w:div>
            <w:div w:id="1667123858">
              <w:marLeft w:val="0"/>
              <w:marRight w:val="0"/>
              <w:marTop w:val="0"/>
              <w:marBottom w:val="0"/>
              <w:divBdr>
                <w:top w:val="none" w:sz="0" w:space="0" w:color="auto"/>
                <w:left w:val="none" w:sz="0" w:space="0" w:color="auto"/>
                <w:bottom w:val="none" w:sz="0" w:space="0" w:color="auto"/>
                <w:right w:val="none" w:sz="0" w:space="0" w:color="auto"/>
              </w:divBdr>
            </w:div>
            <w:div w:id="1743336532">
              <w:marLeft w:val="0"/>
              <w:marRight w:val="0"/>
              <w:marTop w:val="0"/>
              <w:marBottom w:val="0"/>
              <w:divBdr>
                <w:top w:val="none" w:sz="0" w:space="0" w:color="auto"/>
                <w:left w:val="none" w:sz="0" w:space="0" w:color="auto"/>
                <w:bottom w:val="none" w:sz="0" w:space="0" w:color="auto"/>
                <w:right w:val="none" w:sz="0" w:space="0" w:color="auto"/>
              </w:divBdr>
            </w:div>
            <w:div w:id="1874726918">
              <w:marLeft w:val="0"/>
              <w:marRight w:val="0"/>
              <w:marTop w:val="0"/>
              <w:marBottom w:val="0"/>
              <w:divBdr>
                <w:top w:val="none" w:sz="0" w:space="0" w:color="auto"/>
                <w:left w:val="none" w:sz="0" w:space="0" w:color="auto"/>
                <w:bottom w:val="none" w:sz="0" w:space="0" w:color="auto"/>
                <w:right w:val="none" w:sz="0" w:space="0" w:color="auto"/>
              </w:divBdr>
            </w:div>
          </w:divsChild>
        </w:div>
        <w:div w:id="1348678017">
          <w:marLeft w:val="0"/>
          <w:marRight w:val="0"/>
          <w:marTop w:val="0"/>
          <w:marBottom w:val="0"/>
          <w:divBdr>
            <w:top w:val="none" w:sz="0" w:space="0" w:color="auto"/>
            <w:left w:val="none" w:sz="0" w:space="0" w:color="auto"/>
            <w:bottom w:val="none" w:sz="0" w:space="0" w:color="auto"/>
            <w:right w:val="none" w:sz="0" w:space="0" w:color="auto"/>
          </w:divBdr>
          <w:divsChild>
            <w:div w:id="861632989">
              <w:marLeft w:val="-75"/>
              <w:marRight w:val="0"/>
              <w:marTop w:val="30"/>
              <w:marBottom w:val="30"/>
              <w:divBdr>
                <w:top w:val="none" w:sz="0" w:space="0" w:color="auto"/>
                <w:left w:val="none" w:sz="0" w:space="0" w:color="auto"/>
                <w:bottom w:val="none" w:sz="0" w:space="0" w:color="auto"/>
                <w:right w:val="none" w:sz="0" w:space="0" w:color="auto"/>
              </w:divBdr>
              <w:divsChild>
                <w:div w:id="125515839">
                  <w:marLeft w:val="0"/>
                  <w:marRight w:val="0"/>
                  <w:marTop w:val="0"/>
                  <w:marBottom w:val="0"/>
                  <w:divBdr>
                    <w:top w:val="none" w:sz="0" w:space="0" w:color="auto"/>
                    <w:left w:val="none" w:sz="0" w:space="0" w:color="auto"/>
                    <w:bottom w:val="none" w:sz="0" w:space="0" w:color="auto"/>
                    <w:right w:val="none" w:sz="0" w:space="0" w:color="auto"/>
                  </w:divBdr>
                  <w:divsChild>
                    <w:div w:id="1755322583">
                      <w:marLeft w:val="0"/>
                      <w:marRight w:val="0"/>
                      <w:marTop w:val="0"/>
                      <w:marBottom w:val="0"/>
                      <w:divBdr>
                        <w:top w:val="none" w:sz="0" w:space="0" w:color="auto"/>
                        <w:left w:val="none" w:sz="0" w:space="0" w:color="auto"/>
                        <w:bottom w:val="none" w:sz="0" w:space="0" w:color="auto"/>
                        <w:right w:val="none" w:sz="0" w:space="0" w:color="auto"/>
                      </w:divBdr>
                    </w:div>
                  </w:divsChild>
                </w:div>
                <w:div w:id="150752158">
                  <w:marLeft w:val="0"/>
                  <w:marRight w:val="0"/>
                  <w:marTop w:val="0"/>
                  <w:marBottom w:val="0"/>
                  <w:divBdr>
                    <w:top w:val="none" w:sz="0" w:space="0" w:color="auto"/>
                    <w:left w:val="none" w:sz="0" w:space="0" w:color="auto"/>
                    <w:bottom w:val="none" w:sz="0" w:space="0" w:color="auto"/>
                    <w:right w:val="none" w:sz="0" w:space="0" w:color="auto"/>
                  </w:divBdr>
                  <w:divsChild>
                    <w:div w:id="831725780">
                      <w:marLeft w:val="0"/>
                      <w:marRight w:val="0"/>
                      <w:marTop w:val="0"/>
                      <w:marBottom w:val="0"/>
                      <w:divBdr>
                        <w:top w:val="none" w:sz="0" w:space="0" w:color="auto"/>
                        <w:left w:val="none" w:sz="0" w:space="0" w:color="auto"/>
                        <w:bottom w:val="none" w:sz="0" w:space="0" w:color="auto"/>
                        <w:right w:val="none" w:sz="0" w:space="0" w:color="auto"/>
                      </w:divBdr>
                    </w:div>
                  </w:divsChild>
                </w:div>
                <w:div w:id="156725331">
                  <w:marLeft w:val="0"/>
                  <w:marRight w:val="0"/>
                  <w:marTop w:val="0"/>
                  <w:marBottom w:val="0"/>
                  <w:divBdr>
                    <w:top w:val="none" w:sz="0" w:space="0" w:color="auto"/>
                    <w:left w:val="none" w:sz="0" w:space="0" w:color="auto"/>
                    <w:bottom w:val="none" w:sz="0" w:space="0" w:color="auto"/>
                    <w:right w:val="none" w:sz="0" w:space="0" w:color="auto"/>
                  </w:divBdr>
                  <w:divsChild>
                    <w:div w:id="31350964">
                      <w:marLeft w:val="0"/>
                      <w:marRight w:val="0"/>
                      <w:marTop w:val="0"/>
                      <w:marBottom w:val="0"/>
                      <w:divBdr>
                        <w:top w:val="none" w:sz="0" w:space="0" w:color="auto"/>
                        <w:left w:val="none" w:sz="0" w:space="0" w:color="auto"/>
                        <w:bottom w:val="none" w:sz="0" w:space="0" w:color="auto"/>
                        <w:right w:val="none" w:sz="0" w:space="0" w:color="auto"/>
                      </w:divBdr>
                    </w:div>
                  </w:divsChild>
                </w:div>
                <w:div w:id="193737419">
                  <w:marLeft w:val="0"/>
                  <w:marRight w:val="0"/>
                  <w:marTop w:val="0"/>
                  <w:marBottom w:val="0"/>
                  <w:divBdr>
                    <w:top w:val="none" w:sz="0" w:space="0" w:color="auto"/>
                    <w:left w:val="none" w:sz="0" w:space="0" w:color="auto"/>
                    <w:bottom w:val="none" w:sz="0" w:space="0" w:color="auto"/>
                    <w:right w:val="none" w:sz="0" w:space="0" w:color="auto"/>
                  </w:divBdr>
                  <w:divsChild>
                    <w:div w:id="1158306219">
                      <w:marLeft w:val="0"/>
                      <w:marRight w:val="0"/>
                      <w:marTop w:val="0"/>
                      <w:marBottom w:val="0"/>
                      <w:divBdr>
                        <w:top w:val="none" w:sz="0" w:space="0" w:color="auto"/>
                        <w:left w:val="none" w:sz="0" w:space="0" w:color="auto"/>
                        <w:bottom w:val="none" w:sz="0" w:space="0" w:color="auto"/>
                        <w:right w:val="none" w:sz="0" w:space="0" w:color="auto"/>
                      </w:divBdr>
                    </w:div>
                  </w:divsChild>
                </w:div>
                <w:div w:id="229845815">
                  <w:marLeft w:val="0"/>
                  <w:marRight w:val="0"/>
                  <w:marTop w:val="0"/>
                  <w:marBottom w:val="0"/>
                  <w:divBdr>
                    <w:top w:val="none" w:sz="0" w:space="0" w:color="auto"/>
                    <w:left w:val="none" w:sz="0" w:space="0" w:color="auto"/>
                    <w:bottom w:val="none" w:sz="0" w:space="0" w:color="auto"/>
                    <w:right w:val="none" w:sz="0" w:space="0" w:color="auto"/>
                  </w:divBdr>
                  <w:divsChild>
                    <w:div w:id="80951801">
                      <w:marLeft w:val="0"/>
                      <w:marRight w:val="0"/>
                      <w:marTop w:val="0"/>
                      <w:marBottom w:val="0"/>
                      <w:divBdr>
                        <w:top w:val="none" w:sz="0" w:space="0" w:color="auto"/>
                        <w:left w:val="none" w:sz="0" w:space="0" w:color="auto"/>
                        <w:bottom w:val="none" w:sz="0" w:space="0" w:color="auto"/>
                        <w:right w:val="none" w:sz="0" w:space="0" w:color="auto"/>
                      </w:divBdr>
                    </w:div>
                  </w:divsChild>
                </w:div>
                <w:div w:id="264770404">
                  <w:marLeft w:val="0"/>
                  <w:marRight w:val="0"/>
                  <w:marTop w:val="0"/>
                  <w:marBottom w:val="0"/>
                  <w:divBdr>
                    <w:top w:val="none" w:sz="0" w:space="0" w:color="auto"/>
                    <w:left w:val="none" w:sz="0" w:space="0" w:color="auto"/>
                    <w:bottom w:val="none" w:sz="0" w:space="0" w:color="auto"/>
                    <w:right w:val="none" w:sz="0" w:space="0" w:color="auto"/>
                  </w:divBdr>
                  <w:divsChild>
                    <w:div w:id="748774838">
                      <w:marLeft w:val="0"/>
                      <w:marRight w:val="0"/>
                      <w:marTop w:val="0"/>
                      <w:marBottom w:val="0"/>
                      <w:divBdr>
                        <w:top w:val="none" w:sz="0" w:space="0" w:color="auto"/>
                        <w:left w:val="none" w:sz="0" w:space="0" w:color="auto"/>
                        <w:bottom w:val="none" w:sz="0" w:space="0" w:color="auto"/>
                        <w:right w:val="none" w:sz="0" w:space="0" w:color="auto"/>
                      </w:divBdr>
                    </w:div>
                  </w:divsChild>
                </w:div>
                <w:div w:id="287509876">
                  <w:marLeft w:val="0"/>
                  <w:marRight w:val="0"/>
                  <w:marTop w:val="0"/>
                  <w:marBottom w:val="0"/>
                  <w:divBdr>
                    <w:top w:val="none" w:sz="0" w:space="0" w:color="auto"/>
                    <w:left w:val="none" w:sz="0" w:space="0" w:color="auto"/>
                    <w:bottom w:val="none" w:sz="0" w:space="0" w:color="auto"/>
                    <w:right w:val="none" w:sz="0" w:space="0" w:color="auto"/>
                  </w:divBdr>
                  <w:divsChild>
                    <w:div w:id="1437208644">
                      <w:marLeft w:val="0"/>
                      <w:marRight w:val="0"/>
                      <w:marTop w:val="0"/>
                      <w:marBottom w:val="0"/>
                      <w:divBdr>
                        <w:top w:val="none" w:sz="0" w:space="0" w:color="auto"/>
                        <w:left w:val="none" w:sz="0" w:space="0" w:color="auto"/>
                        <w:bottom w:val="none" w:sz="0" w:space="0" w:color="auto"/>
                        <w:right w:val="none" w:sz="0" w:space="0" w:color="auto"/>
                      </w:divBdr>
                    </w:div>
                  </w:divsChild>
                </w:div>
                <w:div w:id="296882692">
                  <w:marLeft w:val="0"/>
                  <w:marRight w:val="0"/>
                  <w:marTop w:val="0"/>
                  <w:marBottom w:val="0"/>
                  <w:divBdr>
                    <w:top w:val="none" w:sz="0" w:space="0" w:color="auto"/>
                    <w:left w:val="none" w:sz="0" w:space="0" w:color="auto"/>
                    <w:bottom w:val="none" w:sz="0" w:space="0" w:color="auto"/>
                    <w:right w:val="none" w:sz="0" w:space="0" w:color="auto"/>
                  </w:divBdr>
                  <w:divsChild>
                    <w:div w:id="188298307">
                      <w:marLeft w:val="0"/>
                      <w:marRight w:val="0"/>
                      <w:marTop w:val="0"/>
                      <w:marBottom w:val="0"/>
                      <w:divBdr>
                        <w:top w:val="none" w:sz="0" w:space="0" w:color="auto"/>
                        <w:left w:val="none" w:sz="0" w:space="0" w:color="auto"/>
                        <w:bottom w:val="none" w:sz="0" w:space="0" w:color="auto"/>
                        <w:right w:val="none" w:sz="0" w:space="0" w:color="auto"/>
                      </w:divBdr>
                    </w:div>
                  </w:divsChild>
                </w:div>
                <w:div w:id="381831259">
                  <w:marLeft w:val="0"/>
                  <w:marRight w:val="0"/>
                  <w:marTop w:val="0"/>
                  <w:marBottom w:val="0"/>
                  <w:divBdr>
                    <w:top w:val="none" w:sz="0" w:space="0" w:color="auto"/>
                    <w:left w:val="none" w:sz="0" w:space="0" w:color="auto"/>
                    <w:bottom w:val="none" w:sz="0" w:space="0" w:color="auto"/>
                    <w:right w:val="none" w:sz="0" w:space="0" w:color="auto"/>
                  </w:divBdr>
                  <w:divsChild>
                    <w:div w:id="1221944661">
                      <w:marLeft w:val="0"/>
                      <w:marRight w:val="0"/>
                      <w:marTop w:val="0"/>
                      <w:marBottom w:val="0"/>
                      <w:divBdr>
                        <w:top w:val="none" w:sz="0" w:space="0" w:color="auto"/>
                        <w:left w:val="none" w:sz="0" w:space="0" w:color="auto"/>
                        <w:bottom w:val="none" w:sz="0" w:space="0" w:color="auto"/>
                        <w:right w:val="none" w:sz="0" w:space="0" w:color="auto"/>
                      </w:divBdr>
                    </w:div>
                  </w:divsChild>
                </w:div>
                <w:div w:id="398019872">
                  <w:marLeft w:val="0"/>
                  <w:marRight w:val="0"/>
                  <w:marTop w:val="0"/>
                  <w:marBottom w:val="0"/>
                  <w:divBdr>
                    <w:top w:val="none" w:sz="0" w:space="0" w:color="auto"/>
                    <w:left w:val="none" w:sz="0" w:space="0" w:color="auto"/>
                    <w:bottom w:val="none" w:sz="0" w:space="0" w:color="auto"/>
                    <w:right w:val="none" w:sz="0" w:space="0" w:color="auto"/>
                  </w:divBdr>
                  <w:divsChild>
                    <w:div w:id="1277761601">
                      <w:marLeft w:val="0"/>
                      <w:marRight w:val="0"/>
                      <w:marTop w:val="0"/>
                      <w:marBottom w:val="0"/>
                      <w:divBdr>
                        <w:top w:val="none" w:sz="0" w:space="0" w:color="auto"/>
                        <w:left w:val="none" w:sz="0" w:space="0" w:color="auto"/>
                        <w:bottom w:val="none" w:sz="0" w:space="0" w:color="auto"/>
                        <w:right w:val="none" w:sz="0" w:space="0" w:color="auto"/>
                      </w:divBdr>
                    </w:div>
                  </w:divsChild>
                </w:div>
                <w:div w:id="438375560">
                  <w:marLeft w:val="0"/>
                  <w:marRight w:val="0"/>
                  <w:marTop w:val="0"/>
                  <w:marBottom w:val="0"/>
                  <w:divBdr>
                    <w:top w:val="none" w:sz="0" w:space="0" w:color="auto"/>
                    <w:left w:val="none" w:sz="0" w:space="0" w:color="auto"/>
                    <w:bottom w:val="none" w:sz="0" w:space="0" w:color="auto"/>
                    <w:right w:val="none" w:sz="0" w:space="0" w:color="auto"/>
                  </w:divBdr>
                  <w:divsChild>
                    <w:div w:id="1863783359">
                      <w:marLeft w:val="0"/>
                      <w:marRight w:val="0"/>
                      <w:marTop w:val="0"/>
                      <w:marBottom w:val="0"/>
                      <w:divBdr>
                        <w:top w:val="none" w:sz="0" w:space="0" w:color="auto"/>
                        <w:left w:val="none" w:sz="0" w:space="0" w:color="auto"/>
                        <w:bottom w:val="none" w:sz="0" w:space="0" w:color="auto"/>
                        <w:right w:val="none" w:sz="0" w:space="0" w:color="auto"/>
                      </w:divBdr>
                    </w:div>
                  </w:divsChild>
                </w:div>
                <w:div w:id="469830877">
                  <w:marLeft w:val="0"/>
                  <w:marRight w:val="0"/>
                  <w:marTop w:val="0"/>
                  <w:marBottom w:val="0"/>
                  <w:divBdr>
                    <w:top w:val="none" w:sz="0" w:space="0" w:color="auto"/>
                    <w:left w:val="none" w:sz="0" w:space="0" w:color="auto"/>
                    <w:bottom w:val="none" w:sz="0" w:space="0" w:color="auto"/>
                    <w:right w:val="none" w:sz="0" w:space="0" w:color="auto"/>
                  </w:divBdr>
                  <w:divsChild>
                    <w:div w:id="1729255674">
                      <w:marLeft w:val="0"/>
                      <w:marRight w:val="0"/>
                      <w:marTop w:val="0"/>
                      <w:marBottom w:val="0"/>
                      <w:divBdr>
                        <w:top w:val="none" w:sz="0" w:space="0" w:color="auto"/>
                        <w:left w:val="none" w:sz="0" w:space="0" w:color="auto"/>
                        <w:bottom w:val="none" w:sz="0" w:space="0" w:color="auto"/>
                        <w:right w:val="none" w:sz="0" w:space="0" w:color="auto"/>
                      </w:divBdr>
                    </w:div>
                  </w:divsChild>
                </w:div>
                <w:div w:id="501747612">
                  <w:marLeft w:val="0"/>
                  <w:marRight w:val="0"/>
                  <w:marTop w:val="0"/>
                  <w:marBottom w:val="0"/>
                  <w:divBdr>
                    <w:top w:val="none" w:sz="0" w:space="0" w:color="auto"/>
                    <w:left w:val="none" w:sz="0" w:space="0" w:color="auto"/>
                    <w:bottom w:val="none" w:sz="0" w:space="0" w:color="auto"/>
                    <w:right w:val="none" w:sz="0" w:space="0" w:color="auto"/>
                  </w:divBdr>
                  <w:divsChild>
                    <w:div w:id="1853572872">
                      <w:marLeft w:val="0"/>
                      <w:marRight w:val="0"/>
                      <w:marTop w:val="0"/>
                      <w:marBottom w:val="0"/>
                      <w:divBdr>
                        <w:top w:val="none" w:sz="0" w:space="0" w:color="auto"/>
                        <w:left w:val="none" w:sz="0" w:space="0" w:color="auto"/>
                        <w:bottom w:val="none" w:sz="0" w:space="0" w:color="auto"/>
                        <w:right w:val="none" w:sz="0" w:space="0" w:color="auto"/>
                      </w:divBdr>
                    </w:div>
                  </w:divsChild>
                </w:div>
                <w:div w:id="515311245">
                  <w:marLeft w:val="0"/>
                  <w:marRight w:val="0"/>
                  <w:marTop w:val="0"/>
                  <w:marBottom w:val="0"/>
                  <w:divBdr>
                    <w:top w:val="none" w:sz="0" w:space="0" w:color="auto"/>
                    <w:left w:val="none" w:sz="0" w:space="0" w:color="auto"/>
                    <w:bottom w:val="none" w:sz="0" w:space="0" w:color="auto"/>
                    <w:right w:val="none" w:sz="0" w:space="0" w:color="auto"/>
                  </w:divBdr>
                  <w:divsChild>
                    <w:div w:id="1984118265">
                      <w:marLeft w:val="0"/>
                      <w:marRight w:val="0"/>
                      <w:marTop w:val="0"/>
                      <w:marBottom w:val="0"/>
                      <w:divBdr>
                        <w:top w:val="none" w:sz="0" w:space="0" w:color="auto"/>
                        <w:left w:val="none" w:sz="0" w:space="0" w:color="auto"/>
                        <w:bottom w:val="none" w:sz="0" w:space="0" w:color="auto"/>
                        <w:right w:val="none" w:sz="0" w:space="0" w:color="auto"/>
                      </w:divBdr>
                    </w:div>
                  </w:divsChild>
                </w:div>
                <w:div w:id="535197060">
                  <w:marLeft w:val="0"/>
                  <w:marRight w:val="0"/>
                  <w:marTop w:val="0"/>
                  <w:marBottom w:val="0"/>
                  <w:divBdr>
                    <w:top w:val="none" w:sz="0" w:space="0" w:color="auto"/>
                    <w:left w:val="none" w:sz="0" w:space="0" w:color="auto"/>
                    <w:bottom w:val="none" w:sz="0" w:space="0" w:color="auto"/>
                    <w:right w:val="none" w:sz="0" w:space="0" w:color="auto"/>
                  </w:divBdr>
                  <w:divsChild>
                    <w:div w:id="165748862">
                      <w:marLeft w:val="0"/>
                      <w:marRight w:val="0"/>
                      <w:marTop w:val="0"/>
                      <w:marBottom w:val="0"/>
                      <w:divBdr>
                        <w:top w:val="none" w:sz="0" w:space="0" w:color="auto"/>
                        <w:left w:val="none" w:sz="0" w:space="0" w:color="auto"/>
                        <w:bottom w:val="none" w:sz="0" w:space="0" w:color="auto"/>
                        <w:right w:val="none" w:sz="0" w:space="0" w:color="auto"/>
                      </w:divBdr>
                    </w:div>
                  </w:divsChild>
                </w:div>
                <w:div w:id="596594025">
                  <w:marLeft w:val="0"/>
                  <w:marRight w:val="0"/>
                  <w:marTop w:val="0"/>
                  <w:marBottom w:val="0"/>
                  <w:divBdr>
                    <w:top w:val="none" w:sz="0" w:space="0" w:color="auto"/>
                    <w:left w:val="none" w:sz="0" w:space="0" w:color="auto"/>
                    <w:bottom w:val="none" w:sz="0" w:space="0" w:color="auto"/>
                    <w:right w:val="none" w:sz="0" w:space="0" w:color="auto"/>
                  </w:divBdr>
                  <w:divsChild>
                    <w:div w:id="1740397405">
                      <w:marLeft w:val="0"/>
                      <w:marRight w:val="0"/>
                      <w:marTop w:val="0"/>
                      <w:marBottom w:val="0"/>
                      <w:divBdr>
                        <w:top w:val="none" w:sz="0" w:space="0" w:color="auto"/>
                        <w:left w:val="none" w:sz="0" w:space="0" w:color="auto"/>
                        <w:bottom w:val="none" w:sz="0" w:space="0" w:color="auto"/>
                        <w:right w:val="none" w:sz="0" w:space="0" w:color="auto"/>
                      </w:divBdr>
                    </w:div>
                  </w:divsChild>
                </w:div>
                <w:div w:id="598299996">
                  <w:marLeft w:val="0"/>
                  <w:marRight w:val="0"/>
                  <w:marTop w:val="0"/>
                  <w:marBottom w:val="0"/>
                  <w:divBdr>
                    <w:top w:val="none" w:sz="0" w:space="0" w:color="auto"/>
                    <w:left w:val="none" w:sz="0" w:space="0" w:color="auto"/>
                    <w:bottom w:val="none" w:sz="0" w:space="0" w:color="auto"/>
                    <w:right w:val="none" w:sz="0" w:space="0" w:color="auto"/>
                  </w:divBdr>
                  <w:divsChild>
                    <w:div w:id="760681080">
                      <w:marLeft w:val="0"/>
                      <w:marRight w:val="0"/>
                      <w:marTop w:val="0"/>
                      <w:marBottom w:val="0"/>
                      <w:divBdr>
                        <w:top w:val="none" w:sz="0" w:space="0" w:color="auto"/>
                        <w:left w:val="none" w:sz="0" w:space="0" w:color="auto"/>
                        <w:bottom w:val="none" w:sz="0" w:space="0" w:color="auto"/>
                        <w:right w:val="none" w:sz="0" w:space="0" w:color="auto"/>
                      </w:divBdr>
                    </w:div>
                  </w:divsChild>
                </w:div>
                <w:div w:id="644236286">
                  <w:marLeft w:val="0"/>
                  <w:marRight w:val="0"/>
                  <w:marTop w:val="0"/>
                  <w:marBottom w:val="0"/>
                  <w:divBdr>
                    <w:top w:val="none" w:sz="0" w:space="0" w:color="auto"/>
                    <w:left w:val="none" w:sz="0" w:space="0" w:color="auto"/>
                    <w:bottom w:val="none" w:sz="0" w:space="0" w:color="auto"/>
                    <w:right w:val="none" w:sz="0" w:space="0" w:color="auto"/>
                  </w:divBdr>
                  <w:divsChild>
                    <w:div w:id="1549032979">
                      <w:marLeft w:val="0"/>
                      <w:marRight w:val="0"/>
                      <w:marTop w:val="0"/>
                      <w:marBottom w:val="0"/>
                      <w:divBdr>
                        <w:top w:val="none" w:sz="0" w:space="0" w:color="auto"/>
                        <w:left w:val="none" w:sz="0" w:space="0" w:color="auto"/>
                        <w:bottom w:val="none" w:sz="0" w:space="0" w:color="auto"/>
                        <w:right w:val="none" w:sz="0" w:space="0" w:color="auto"/>
                      </w:divBdr>
                    </w:div>
                  </w:divsChild>
                </w:div>
                <w:div w:id="667708026">
                  <w:marLeft w:val="0"/>
                  <w:marRight w:val="0"/>
                  <w:marTop w:val="0"/>
                  <w:marBottom w:val="0"/>
                  <w:divBdr>
                    <w:top w:val="none" w:sz="0" w:space="0" w:color="auto"/>
                    <w:left w:val="none" w:sz="0" w:space="0" w:color="auto"/>
                    <w:bottom w:val="none" w:sz="0" w:space="0" w:color="auto"/>
                    <w:right w:val="none" w:sz="0" w:space="0" w:color="auto"/>
                  </w:divBdr>
                  <w:divsChild>
                    <w:div w:id="864244556">
                      <w:marLeft w:val="0"/>
                      <w:marRight w:val="0"/>
                      <w:marTop w:val="0"/>
                      <w:marBottom w:val="0"/>
                      <w:divBdr>
                        <w:top w:val="none" w:sz="0" w:space="0" w:color="auto"/>
                        <w:left w:val="none" w:sz="0" w:space="0" w:color="auto"/>
                        <w:bottom w:val="none" w:sz="0" w:space="0" w:color="auto"/>
                        <w:right w:val="none" w:sz="0" w:space="0" w:color="auto"/>
                      </w:divBdr>
                    </w:div>
                  </w:divsChild>
                </w:div>
                <w:div w:id="680619508">
                  <w:marLeft w:val="0"/>
                  <w:marRight w:val="0"/>
                  <w:marTop w:val="0"/>
                  <w:marBottom w:val="0"/>
                  <w:divBdr>
                    <w:top w:val="none" w:sz="0" w:space="0" w:color="auto"/>
                    <w:left w:val="none" w:sz="0" w:space="0" w:color="auto"/>
                    <w:bottom w:val="none" w:sz="0" w:space="0" w:color="auto"/>
                    <w:right w:val="none" w:sz="0" w:space="0" w:color="auto"/>
                  </w:divBdr>
                  <w:divsChild>
                    <w:div w:id="1075317285">
                      <w:marLeft w:val="0"/>
                      <w:marRight w:val="0"/>
                      <w:marTop w:val="0"/>
                      <w:marBottom w:val="0"/>
                      <w:divBdr>
                        <w:top w:val="none" w:sz="0" w:space="0" w:color="auto"/>
                        <w:left w:val="none" w:sz="0" w:space="0" w:color="auto"/>
                        <w:bottom w:val="none" w:sz="0" w:space="0" w:color="auto"/>
                        <w:right w:val="none" w:sz="0" w:space="0" w:color="auto"/>
                      </w:divBdr>
                    </w:div>
                  </w:divsChild>
                </w:div>
                <w:div w:id="692876279">
                  <w:marLeft w:val="0"/>
                  <w:marRight w:val="0"/>
                  <w:marTop w:val="0"/>
                  <w:marBottom w:val="0"/>
                  <w:divBdr>
                    <w:top w:val="none" w:sz="0" w:space="0" w:color="auto"/>
                    <w:left w:val="none" w:sz="0" w:space="0" w:color="auto"/>
                    <w:bottom w:val="none" w:sz="0" w:space="0" w:color="auto"/>
                    <w:right w:val="none" w:sz="0" w:space="0" w:color="auto"/>
                  </w:divBdr>
                  <w:divsChild>
                    <w:div w:id="1826512643">
                      <w:marLeft w:val="0"/>
                      <w:marRight w:val="0"/>
                      <w:marTop w:val="0"/>
                      <w:marBottom w:val="0"/>
                      <w:divBdr>
                        <w:top w:val="none" w:sz="0" w:space="0" w:color="auto"/>
                        <w:left w:val="none" w:sz="0" w:space="0" w:color="auto"/>
                        <w:bottom w:val="none" w:sz="0" w:space="0" w:color="auto"/>
                        <w:right w:val="none" w:sz="0" w:space="0" w:color="auto"/>
                      </w:divBdr>
                    </w:div>
                  </w:divsChild>
                </w:div>
                <w:div w:id="720054440">
                  <w:marLeft w:val="0"/>
                  <w:marRight w:val="0"/>
                  <w:marTop w:val="0"/>
                  <w:marBottom w:val="0"/>
                  <w:divBdr>
                    <w:top w:val="none" w:sz="0" w:space="0" w:color="auto"/>
                    <w:left w:val="none" w:sz="0" w:space="0" w:color="auto"/>
                    <w:bottom w:val="none" w:sz="0" w:space="0" w:color="auto"/>
                    <w:right w:val="none" w:sz="0" w:space="0" w:color="auto"/>
                  </w:divBdr>
                  <w:divsChild>
                    <w:div w:id="1833058073">
                      <w:marLeft w:val="0"/>
                      <w:marRight w:val="0"/>
                      <w:marTop w:val="0"/>
                      <w:marBottom w:val="0"/>
                      <w:divBdr>
                        <w:top w:val="none" w:sz="0" w:space="0" w:color="auto"/>
                        <w:left w:val="none" w:sz="0" w:space="0" w:color="auto"/>
                        <w:bottom w:val="none" w:sz="0" w:space="0" w:color="auto"/>
                        <w:right w:val="none" w:sz="0" w:space="0" w:color="auto"/>
                      </w:divBdr>
                    </w:div>
                  </w:divsChild>
                </w:div>
                <w:div w:id="759520412">
                  <w:marLeft w:val="0"/>
                  <w:marRight w:val="0"/>
                  <w:marTop w:val="0"/>
                  <w:marBottom w:val="0"/>
                  <w:divBdr>
                    <w:top w:val="none" w:sz="0" w:space="0" w:color="auto"/>
                    <w:left w:val="none" w:sz="0" w:space="0" w:color="auto"/>
                    <w:bottom w:val="none" w:sz="0" w:space="0" w:color="auto"/>
                    <w:right w:val="none" w:sz="0" w:space="0" w:color="auto"/>
                  </w:divBdr>
                  <w:divsChild>
                    <w:div w:id="1041830157">
                      <w:marLeft w:val="0"/>
                      <w:marRight w:val="0"/>
                      <w:marTop w:val="0"/>
                      <w:marBottom w:val="0"/>
                      <w:divBdr>
                        <w:top w:val="none" w:sz="0" w:space="0" w:color="auto"/>
                        <w:left w:val="none" w:sz="0" w:space="0" w:color="auto"/>
                        <w:bottom w:val="none" w:sz="0" w:space="0" w:color="auto"/>
                        <w:right w:val="none" w:sz="0" w:space="0" w:color="auto"/>
                      </w:divBdr>
                    </w:div>
                  </w:divsChild>
                </w:div>
                <w:div w:id="762455728">
                  <w:marLeft w:val="0"/>
                  <w:marRight w:val="0"/>
                  <w:marTop w:val="0"/>
                  <w:marBottom w:val="0"/>
                  <w:divBdr>
                    <w:top w:val="none" w:sz="0" w:space="0" w:color="auto"/>
                    <w:left w:val="none" w:sz="0" w:space="0" w:color="auto"/>
                    <w:bottom w:val="none" w:sz="0" w:space="0" w:color="auto"/>
                    <w:right w:val="none" w:sz="0" w:space="0" w:color="auto"/>
                  </w:divBdr>
                  <w:divsChild>
                    <w:div w:id="697003043">
                      <w:marLeft w:val="0"/>
                      <w:marRight w:val="0"/>
                      <w:marTop w:val="0"/>
                      <w:marBottom w:val="0"/>
                      <w:divBdr>
                        <w:top w:val="none" w:sz="0" w:space="0" w:color="auto"/>
                        <w:left w:val="none" w:sz="0" w:space="0" w:color="auto"/>
                        <w:bottom w:val="none" w:sz="0" w:space="0" w:color="auto"/>
                        <w:right w:val="none" w:sz="0" w:space="0" w:color="auto"/>
                      </w:divBdr>
                    </w:div>
                  </w:divsChild>
                </w:div>
                <w:div w:id="769282331">
                  <w:marLeft w:val="0"/>
                  <w:marRight w:val="0"/>
                  <w:marTop w:val="0"/>
                  <w:marBottom w:val="0"/>
                  <w:divBdr>
                    <w:top w:val="none" w:sz="0" w:space="0" w:color="auto"/>
                    <w:left w:val="none" w:sz="0" w:space="0" w:color="auto"/>
                    <w:bottom w:val="none" w:sz="0" w:space="0" w:color="auto"/>
                    <w:right w:val="none" w:sz="0" w:space="0" w:color="auto"/>
                  </w:divBdr>
                  <w:divsChild>
                    <w:div w:id="166603523">
                      <w:marLeft w:val="0"/>
                      <w:marRight w:val="0"/>
                      <w:marTop w:val="0"/>
                      <w:marBottom w:val="0"/>
                      <w:divBdr>
                        <w:top w:val="none" w:sz="0" w:space="0" w:color="auto"/>
                        <w:left w:val="none" w:sz="0" w:space="0" w:color="auto"/>
                        <w:bottom w:val="none" w:sz="0" w:space="0" w:color="auto"/>
                        <w:right w:val="none" w:sz="0" w:space="0" w:color="auto"/>
                      </w:divBdr>
                    </w:div>
                  </w:divsChild>
                </w:div>
                <w:div w:id="769815545">
                  <w:marLeft w:val="0"/>
                  <w:marRight w:val="0"/>
                  <w:marTop w:val="0"/>
                  <w:marBottom w:val="0"/>
                  <w:divBdr>
                    <w:top w:val="none" w:sz="0" w:space="0" w:color="auto"/>
                    <w:left w:val="none" w:sz="0" w:space="0" w:color="auto"/>
                    <w:bottom w:val="none" w:sz="0" w:space="0" w:color="auto"/>
                    <w:right w:val="none" w:sz="0" w:space="0" w:color="auto"/>
                  </w:divBdr>
                  <w:divsChild>
                    <w:div w:id="1099332808">
                      <w:marLeft w:val="0"/>
                      <w:marRight w:val="0"/>
                      <w:marTop w:val="0"/>
                      <w:marBottom w:val="0"/>
                      <w:divBdr>
                        <w:top w:val="none" w:sz="0" w:space="0" w:color="auto"/>
                        <w:left w:val="none" w:sz="0" w:space="0" w:color="auto"/>
                        <w:bottom w:val="none" w:sz="0" w:space="0" w:color="auto"/>
                        <w:right w:val="none" w:sz="0" w:space="0" w:color="auto"/>
                      </w:divBdr>
                    </w:div>
                  </w:divsChild>
                </w:div>
                <w:div w:id="900211461">
                  <w:marLeft w:val="0"/>
                  <w:marRight w:val="0"/>
                  <w:marTop w:val="0"/>
                  <w:marBottom w:val="0"/>
                  <w:divBdr>
                    <w:top w:val="none" w:sz="0" w:space="0" w:color="auto"/>
                    <w:left w:val="none" w:sz="0" w:space="0" w:color="auto"/>
                    <w:bottom w:val="none" w:sz="0" w:space="0" w:color="auto"/>
                    <w:right w:val="none" w:sz="0" w:space="0" w:color="auto"/>
                  </w:divBdr>
                  <w:divsChild>
                    <w:div w:id="2107572963">
                      <w:marLeft w:val="0"/>
                      <w:marRight w:val="0"/>
                      <w:marTop w:val="0"/>
                      <w:marBottom w:val="0"/>
                      <w:divBdr>
                        <w:top w:val="none" w:sz="0" w:space="0" w:color="auto"/>
                        <w:left w:val="none" w:sz="0" w:space="0" w:color="auto"/>
                        <w:bottom w:val="none" w:sz="0" w:space="0" w:color="auto"/>
                        <w:right w:val="none" w:sz="0" w:space="0" w:color="auto"/>
                      </w:divBdr>
                    </w:div>
                  </w:divsChild>
                </w:div>
                <w:div w:id="912855842">
                  <w:marLeft w:val="0"/>
                  <w:marRight w:val="0"/>
                  <w:marTop w:val="0"/>
                  <w:marBottom w:val="0"/>
                  <w:divBdr>
                    <w:top w:val="none" w:sz="0" w:space="0" w:color="auto"/>
                    <w:left w:val="none" w:sz="0" w:space="0" w:color="auto"/>
                    <w:bottom w:val="none" w:sz="0" w:space="0" w:color="auto"/>
                    <w:right w:val="none" w:sz="0" w:space="0" w:color="auto"/>
                  </w:divBdr>
                  <w:divsChild>
                    <w:div w:id="637220455">
                      <w:marLeft w:val="0"/>
                      <w:marRight w:val="0"/>
                      <w:marTop w:val="0"/>
                      <w:marBottom w:val="0"/>
                      <w:divBdr>
                        <w:top w:val="none" w:sz="0" w:space="0" w:color="auto"/>
                        <w:left w:val="none" w:sz="0" w:space="0" w:color="auto"/>
                        <w:bottom w:val="none" w:sz="0" w:space="0" w:color="auto"/>
                        <w:right w:val="none" w:sz="0" w:space="0" w:color="auto"/>
                      </w:divBdr>
                    </w:div>
                  </w:divsChild>
                </w:div>
                <w:div w:id="939795849">
                  <w:marLeft w:val="0"/>
                  <w:marRight w:val="0"/>
                  <w:marTop w:val="0"/>
                  <w:marBottom w:val="0"/>
                  <w:divBdr>
                    <w:top w:val="none" w:sz="0" w:space="0" w:color="auto"/>
                    <w:left w:val="none" w:sz="0" w:space="0" w:color="auto"/>
                    <w:bottom w:val="none" w:sz="0" w:space="0" w:color="auto"/>
                    <w:right w:val="none" w:sz="0" w:space="0" w:color="auto"/>
                  </w:divBdr>
                  <w:divsChild>
                    <w:div w:id="1355502145">
                      <w:marLeft w:val="0"/>
                      <w:marRight w:val="0"/>
                      <w:marTop w:val="0"/>
                      <w:marBottom w:val="0"/>
                      <w:divBdr>
                        <w:top w:val="none" w:sz="0" w:space="0" w:color="auto"/>
                        <w:left w:val="none" w:sz="0" w:space="0" w:color="auto"/>
                        <w:bottom w:val="none" w:sz="0" w:space="0" w:color="auto"/>
                        <w:right w:val="none" w:sz="0" w:space="0" w:color="auto"/>
                      </w:divBdr>
                    </w:div>
                  </w:divsChild>
                </w:div>
                <w:div w:id="949967848">
                  <w:marLeft w:val="0"/>
                  <w:marRight w:val="0"/>
                  <w:marTop w:val="0"/>
                  <w:marBottom w:val="0"/>
                  <w:divBdr>
                    <w:top w:val="none" w:sz="0" w:space="0" w:color="auto"/>
                    <w:left w:val="none" w:sz="0" w:space="0" w:color="auto"/>
                    <w:bottom w:val="none" w:sz="0" w:space="0" w:color="auto"/>
                    <w:right w:val="none" w:sz="0" w:space="0" w:color="auto"/>
                  </w:divBdr>
                  <w:divsChild>
                    <w:div w:id="962882275">
                      <w:marLeft w:val="0"/>
                      <w:marRight w:val="0"/>
                      <w:marTop w:val="0"/>
                      <w:marBottom w:val="0"/>
                      <w:divBdr>
                        <w:top w:val="none" w:sz="0" w:space="0" w:color="auto"/>
                        <w:left w:val="none" w:sz="0" w:space="0" w:color="auto"/>
                        <w:bottom w:val="none" w:sz="0" w:space="0" w:color="auto"/>
                        <w:right w:val="none" w:sz="0" w:space="0" w:color="auto"/>
                      </w:divBdr>
                    </w:div>
                  </w:divsChild>
                </w:div>
                <w:div w:id="976908542">
                  <w:marLeft w:val="0"/>
                  <w:marRight w:val="0"/>
                  <w:marTop w:val="0"/>
                  <w:marBottom w:val="0"/>
                  <w:divBdr>
                    <w:top w:val="none" w:sz="0" w:space="0" w:color="auto"/>
                    <w:left w:val="none" w:sz="0" w:space="0" w:color="auto"/>
                    <w:bottom w:val="none" w:sz="0" w:space="0" w:color="auto"/>
                    <w:right w:val="none" w:sz="0" w:space="0" w:color="auto"/>
                  </w:divBdr>
                  <w:divsChild>
                    <w:div w:id="1087385962">
                      <w:marLeft w:val="0"/>
                      <w:marRight w:val="0"/>
                      <w:marTop w:val="0"/>
                      <w:marBottom w:val="0"/>
                      <w:divBdr>
                        <w:top w:val="none" w:sz="0" w:space="0" w:color="auto"/>
                        <w:left w:val="none" w:sz="0" w:space="0" w:color="auto"/>
                        <w:bottom w:val="none" w:sz="0" w:space="0" w:color="auto"/>
                        <w:right w:val="none" w:sz="0" w:space="0" w:color="auto"/>
                      </w:divBdr>
                    </w:div>
                  </w:divsChild>
                </w:div>
                <w:div w:id="1078211431">
                  <w:marLeft w:val="0"/>
                  <w:marRight w:val="0"/>
                  <w:marTop w:val="0"/>
                  <w:marBottom w:val="0"/>
                  <w:divBdr>
                    <w:top w:val="none" w:sz="0" w:space="0" w:color="auto"/>
                    <w:left w:val="none" w:sz="0" w:space="0" w:color="auto"/>
                    <w:bottom w:val="none" w:sz="0" w:space="0" w:color="auto"/>
                    <w:right w:val="none" w:sz="0" w:space="0" w:color="auto"/>
                  </w:divBdr>
                  <w:divsChild>
                    <w:div w:id="1907764536">
                      <w:marLeft w:val="0"/>
                      <w:marRight w:val="0"/>
                      <w:marTop w:val="0"/>
                      <w:marBottom w:val="0"/>
                      <w:divBdr>
                        <w:top w:val="none" w:sz="0" w:space="0" w:color="auto"/>
                        <w:left w:val="none" w:sz="0" w:space="0" w:color="auto"/>
                        <w:bottom w:val="none" w:sz="0" w:space="0" w:color="auto"/>
                        <w:right w:val="none" w:sz="0" w:space="0" w:color="auto"/>
                      </w:divBdr>
                    </w:div>
                  </w:divsChild>
                </w:div>
                <w:div w:id="1083259921">
                  <w:marLeft w:val="0"/>
                  <w:marRight w:val="0"/>
                  <w:marTop w:val="0"/>
                  <w:marBottom w:val="0"/>
                  <w:divBdr>
                    <w:top w:val="none" w:sz="0" w:space="0" w:color="auto"/>
                    <w:left w:val="none" w:sz="0" w:space="0" w:color="auto"/>
                    <w:bottom w:val="none" w:sz="0" w:space="0" w:color="auto"/>
                    <w:right w:val="none" w:sz="0" w:space="0" w:color="auto"/>
                  </w:divBdr>
                  <w:divsChild>
                    <w:div w:id="359668870">
                      <w:marLeft w:val="0"/>
                      <w:marRight w:val="0"/>
                      <w:marTop w:val="0"/>
                      <w:marBottom w:val="0"/>
                      <w:divBdr>
                        <w:top w:val="none" w:sz="0" w:space="0" w:color="auto"/>
                        <w:left w:val="none" w:sz="0" w:space="0" w:color="auto"/>
                        <w:bottom w:val="none" w:sz="0" w:space="0" w:color="auto"/>
                        <w:right w:val="none" w:sz="0" w:space="0" w:color="auto"/>
                      </w:divBdr>
                    </w:div>
                  </w:divsChild>
                </w:div>
                <w:div w:id="1136024357">
                  <w:marLeft w:val="0"/>
                  <w:marRight w:val="0"/>
                  <w:marTop w:val="0"/>
                  <w:marBottom w:val="0"/>
                  <w:divBdr>
                    <w:top w:val="none" w:sz="0" w:space="0" w:color="auto"/>
                    <w:left w:val="none" w:sz="0" w:space="0" w:color="auto"/>
                    <w:bottom w:val="none" w:sz="0" w:space="0" w:color="auto"/>
                    <w:right w:val="none" w:sz="0" w:space="0" w:color="auto"/>
                  </w:divBdr>
                  <w:divsChild>
                    <w:div w:id="2129814910">
                      <w:marLeft w:val="0"/>
                      <w:marRight w:val="0"/>
                      <w:marTop w:val="0"/>
                      <w:marBottom w:val="0"/>
                      <w:divBdr>
                        <w:top w:val="none" w:sz="0" w:space="0" w:color="auto"/>
                        <w:left w:val="none" w:sz="0" w:space="0" w:color="auto"/>
                        <w:bottom w:val="none" w:sz="0" w:space="0" w:color="auto"/>
                        <w:right w:val="none" w:sz="0" w:space="0" w:color="auto"/>
                      </w:divBdr>
                    </w:div>
                  </w:divsChild>
                </w:div>
                <w:div w:id="1202789574">
                  <w:marLeft w:val="0"/>
                  <w:marRight w:val="0"/>
                  <w:marTop w:val="0"/>
                  <w:marBottom w:val="0"/>
                  <w:divBdr>
                    <w:top w:val="none" w:sz="0" w:space="0" w:color="auto"/>
                    <w:left w:val="none" w:sz="0" w:space="0" w:color="auto"/>
                    <w:bottom w:val="none" w:sz="0" w:space="0" w:color="auto"/>
                    <w:right w:val="none" w:sz="0" w:space="0" w:color="auto"/>
                  </w:divBdr>
                  <w:divsChild>
                    <w:div w:id="550266602">
                      <w:marLeft w:val="0"/>
                      <w:marRight w:val="0"/>
                      <w:marTop w:val="0"/>
                      <w:marBottom w:val="0"/>
                      <w:divBdr>
                        <w:top w:val="none" w:sz="0" w:space="0" w:color="auto"/>
                        <w:left w:val="none" w:sz="0" w:space="0" w:color="auto"/>
                        <w:bottom w:val="none" w:sz="0" w:space="0" w:color="auto"/>
                        <w:right w:val="none" w:sz="0" w:space="0" w:color="auto"/>
                      </w:divBdr>
                    </w:div>
                  </w:divsChild>
                </w:div>
                <w:div w:id="1257328317">
                  <w:marLeft w:val="0"/>
                  <w:marRight w:val="0"/>
                  <w:marTop w:val="0"/>
                  <w:marBottom w:val="0"/>
                  <w:divBdr>
                    <w:top w:val="none" w:sz="0" w:space="0" w:color="auto"/>
                    <w:left w:val="none" w:sz="0" w:space="0" w:color="auto"/>
                    <w:bottom w:val="none" w:sz="0" w:space="0" w:color="auto"/>
                    <w:right w:val="none" w:sz="0" w:space="0" w:color="auto"/>
                  </w:divBdr>
                  <w:divsChild>
                    <w:div w:id="1377046534">
                      <w:marLeft w:val="0"/>
                      <w:marRight w:val="0"/>
                      <w:marTop w:val="0"/>
                      <w:marBottom w:val="0"/>
                      <w:divBdr>
                        <w:top w:val="none" w:sz="0" w:space="0" w:color="auto"/>
                        <w:left w:val="none" w:sz="0" w:space="0" w:color="auto"/>
                        <w:bottom w:val="none" w:sz="0" w:space="0" w:color="auto"/>
                        <w:right w:val="none" w:sz="0" w:space="0" w:color="auto"/>
                      </w:divBdr>
                    </w:div>
                  </w:divsChild>
                </w:div>
                <w:div w:id="1348601688">
                  <w:marLeft w:val="0"/>
                  <w:marRight w:val="0"/>
                  <w:marTop w:val="0"/>
                  <w:marBottom w:val="0"/>
                  <w:divBdr>
                    <w:top w:val="none" w:sz="0" w:space="0" w:color="auto"/>
                    <w:left w:val="none" w:sz="0" w:space="0" w:color="auto"/>
                    <w:bottom w:val="none" w:sz="0" w:space="0" w:color="auto"/>
                    <w:right w:val="none" w:sz="0" w:space="0" w:color="auto"/>
                  </w:divBdr>
                  <w:divsChild>
                    <w:div w:id="1263143138">
                      <w:marLeft w:val="0"/>
                      <w:marRight w:val="0"/>
                      <w:marTop w:val="0"/>
                      <w:marBottom w:val="0"/>
                      <w:divBdr>
                        <w:top w:val="none" w:sz="0" w:space="0" w:color="auto"/>
                        <w:left w:val="none" w:sz="0" w:space="0" w:color="auto"/>
                        <w:bottom w:val="none" w:sz="0" w:space="0" w:color="auto"/>
                        <w:right w:val="none" w:sz="0" w:space="0" w:color="auto"/>
                      </w:divBdr>
                    </w:div>
                  </w:divsChild>
                </w:div>
                <w:div w:id="1350336061">
                  <w:marLeft w:val="0"/>
                  <w:marRight w:val="0"/>
                  <w:marTop w:val="0"/>
                  <w:marBottom w:val="0"/>
                  <w:divBdr>
                    <w:top w:val="none" w:sz="0" w:space="0" w:color="auto"/>
                    <w:left w:val="none" w:sz="0" w:space="0" w:color="auto"/>
                    <w:bottom w:val="none" w:sz="0" w:space="0" w:color="auto"/>
                    <w:right w:val="none" w:sz="0" w:space="0" w:color="auto"/>
                  </w:divBdr>
                  <w:divsChild>
                    <w:div w:id="1879125487">
                      <w:marLeft w:val="0"/>
                      <w:marRight w:val="0"/>
                      <w:marTop w:val="0"/>
                      <w:marBottom w:val="0"/>
                      <w:divBdr>
                        <w:top w:val="none" w:sz="0" w:space="0" w:color="auto"/>
                        <w:left w:val="none" w:sz="0" w:space="0" w:color="auto"/>
                        <w:bottom w:val="none" w:sz="0" w:space="0" w:color="auto"/>
                        <w:right w:val="none" w:sz="0" w:space="0" w:color="auto"/>
                      </w:divBdr>
                    </w:div>
                  </w:divsChild>
                </w:div>
                <w:div w:id="1357542738">
                  <w:marLeft w:val="0"/>
                  <w:marRight w:val="0"/>
                  <w:marTop w:val="0"/>
                  <w:marBottom w:val="0"/>
                  <w:divBdr>
                    <w:top w:val="none" w:sz="0" w:space="0" w:color="auto"/>
                    <w:left w:val="none" w:sz="0" w:space="0" w:color="auto"/>
                    <w:bottom w:val="none" w:sz="0" w:space="0" w:color="auto"/>
                    <w:right w:val="none" w:sz="0" w:space="0" w:color="auto"/>
                  </w:divBdr>
                  <w:divsChild>
                    <w:div w:id="2120905208">
                      <w:marLeft w:val="0"/>
                      <w:marRight w:val="0"/>
                      <w:marTop w:val="0"/>
                      <w:marBottom w:val="0"/>
                      <w:divBdr>
                        <w:top w:val="none" w:sz="0" w:space="0" w:color="auto"/>
                        <w:left w:val="none" w:sz="0" w:space="0" w:color="auto"/>
                        <w:bottom w:val="none" w:sz="0" w:space="0" w:color="auto"/>
                        <w:right w:val="none" w:sz="0" w:space="0" w:color="auto"/>
                      </w:divBdr>
                    </w:div>
                  </w:divsChild>
                </w:div>
                <w:div w:id="1359504825">
                  <w:marLeft w:val="0"/>
                  <w:marRight w:val="0"/>
                  <w:marTop w:val="0"/>
                  <w:marBottom w:val="0"/>
                  <w:divBdr>
                    <w:top w:val="none" w:sz="0" w:space="0" w:color="auto"/>
                    <w:left w:val="none" w:sz="0" w:space="0" w:color="auto"/>
                    <w:bottom w:val="none" w:sz="0" w:space="0" w:color="auto"/>
                    <w:right w:val="none" w:sz="0" w:space="0" w:color="auto"/>
                  </w:divBdr>
                  <w:divsChild>
                    <w:div w:id="1275482360">
                      <w:marLeft w:val="0"/>
                      <w:marRight w:val="0"/>
                      <w:marTop w:val="0"/>
                      <w:marBottom w:val="0"/>
                      <w:divBdr>
                        <w:top w:val="none" w:sz="0" w:space="0" w:color="auto"/>
                        <w:left w:val="none" w:sz="0" w:space="0" w:color="auto"/>
                        <w:bottom w:val="none" w:sz="0" w:space="0" w:color="auto"/>
                        <w:right w:val="none" w:sz="0" w:space="0" w:color="auto"/>
                      </w:divBdr>
                    </w:div>
                  </w:divsChild>
                </w:div>
                <w:div w:id="1460609635">
                  <w:marLeft w:val="0"/>
                  <w:marRight w:val="0"/>
                  <w:marTop w:val="0"/>
                  <w:marBottom w:val="0"/>
                  <w:divBdr>
                    <w:top w:val="none" w:sz="0" w:space="0" w:color="auto"/>
                    <w:left w:val="none" w:sz="0" w:space="0" w:color="auto"/>
                    <w:bottom w:val="none" w:sz="0" w:space="0" w:color="auto"/>
                    <w:right w:val="none" w:sz="0" w:space="0" w:color="auto"/>
                  </w:divBdr>
                  <w:divsChild>
                    <w:div w:id="137109058">
                      <w:marLeft w:val="0"/>
                      <w:marRight w:val="0"/>
                      <w:marTop w:val="0"/>
                      <w:marBottom w:val="0"/>
                      <w:divBdr>
                        <w:top w:val="none" w:sz="0" w:space="0" w:color="auto"/>
                        <w:left w:val="none" w:sz="0" w:space="0" w:color="auto"/>
                        <w:bottom w:val="none" w:sz="0" w:space="0" w:color="auto"/>
                        <w:right w:val="none" w:sz="0" w:space="0" w:color="auto"/>
                      </w:divBdr>
                    </w:div>
                  </w:divsChild>
                </w:div>
                <w:div w:id="1520925300">
                  <w:marLeft w:val="0"/>
                  <w:marRight w:val="0"/>
                  <w:marTop w:val="0"/>
                  <w:marBottom w:val="0"/>
                  <w:divBdr>
                    <w:top w:val="none" w:sz="0" w:space="0" w:color="auto"/>
                    <w:left w:val="none" w:sz="0" w:space="0" w:color="auto"/>
                    <w:bottom w:val="none" w:sz="0" w:space="0" w:color="auto"/>
                    <w:right w:val="none" w:sz="0" w:space="0" w:color="auto"/>
                  </w:divBdr>
                  <w:divsChild>
                    <w:div w:id="81726080">
                      <w:marLeft w:val="0"/>
                      <w:marRight w:val="0"/>
                      <w:marTop w:val="0"/>
                      <w:marBottom w:val="0"/>
                      <w:divBdr>
                        <w:top w:val="none" w:sz="0" w:space="0" w:color="auto"/>
                        <w:left w:val="none" w:sz="0" w:space="0" w:color="auto"/>
                        <w:bottom w:val="none" w:sz="0" w:space="0" w:color="auto"/>
                        <w:right w:val="none" w:sz="0" w:space="0" w:color="auto"/>
                      </w:divBdr>
                    </w:div>
                  </w:divsChild>
                </w:div>
                <w:div w:id="1567379688">
                  <w:marLeft w:val="0"/>
                  <w:marRight w:val="0"/>
                  <w:marTop w:val="0"/>
                  <w:marBottom w:val="0"/>
                  <w:divBdr>
                    <w:top w:val="none" w:sz="0" w:space="0" w:color="auto"/>
                    <w:left w:val="none" w:sz="0" w:space="0" w:color="auto"/>
                    <w:bottom w:val="none" w:sz="0" w:space="0" w:color="auto"/>
                    <w:right w:val="none" w:sz="0" w:space="0" w:color="auto"/>
                  </w:divBdr>
                  <w:divsChild>
                    <w:div w:id="353266534">
                      <w:marLeft w:val="0"/>
                      <w:marRight w:val="0"/>
                      <w:marTop w:val="0"/>
                      <w:marBottom w:val="0"/>
                      <w:divBdr>
                        <w:top w:val="none" w:sz="0" w:space="0" w:color="auto"/>
                        <w:left w:val="none" w:sz="0" w:space="0" w:color="auto"/>
                        <w:bottom w:val="none" w:sz="0" w:space="0" w:color="auto"/>
                        <w:right w:val="none" w:sz="0" w:space="0" w:color="auto"/>
                      </w:divBdr>
                    </w:div>
                  </w:divsChild>
                </w:div>
                <w:div w:id="1586568279">
                  <w:marLeft w:val="0"/>
                  <w:marRight w:val="0"/>
                  <w:marTop w:val="0"/>
                  <w:marBottom w:val="0"/>
                  <w:divBdr>
                    <w:top w:val="none" w:sz="0" w:space="0" w:color="auto"/>
                    <w:left w:val="none" w:sz="0" w:space="0" w:color="auto"/>
                    <w:bottom w:val="none" w:sz="0" w:space="0" w:color="auto"/>
                    <w:right w:val="none" w:sz="0" w:space="0" w:color="auto"/>
                  </w:divBdr>
                  <w:divsChild>
                    <w:div w:id="992685779">
                      <w:marLeft w:val="0"/>
                      <w:marRight w:val="0"/>
                      <w:marTop w:val="0"/>
                      <w:marBottom w:val="0"/>
                      <w:divBdr>
                        <w:top w:val="none" w:sz="0" w:space="0" w:color="auto"/>
                        <w:left w:val="none" w:sz="0" w:space="0" w:color="auto"/>
                        <w:bottom w:val="none" w:sz="0" w:space="0" w:color="auto"/>
                        <w:right w:val="none" w:sz="0" w:space="0" w:color="auto"/>
                      </w:divBdr>
                    </w:div>
                  </w:divsChild>
                </w:div>
                <w:div w:id="1647008265">
                  <w:marLeft w:val="0"/>
                  <w:marRight w:val="0"/>
                  <w:marTop w:val="0"/>
                  <w:marBottom w:val="0"/>
                  <w:divBdr>
                    <w:top w:val="none" w:sz="0" w:space="0" w:color="auto"/>
                    <w:left w:val="none" w:sz="0" w:space="0" w:color="auto"/>
                    <w:bottom w:val="none" w:sz="0" w:space="0" w:color="auto"/>
                    <w:right w:val="none" w:sz="0" w:space="0" w:color="auto"/>
                  </w:divBdr>
                  <w:divsChild>
                    <w:div w:id="1868449045">
                      <w:marLeft w:val="0"/>
                      <w:marRight w:val="0"/>
                      <w:marTop w:val="0"/>
                      <w:marBottom w:val="0"/>
                      <w:divBdr>
                        <w:top w:val="none" w:sz="0" w:space="0" w:color="auto"/>
                        <w:left w:val="none" w:sz="0" w:space="0" w:color="auto"/>
                        <w:bottom w:val="none" w:sz="0" w:space="0" w:color="auto"/>
                        <w:right w:val="none" w:sz="0" w:space="0" w:color="auto"/>
                      </w:divBdr>
                    </w:div>
                  </w:divsChild>
                </w:div>
                <w:div w:id="1657764611">
                  <w:marLeft w:val="0"/>
                  <w:marRight w:val="0"/>
                  <w:marTop w:val="0"/>
                  <w:marBottom w:val="0"/>
                  <w:divBdr>
                    <w:top w:val="none" w:sz="0" w:space="0" w:color="auto"/>
                    <w:left w:val="none" w:sz="0" w:space="0" w:color="auto"/>
                    <w:bottom w:val="none" w:sz="0" w:space="0" w:color="auto"/>
                    <w:right w:val="none" w:sz="0" w:space="0" w:color="auto"/>
                  </w:divBdr>
                  <w:divsChild>
                    <w:div w:id="567960719">
                      <w:marLeft w:val="0"/>
                      <w:marRight w:val="0"/>
                      <w:marTop w:val="0"/>
                      <w:marBottom w:val="0"/>
                      <w:divBdr>
                        <w:top w:val="none" w:sz="0" w:space="0" w:color="auto"/>
                        <w:left w:val="none" w:sz="0" w:space="0" w:color="auto"/>
                        <w:bottom w:val="none" w:sz="0" w:space="0" w:color="auto"/>
                        <w:right w:val="none" w:sz="0" w:space="0" w:color="auto"/>
                      </w:divBdr>
                    </w:div>
                  </w:divsChild>
                </w:div>
                <w:div w:id="1667392383">
                  <w:marLeft w:val="0"/>
                  <w:marRight w:val="0"/>
                  <w:marTop w:val="0"/>
                  <w:marBottom w:val="0"/>
                  <w:divBdr>
                    <w:top w:val="none" w:sz="0" w:space="0" w:color="auto"/>
                    <w:left w:val="none" w:sz="0" w:space="0" w:color="auto"/>
                    <w:bottom w:val="none" w:sz="0" w:space="0" w:color="auto"/>
                    <w:right w:val="none" w:sz="0" w:space="0" w:color="auto"/>
                  </w:divBdr>
                  <w:divsChild>
                    <w:div w:id="1162965890">
                      <w:marLeft w:val="0"/>
                      <w:marRight w:val="0"/>
                      <w:marTop w:val="0"/>
                      <w:marBottom w:val="0"/>
                      <w:divBdr>
                        <w:top w:val="none" w:sz="0" w:space="0" w:color="auto"/>
                        <w:left w:val="none" w:sz="0" w:space="0" w:color="auto"/>
                        <w:bottom w:val="none" w:sz="0" w:space="0" w:color="auto"/>
                        <w:right w:val="none" w:sz="0" w:space="0" w:color="auto"/>
                      </w:divBdr>
                    </w:div>
                  </w:divsChild>
                </w:div>
                <w:div w:id="1692609533">
                  <w:marLeft w:val="0"/>
                  <w:marRight w:val="0"/>
                  <w:marTop w:val="0"/>
                  <w:marBottom w:val="0"/>
                  <w:divBdr>
                    <w:top w:val="none" w:sz="0" w:space="0" w:color="auto"/>
                    <w:left w:val="none" w:sz="0" w:space="0" w:color="auto"/>
                    <w:bottom w:val="none" w:sz="0" w:space="0" w:color="auto"/>
                    <w:right w:val="none" w:sz="0" w:space="0" w:color="auto"/>
                  </w:divBdr>
                  <w:divsChild>
                    <w:div w:id="371197932">
                      <w:marLeft w:val="0"/>
                      <w:marRight w:val="0"/>
                      <w:marTop w:val="0"/>
                      <w:marBottom w:val="0"/>
                      <w:divBdr>
                        <w:top w:val="none" w:sz="0" w:space="0" w:color="auto"/>
                        <w:left w:val="none" w:sz="0" w:space="0" w:color="auto"/>
                        <w:bottom w:val="none" w:sz="0" w:space="0" w:color="auto"/>
                        <w:right w:val="none" w:sz="0" w:space="0" w:color="auto"/>
                      </w:divBdr>
                    </w:div>
                  </w:divsChild>
                </w:div>
                <w:div w:id="1731885979">
                  <w:marLeft w:val="0"/>
                  <w:marRight w:val="0"/>
                  <w:marTop w:val="0"/>
                  <w:marBottom w:val="0"/>
                  <w:divBdr>
                    <w:top w:val="none" w:sz="0" w:space="0" w:color="auto"/>
                    <w:left w:val="none" w:sz="0" w:space="0" w:color="auto"/>
                    <w:bottom w:val="none" w:sz="0" w:space="0" w:color="auto"/>
                    <w:right w:val="none" w:sz="0" w:space="0" w:color="auto"/>
                  </w:divBdr>
                  <w:divsChild>
                    <w:div w:id="245312244">
                      <w:marLeft w:val="0"/>
                      <w:marRight w:val="0"/>
                      <w:marTop w:val="0"/>
                      <w:marBottom w:val="0"/>
                      <w:divBdr>
                        <w:top w:val="none" w:sz="0" w:space="0" w:color="auto"/>
                        <w:left w:val="none" w:sz="0" w:space="0" w:color="auto"/>
                        <w:bottom w:val="none" w:sz="0" w:space="0" w:color="auto"/>
                        <w:right w:val="none" w:sz="0" w:space="0" w:color="auto"/>
                      </w:divBdr>
                    </w:div>
                  </w:divsChild>
                </w:div>
                <w:div w:id="1752005864">
                  <w:marLeft w:val="0"/>
                  <w:marRight w:val="0"/>
                  <w:marTop w:val="0"/>
                  <w:marBottom w:val="0"/>
                  <w:divBdr>
                    <w:top w:val="none" w:sz="0" w:space="0" w:color="auto"/>
                    <w:left w:val="none" w:sz="0" w:space="0" w:color="auto"/>
                    <w:bottom w:val="none" w:sz="0" w:space="0" w:color="auto"/>
                    <w:right w:val="none" w:sz="0" w:space="0" w:color="auto"/>
                  </w:divBdr>
                  <w:divsChild>
                    <w:div w:id="1384333819">
                      <w:marLeft w:val="0"/>
                      <w:marRight w:val="0"/>
                      <w:marTop w:val="0"/>
                      <w:marBottom w:val="0"/>
                      <w:divBdr>
                        <w:top w:val="none" w:sz="0" w:space="0" w:color="auto"/>
                        <w:left w:val="none" w:sz="0" w:space="0" w:color="auto"/>
                        <w:bottom w:val="none" w:sz="0" w:space="0" w:color="auto"/>
                        <w:right w:val="none" w:sz="0" w:space="0" w:color="auto"/>
                      </w:divBdr>
                    </w:div>
                  </w:divsChild>
                </w:div>
                <w:div w:id="1800758961">
                  <w:marLeft w:val="0"/>
                  <w:marRight w:val="0"/>
                  <w:marTop w:val="0"/>
                  <w:marBottom w:val="0"/>
                  <w:divBdr>
                    <w:top w:val="none" w:sz="0" w:space="0" w:color="auto"/>
                    <w:left w:val="none" w:sz="0" w:space="0" w:color="auto"/>
                    <w:bottom w:val="none" w:sz="0" w:space="0" w:color="auto"/>
                    <w:right w:val="none" w:sz="0" w:space="0" w:color="auto"/>
                  </w:divBdr>
                  <w:divsChild>
                    <w:div w:id="818113323">
                      <w:marLeft w:val="0"/>
                      <w:marRight w:val="0"/>
                      <w:marTop w:val="0"/>
                      <w:marBottom w:val="0"/>
                      <w:divBdr>
                        <w:top w:val="none" w:sz="0" w:space="0" w:color="auto"/>
                        <w:left w:val="none" w:sz="0" w:space="0" w:color="auto"/>
                        <w:bottom w:val="none" w:sz="0" w:space="0" w:color="auto"/>
                        <w:right w:val="none" w:sz="0" w:space="0" w:color="auto"/>
                      </w:divBdr>
                    </w:div>
                  </w:divsChild>
                </w:div>
                <w:div w:id="1829980104">
                  <w:marLeft w:val="0"/>
                  <w:marRight w:val="0"/>
                  <w:marTop w:val="0"/>
                  <w:marBottom w:val="0"/>
                  <w:divBdr>
                    <w:top w:val="none" w:sz="0" w:space="0" w:color="auto"/>
                    <w:left w:val="none" w:sz="0" w:space="0" w:color="auto"/>
                    <w:bottom w:val="none" w:sz="0" w:space="0" w:color="auto"/>
                    <w:right w:val="none" w:sz="0" w:space="0" w:color="auto"/>
                  </w:divBdr>
                  <w:divsChild>
                    <w:div w:id="1752777805">
                      <w:marLeft w:val="0"/>
                      <w:marRight w:val="0"/>
                      <w:marTop w:val="0"/>
                      <w:marBottom w:val="0"/>
                      <w:divBdr>
                        <w:top w:val="none" w:sz="0" w:space="0" w:color="auto"/>
                        <w:left w:val="none" w:sz="0" w:space="0" w:color="auto"/>
                        <w:bottom w:val="none" w:sz="0" w:space="0" w:color="auto"/>
                        <w:right w:val="none" w:sz="0" w:space="0" w:color="auto"/>
                      </w:divBdr>
                    </w:div>
                  </w:divsChild>
                </w:div>
                <w:div w:id="1859543345">
                  <w:marLeft w:val="0"/>
                  <w:marRight w:val="0"/>
                  <w:marTop w:val="0"/>
                  <w:marBottom w:val="0"/>
                  <w:divBdr>
                    <w:top w:val="none" w:sz="0" w:space="0" w:color="auto"/>
                    <w:left w:val="none" w:sz="0" w:space="0" w:color="auto"/>
                    <w:bottom w:val="none" w:sz="0" w:space="0" w:color="auto"/>
                    <w:right w:val="none" w:sz="0" w:space="0" w:color="auto"/>
                  </w:divBdr>
                  <w:divsChild>
                    <w:div w:id="1506095304">
                      <w:marLeft w:val="0"/>
                      <w:marRight w:val="0"/>
                      <w:marTop w:val="0"/>
                      <w:marBottom w:val="0"/>
                      <w:divBdr>
                        <w:top w:val="none" w:sz="0" w:space="0" w:color="auto"/>
                        <w:left w:val="none" w:sz="0" w:space="0" w:color="auto"/>
                        <w:bottom w:val="none" w:sz="0" w:space="0" w:color="auto"/>
                        <w:right w:val="none" w:sz="0" w:space="0" w:color="auto"/>
                      </w:divBdr>
                    </w:div>
                  </w:divsChild>
                </w:div>
                <w:div w:id="1861553529">
                  <w:marLeft w:val="0"/>
                  <w:marRight w:val="0"/>
                  <w:marTop w:val="0"/>
                  <w:marBottom w:val="0"/>
                  <w:divBdr>
                    <w:top w:val="none" w:sz="0" w:space="0" w:color="auto"/>
                    <w:left w:val="none" w:sz="0" w:space="0" w:color="auto"/>
                    <w:bottom w:val="none" w:sz="0" w:space="0" w:color="auto"/>
                    <w:right w:val="none" w:sz="0" w:space="0" w:color="auto"/>
                  </w:divBdr>
                  <w:divsChild>
                    <w:div w:id="1601137971">
                      <w:marLeft w:val="0"/>
                      <w:marRight w:val="0"/>
                      <w:marTop w:val="0"/>
                      <w:marBottom w:val="0"/>
                      <w:divBdr>
                        <w:top w:val="none" w:sz="0" w:space="0" w:color="auto"/>
                        <w:left w:val="none" w:sz="0" w:space="0" w:color="auto"/>
                        <w:bottom w:val="none" w:sz="0" w:space="0" w:color="auto"/>
                        <w:right w:val="none" w:sz="0" w:space="0" w:color="auto"/>
                      </w:divBdr>
                    </w:div>
                  </w:divsChild>
                </w:div>
                <w:div w:id="1874070194">
                  <w:marLeft w:val="0"/>
                  <w:marRight w:val="0"/>
                  <w:marTop w:val="0"/>
                  <w:marBottom w:val="0"/>
                  <w:divBdr>
                    <w:top w:val="none" w:sz="0" w:space="0" w:color="auto"/>
                    <w:left w:val="none" w:sz="0" w:space="0" w:color="auto"/>
                    <w:bottom w:val="none" w:sz="0" w:space="0" w:color="auto"/>
                    <w:right w:val="none" w:sz="0" w:space="0" w:color="auto"/>
                  </w:divBdr>
                  <w:divsChild>
                    <w:div w:id="1052079288">
                      <w:marLeft w:val="0"/>
                      <w:marRight w:val="0"/>
                      <w:marTop w:val="0"/>
                      <w:marBottom w:val="0"/>
                      <w:divBdr>
                        <w:top w:val="none" w:sz="0" w:space="0" w:color="auto"/>
                        <w:left w:val="none" w:sz="0" w:space="0" w:color="auto"/>
                        <w:bottom w:val="none" w:sz="0" w:space="0" w:color="auto"/>
                        <w:right w:val="none" w:sz="0" w:space="0" w:color="auto"/>
                      </w:divBdr>
                    </w:div>
                  </w:divsChild>
                </w:div>
                <w:div w:id="1920284083">
                  <w:marLeft w:val="0"/>
                  <w:marRight w:val="0"/>
                  <w:marTop w:val="0"/>
                  <w:marBottom w:val="0"/>
                  <w:divBdr>
                    <w:top w:val="none" w:sz="0" w:space="0" w:color="auto"/>
                    <w:left w:val="none" w:sz="0" w:space="0" w:color="auto"/>
                    <w:bottom w:val="none" w:sz="0" w:space="0" w:color="auto"/>
                    <w:right w:val="none" w:sz="0" w:space="0" w:color="auto"/>
                  </w:divBdr>
                  <w:divsChild>
                    <w:div w:id="1510877039">
                      <w:marLeft w:val="0"/>
                      <w:marRight w:val="0"/>
                      <w:marTop w:val="0"/>
                      <w:marBottom w:val="0"/>
                      <w:divBdr>
                        <w:top w:val="none" w:sz="0" w:space="0" w:color="auto"/>
                        <w:left w:val="none" w:sz="0" w:space="0" w:color="auto"/>
                        <w:bottom w:val="none" w:sz="0" w:space="0" w:color="auto"/>
                        <w:right w:val="none" w:sz="0" w:space="0" w:color="auto"/>
                      </w:divBdr>
                    </w:div>
                  </w:divsChild>
                </w:div>
                <w:div w:id="1936933349">
                  <w:marLeft w:val="0"/>
                  <w:marRight w:val="0"/>
                  <w:marTop w:val="0"/>
                  <w:marBottom w:val="0"/>
                  <w:divBdr>
                    <w:top w:val="none" w:sz="0" w:space="0" w:color="auto"/>
                    <w:left w:val="none" w:sz="0" w:space="0" w:color="auto"/>
                    <w:bottom w:val="none" w:sz="0" w:space="0" w:color="auto"/>
                    <w:right w:val="none" w:sz="0" w:space="0" w:color="auto"/>
                  </w:divBdr>
                  <w:divsChild>
                    <w:div w:id="1628782262">
                      <w:marLeft w:val="0"/>
                      <w:marRight w:val="0"/>
                      <w:marTop w:val="0"/>
                      <w:marBottom w:val="0"/>
                      <w:divBdr>
                        <w:top w:val="none" w:sz="0" w:space="0" w:color="auto"/>
                        <w:left w:val="none" w:sz="0" w:space="0" w:color="auto"/>
                        <w:bottom w:val="none" w:sz="0" w:space="0" w:color="auto"/>
                        <w:right w:val="none" w:sz="0" w:space="0" w:color="auto"/>
                      </w:divBdr>
                    </w:div>
                  </w:divsChild>
                </w:div>
                <w:div w:id="1993875014">
                  <w:marLeft w:val="0"/>
                  <w:marRight w:val="0"/>
                  <w:marTop w:val="0"/>
                  <w:marBottom w:val="0"/>
                  <w:divBdr>
                    <w:top w:val="none" w:sz="0" w:space="0" w:color="auto"/>
                    <w:left w:val="none" w:sz="0" w:space="0" w:color="auto"/>
                    <w:bottom w:val="none" w:sz="0" w:space="0" w:color="auto"/>
                    <w:right w:val="none" w:sz="0" w:space="0" w:color="auto"/>
                  </w:divBdr>
                  <w:divsChild>
                    <w:div w:id="57285387">
                      <w:marLeft w:val="0"/>
                      <w:marRight w:val="0"/>
                      <w:marTop w:val="0"/>
                      <w:marBottom w:val="0"/>
                      <w:divBdr>
                        <w:top w:val="none" w:sz="0" w:space="0" w:color="auto"/>
                        <w:left w:val="none" w:sz="0" w:space="0" w:color="auto"/>
                        <w:bottom w:val="none" w:sz="0" w:space="0" w:color="auto"/>
                        <w:right w:val="none" w:sz="0" w:space="0" w:color="auto"/>
                      </w:divBdr>
                    </w:div>
                  </w:divsChild>
                </w:div>
                <w:div w:id="2083988104">
                  <w:marLeft w:val="0"/>
                  <w:marRight w:val="0"/>
                  <w:marTop w:val="0"/>
                  <w:marBottom w:val="0"/>
                  <w:divBdr>
                    <w:top w:val="none" w:sz="0" w:space="0" w:color="auto"/>
                    <w:left w:val="none" w:sz="0" w:space="0" w:color="auto"/>
                    <w:bottom w:val="none" w:sz="0" w:space="0" w:color="auto"/>
                    <w:right w:val="none" w:sz="0" w:space="0" w:color="auto"/>
                  </w:divBdr>
                  <w:divsChild>
                    <w:div w:id="968321261">
                      <w:marLeft w:val="0"/>
                      <w:marRight w:val="0"/>
                      <w:marTop w:val="0"/>
                      <w:marBottom w:val="0"/>
                      <w:divBdr>
                        <w:top w:val="none" w:sz="0" w:space="0" w:color="auto"/>
                        <w:left w:val="none" w:sz="0" w:space="0" w:color="auto"/>
                        <w:bottom w:val="none" w:sz="0" w:space="0" w:color="auto"/>
                        <w:right w:val="none" w:sz="0" w:space="0" w:color="auto"/>
                      </w:divBdr>
                    </w:div>
                  </w:divsChild>
                </w:div>
                <w:div w:id="2142503768">
                  <w:marLeft w:val="0"/>
                  <w:marRight w:val="0"/>
                  <w:marTop w:val="0"/>
                  <w:marBottom w:val="0"/>
                  <w:divBdr>
                    <w:top w:val="none" w:sz="0" w:space="0" w:color="auto"/>
                    <w:left w:val="none" w:sz="0" w:space="0" w:color="auto"/>
                    <w:bottom w:val="none" w:sz="0" w:space="0" w:color="auto"/>
                    <w:right w:val="none" w:sz="0" w:space="0" w:color="auto"/>
                  </w:divBdr>
                  <w:divsChild>
                    <w:div w:id="51152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020385">
          <w:marLeft w:val="0"/>
          <w:marRight w:val="0"/>
          <w:marTop w:val="0"/>
          <w:marBottom w:val="0"/>
          <w:divBdr>
            <w:top w:val="none" w:sz="0" w:space="0" w:color="auto"/>
            <w:left w:val="none" w:sz="0" w:space="0" w:color="auto"/>
            <w:bottom w:val="none" w:sz="0" w:space="0" w:color="auto"/>
            <w:right w:val="none" w:sz="0" w:space="0" w:color="auto"/>
          </w:divBdr>
        </w:div>
        <w:div w:id="1896426048">
          <w:marLeft w:val="0"/>
          <w:marRight w:val="0"/>
          <w:marTop w:val="0"/>
          <w:marBottom w:val="0"/>
          <w:divBdr>
            <w:top w:val="none" w:sz="0" w:space="0" w:color="auto"/>
            <w:left w:val="none" w:sz="0" w:space="0" w:color="auto"/>
            <w:bottom w:val="none" w:sz="0" w:space="0" w:color="auto"/>
            <w:right w:val="none" w:sz="0" w:space="0" w:color="auto"/>
          </w:divBdr>
        </w:div>
      </w:divsChild>
    </w:div>
    <w:div w:id="1204903894">
      <w:bodyDiv w:val="1"/>
      <w:marLeft w:val="0"/>
      <w:marRight w:val="0"/>
      <w:marTop w:val="0"/>
      <w:marBottom w:val="0"/>
      <w:divBdr>
        <w:top w:val="none" w:sz="0" w:space="0" w:color="auto"/>
        <w:left w:val="none" w:sz="0" w:space="0" w:color="auto"/>
        <w:bottom w:val="none" w:sz="0" w:space="0" w:color="auto"/>
        <w:right w:val="none" w:sz="0" w:space="0" w:color="auto"/>
      </w:divBdr>
    </w:div>
    <w:div w:id="1238049419">
      <w:bodyDiv w:val="1"/>
      <w:marLeft w:val="0"/>
      <w:marRight w:val="0"/>
      <w:marTop w:val="0"/>
      <w:marBottom w:val="0"/>
      <w:divBdr>
        <w:top w:val="none" w:sz="0" w:space="0" w:color="auto"/>
        <w:left w:val="none" w:sz="0" w:space="0" w:color="auto"/>
        <w:bottom w:val="none" w:sz="0" w:space="0" w:color="auto"/>
        <w:right w:val="none" w:sz="0" w:space="0" w:color="auto"/>
      </w:divBdr>
    </w:div>
    <w:div w:id="1253663605">
      <w:bodyDiv w:val="1"/>
      <w:marLeft w:val="0"/>
      <w:marRight w:val="0"/>
      <w:marTop w:val="0"/>
      <w:marBottom w:val="0"/>
      <w:divBdr>
        <w:top w:val="none" w:sz="0" w:space="0" w:color="auto"/>
        <w:left w:val="none" w:sz="0" w:space="0" w:color="auto"/>
        <w:bottom w:val="none" w:sz="0" w:space="0" w:color="auto"/>
        <w:right w:val="none" w:sz="0" w:space="0" w:color="auto"/>
      </w:divBdr>
      <w:divsChild>
        <w:div w:id="494616702">
          <w:marLeft w:val="230"/>
          <w:marRight w:val="0"/>
          <w:marTop w:val="60"/>
          <w:marBottom w:val="20"/>
          <w:divBdr>
            <w:top w:val="none" w:sz="0" w:space="0" w:color="auto"/>
            <w:left w:val="none" w:sz="0" w:space="0" w:color="auto"/>
            <w:bottom w:val="none" w:sz="0" w:space="0" w:color="auto"/>
            <w:right w:val="none" w:sz="0" w:space="0" w:color="auto"/>
          </w:divBdr>
        </w:div>
        <w:div w:id="1309632269">
          <w:marLeft w:val="230"/>
          <w:marRight w:val="0"/>
          <w:marTop w:val="60"/>
          <w:marBottom w:val="20"/>
          <w:divBdr>
            <w:top w:val="none" w:sz="0" w:space="0" w:color="auto"/>
            <w:left w:val="none" w:sz="0" w:space="0" w:color="auto"/>
            <w:bottom w:val="none" w:sz="0" w:space="0" w:color="auto"/>
            <w:right w:val="none" w:sz="0" w:space="0" w:color="auto"/>
          </w:divBdr>
        </w:div>
      </w:divsChild>
    </w:div>
    <w:div w:id="1257593495">
      <w:bodyDiv w:val="1"/>
      <w:marLeft w:val="0"/>
      <w:marRight w:val="0"/>
      <w:marTop w:val="0"/>
      <w:marBottom w:val="0"/>
      <w:divBdr>
        <w:top w:val="none" w:sz="0" w:space="0" w:color="auto"/>
        <w:left w:val="none" w:sz="0" w:space="0" w:color="auto"/>
        <w:bottom w:val="none" w:sz="0" w:space="0" w:color="auto"/>
        <w:right w:val="none" w:sz="0" w:space="0" w:color="auto"/>
      </w:divBdr>
      <w:divsChild>
        <w:div w:id="1183087181">
          <w:marLeft w:val="230"/>
          <w:marRight w:val="0"/>
          <w:marTop w:val="60"/>
          <w:marBottom w:val="20"/>
          <w:divBdr>
            <w:top w:val="none" w:sz="0" w:space="0" w:color="auto"/>
            <w:left w:val="none" w:sz="0" w:space="0" w:color="auto"/>
            <w:bottom w:val="none" w:sz="0" w:space="0" w:color="auto"/>
            <w:right w:val="none" w:sz="0" w:space="0" w:color="auto"/>
          </w:divBdr>
        </w:div>
        <w:div w:id="1404065903">
          <w:marLeft w:val="230"/>
          <w:marRight w:val="0"/>
          <w:marTop w:val="120"/>
          <w:marBottom w:val="60"/>
          <w:divBdr>
            <w:top w:val="none" w:sz="0" w:space="0" w:color="auto"/>
            <w:left w:val="none" w:sz="0" w:space="0" w:color="auto"/>
            <w:bottom w:val="none" w:sz="0" w:space="0" w:color="auto"/>
            <w:right w:val="none" w:sz="0" w:space="0" w:color="auto"/>
          </w:divBdr>
        </w:div>
        <w:div w:id="1767653351">
          <w:marLeft w:val="230"/>
          <w:marRight w:val="0"/>
          <w:marTop w:val="60"/>
          <w:marBottom w:val="60"/>
          <w:divBdr>
            <w:top w:val="none" w:sz="0" w:space="0" w:color="auto"/>
            <w:left w:val="none" w:sz="0" w:space="0" w:color="auto"/>
            <w:bottom w:val="none" w:sz="0" w:space="0" w:color="auto"/>
            <w:right w:val="none" w:sz="0" w:space="0" w:color="auto"/>
          </w:divBdr>
        </w:div>
        <w:div w:id="1997490587">
          <w:marLeft w:val="230"/>
          <w:marRight w:val="0"/>
          <w:marTop w:val="60"/>
          <w:marBottom w:val="20"/>
          <w:divBdr>
            <w:top w:val="none" w:sz="0" w:space="0" w:color="auto"/>
            <w:left w:val="none" w:sz="0" w:space="0" w:color="auto"/>
            <w:bottom w:val="none" w:sz="0" w:space="0" w:color="auto"/>
            <w:right w:val="none" w:sz="0" w:space="0" w:color="auto"/>
          </w:divBdr>
        </w:div>
      </w:divsChild>
    </w:div>
    <w:div w:id="1262761827">
      <w:bodyDiv w:val="1"/>
      <w:marLeft w:val="0"/>
      <w:marRight w:val="0"/>
      <w:marTop w:val="0"/>
      <w:marBottom w:val="0"/>
      <w:divBdr>
        <w:top w:val="none" w:sz="0" w:space="0" w:color="auto"/>
        <w:left w:val="none" w:sz="0" w:space="0" w:color="auto"/>
        <w:bottom w:val="none" w:sz="0" w:space="0" w:color="auto"/>
        <w:right w:val="none" w:sz="0" w:space="0" w:color="auto"/>
      </w:divBdr>
    </w:div>
    <w:div w:id="1287081184">
      <w:bodyDiv w:val="1"/>
      <w:marLeft w:val="0"/>
      <w:marRight w:val="0"/>
      <w:marTop w:val="0"/>
      <w:marBottom w:val="0"/>
      <w:divBdr>
        <w:top w:val="none" w:sz="0" w:space="0" w:color="auto"/>
        <w:left w:val="none" w:sz="0" w:space="0" w:color="auto"/>
        <w:bottom w:val="none" w:sz="0" w:space="0" w:color="auto"/>
        <w:right w:val="none" w:sz="0" w:space="0" w:color="auto"/>
      </w:divBdr>
    </w:div>
    <w:div w:id="1300382543">
      <w:bodyDiv w:val="1"/>
      <w:marLeft w:val="0"/>
      <w:marRight w:val="0"/>
      <w:marTop w:val="0"/>
      <w:marBottom w:val="0"/>
      <w:divBdr>
        <w:top w:val="none" w:sz="0" w:space="0" w:color="auto"/>
        <w:left w:val="none" w:sz="0" w:space="0" w:color="auto"/>
        <w:bottom w:val="none" w:sz="0" w:space="0" w:color="auto"/>
        <w:right w:val="none" w:sz="0" w:space="0" w:color="auto"/>
      </w:divBdr>
    </w:div>
    <w:div w:id="1320887779">
      <w:bodyDiv w:val="1"/>
      <w:marLeft w:val="0"/>
      <w:marRight w:val="0"/>
      <w:marTop w:val="0"/>
      <w:marBottom w:val="0"/>
      <w:divBdr>
        <w:top w:val="none" w:sz="0" w:space="0" w:color="auto"/>
        <w:left w:val="none" w:sz="0" w:space="0" w:color="auto"/>
        <w:bottom w:val="none" w:sz="0" w:space="0" w:color="auto"/>
        <w:right w:val="none" w:sz="0" w:space="0" w:color="auto"/>
      </w:divBdr>
    </w:div>
    <w:div w:id="1354920136">
      <w:bodyDiv w:val="1"/>
      <w:marLeft w:val="0"/>
      <w:marRight w:val="0"/>
      <w:marTop w:val="0"/>
      <w:marBottom w:val="0"/>
      <w:divBdr>
        <w:top w:val="none" w:sz="0" w:space="0" w:color="auto"/>
        <w:left w:val="none" w:sz="0" w:space="0" w:color="auto"/>
        <w:bottom w:val="none" w:sz="0" w:space="0" w:color="auto"/>
        <w:right w:val="none" w:sz="0" w:space="0" w:color="auto"/>
      </w:divBdr>
    </w:div>
    <w:div w:id="1380320536">
      <w:bodyDiv w:val="1"/>
      <w:marLeft w:val="0"/>
      <w:marRight w:val="0"/>
      <w:marTop w:val="0"/>
      <w:marBottom w:val="0"/>
      <w:divBdr>
        <w:top w:val="none" w:sz="0" w:space="0" w:color="auto"/>
        <w:left w:val="none" w:sz="0" w:space="0" w:color="auto"/>
        <w:bottom w:val="none" w:sz="0" w:space="0" w:color="auto"/>
        <w:right w:val="none" w:sz="0" w:space="0" w:color="auto"/>
      </w:divBdr>
    </w:div>
    <w:div w:id="1390494917">
      <w:bodyDiv w:val="1"/>
      <w:marLeft w:val="0"/>
      <w:marRight w:val="0"/>
      <w:marTop w:val="0"/>
      <w:marBottom w:val="0"/>
      <w:divBdr>
        <w:top w:val="none" w:sz="0" w:space="0" w:color="auto"/>
        <w:left w:val="none" w:sz="0" w:space="0" w:color="auto"/>
        <w:bottom w:val="none" w:sz="0" w:space="0" w:color="auto"/>
        <w:right w:val="none" w:sz="0" w:space="0" w:color="auto"/>
      </w:divBdr>
    </w:div>
    <w:div w:id="1394156503">
      <w:bodyDiv w:val="1"/>
      <w:marLeft w:val="0"/>
      <w:marRight w:val="0"/>
      <w:marTop w:val="0"/>
      <w:marBottom w:val="0"/>
      <w:divBdr>
        <w:top w:val="none" w:sz="0" w:space="0" w:color="auto"/>
        <w:left w:val="none" w:sz="0" w:space="0" w:color="auto"/>
        <w:bottom w:val="none" w:sz="0" w:space="0" w:color="auto"/>
        <w:right w:val="none" w:sz="0" w:space="0" w:color="auto"/>
      </w:divBdr>
      <w:divsChild>
        <w:div w:id="86196251">
          <w:marLeft w:val="0"/>
          <w:marRight w:val="0"/>
          <w:marTop w:val="0"/>
          <w:marBottom w:val="0"/>
          <w:divBdr>
            <w:top w:val="none" w:sz="0" w:space="0" w:color="auto"/>
            <w:left w:val="none" w:sz="0" w:space="0" w:color="auto"/>
            <w:bottom w:val="none" w:sz="0" w:space="0" w:color="auto"/>
            <w:right w:val="none" w:sz="0" w:space="0" w:color="auto"/>
          </w:divBdr>
          <w:divsChild>
            <w:div w:id="6947887">
              <w:marLeft w:val="0"/>
              <w:marRight w:val="0"/>
              <w:marTop w:val="0"/>
              <w:marBottom w:val="0"/>
              <w:divBdr>
                <w:top w:val="none" w:sz="0" w:space="0" w:color="auto"/>
                <w:left w:val="none" w:sz="0" w:space="0" w:color="auto"/>
                <w:bottom w:val="none" w:sz="0" w:space="0" w:color="auto"/>
                <w:right w:val="none" w:sz="0" w:space="0" w:color="auto"/>
              </w:divBdr>
            </w:div>
            <w:div w:id="51588299">
              <w:marLeft w:val="0"/>
              <w:marRight w:val="0"/>
              <w:marTop w:val="0"/>
              <w:marBottom w:val="0"/>
              <w:divBdr>
                <w:top w:val="none" w:sz="0" w:space="0" w:color="auto"/>
                <w:left w:val="none" w:sz="0" w:space="0" w:color="auto"/>
                <w:bottom w:val="none" w:sz="0" w:space="0" w:color="auto"/>
                <w:right w:val="none" w:sz="0" w:space="0" w:color="auto"/>
              </w:divBdr>
            </w:div>
            <w:div w:id="204568614">
              <w:marLeft w:val="0"/>
              <w:marRight w:val="0"/>
              <w:marTop w:val="0"/>
              <w:marBottom w:val="0"/>
              <w:divBdr>
                <w:top w:val="none" w:sz="0" w:space="0" w:color="auto"/>
                <w:left w:val="none" w:sz="0" w:space="0" w:color="auto"/>
                <w:bottom w:val="none" w:sz="0" w:space="0" w:color="auto"/>
                <w:right w:val="none" w:sz="0" w:space="0" w:color="auto"/>
              </w:divBdr>
            </w:div>
            <w:div w:id="595409916">
              <w:marLeft w:val="0"/>
              <w:marRight w:val="0"/>
              <w:marTop w:val="0"/>
              <w:marBottom w:val="0"/>
              <w:divBdr>
                <w:top w:val="none" w:sz="0" w:space="0" w:color="auto"/>
                <w:left w:val="none" w:sz="0" w:space="0" w:color="auto"/>
                <w:bottom w:val="none" w:sz="0" w:space="0" w:color="auto"/>
                <w:right w:val="none" w:sz="0" w:space="0" w:color="auto"/>
              </w:divBdr>
            </w:div>
            <w:div w:id="778063443">
              <w:marLeft w:val="0"/>
              <w:marRight w:val="0"/>
              <w:marTop w:val="0"/>
              <w:marBottom w:val="0"/>
              <w:divBdr>
                <w:top w:val="none" w:sz="0" w:space="0" w:color="auto"/>
                <w:left w:val="none" w:sz="0" w:space="0" w:color="auto"/>
                <w:bottom w:val="none" w:sz="0" w:space="0" w:color="auto"/>
                <w:right w:val="none" w:sz="0" w:space="0" w:color="auto"/>
              </w:divBdr>
            </w:div>
            <w:div w:id="884293641">
              <w:marLeft w:val="0"/>
              <w:marRight w:val="0"/>
              <w:marTop w:val="0"/>
              <w:marBottom w:val="0"/>
              <w:divBdr>
                <w:top w:val="none" w:sz="0" w:space="0" w:color="auto"/>
                <w:left w:val="none" w:sz="0" w:space="0" w:color="auto"/>
                <w:bottom w:val="none" w:sz="0" w:space="0" w:color="auto"/>
                <w:right w:val="none" w:sz="0" w:space="0" w:color="auto"/>
              </w:divBdr>
            </w:div>
            <w:div w:id="914825162">
              <w:marLeft w:val="0"/>
              <w:marRight w:val="0"/>
              <w:marTop w:val="0"/>
              <w:marBottom w:val="0"/>
              <w:divBdr>
                <w:top w:val="none" w:sz="0" w:space="0" w:color="auto"/>
                <w:left w:val="none" w:sz="0" w:space="0" w:color="auto"/>
                <w:bottom w:val="none" w:sz="0" w:space="0" w:color="auto"/>
                <w:right w:val="none" w:sz="0" w:space="0" w:color="auto"/>
              </w:divBdr>
            </w:div>
            <w:div w:id="1049914632">
              <w:marLeft w:val="0"/>
              <w:marRight w:val="0"/>
              <w:marTop w:val="0"/>
              <w:marBottom w:val="0"/>
              <w:divBdr>
                <w:top w:val="none" w:sz="0" w:space="0" w:color="auto"/>
                <w:left w:val="none" w:sz="0" w:space="0" w:color="auto"/>
                <w:bottom w:val="none" w:sz="0" w:space="0" w:color="auto"/>
                <w:right w:val="none" w:sz="0" w:space="0" w:color="auto"/>
              </w:divBdr>
            </w:div>
            <w:div w:id="1273174646">
              <w:marLeft w:val="0"/>
              <w:marRight w:val="0"/>
              <w:marTop w:val="0"/>
              <w:marBottom w:val="0"/>
              <w:divBdr>
                <w:top w:val="none" w:sz="0" w:space="0" w:color="auto"/>
                <w:left w:val="none" w:sz="0" w:space="0" w:color="auto"/>
                <w:bottom w:val="none" w:sz="0" w:space="0" w:color="auto"/>
                <w:right w:val="none" w:sz="0" w:space="0" w:color="auto"/>
              </w:divBdr>
            </w:div>
            <w:div w:id="1502769143">
              <w:marLeft w:val="0"/>
              <w:marRight w:val="0"/>
              <w:marTop w:val="0"/>
              <w:marBottom w:val="0"/>
              <w:divBdr>
                <w:top w:val="none" w:sz="0" w:space="0" w:color="auto"/>
                <w:left w:val="none" w:sz="0" w:space="0" w:color="auto"/>
                <w:bottom w:val="none" w:sz="0" w:space="0" w:color="auto"/>
                <w:right w:val="none" w:sz="0" w:space="0" w:color="auto"/>
              </w:divBdr>
            </w:div>
            <w:div w:id="1645349903">
              <w:marLeft w:val="0"/>
              <w:marRight w:val="0"/>
              <w:marTop w:val="0"/>
              <w:marBottom w:val="0"/>
              <w:divBdr>
                <w:top w:val="none" w:sz="0" w:space="0" w:color="auto"/>
                <w:left w:val="none" w:sz="0" w:space="0" w:color="auto"/>
                <w:bottom w:val="none" w:sz="0" w:space="0" w:color="auto"/>
                <w:right w:val="none" w:sz="0" w:space="0" w:color="auto"/>
              </w:divBdr>
            </w:div>
            <w:div w:id="1953047933">
              <w:marLeft w:val="0"/>
              <w:marRight w:val="0"/>
              <w:marTop w:val="0"/>
              <w:marBottom w:val="0"/>
              <w:divBdr>
                <w:top w:val="none" w:sz="0" w:space="0" w:color="auto"/>
                <w:left w:val="none" w:sz="0" w:space="0" w:color="auto"/>
                <w:bottom w:val="none" w:sz="0" w:space="0" w:color="auto"/>
                <w:right w:val="none" w:sz="0" w:space="0" w:color="auto"/>
              </w:divBdr>
            </w:div>
            <w:div w:id="2126458815">
              <w:marLeft w:val="0"/>
              <w:marRight w:val="0"/>
              <w:marTop w:val="0"/>
              <w:marBottom w:val="0"/>
              <w:divBdr>
                <w:top w:val="none" w:sz="0" w:space="0" w:color="auto"/>
                <w:left w:val="none" w:sz="0" w:space="0" w:color="auto"/>
                <w:bottom w:val="none" w:sz="0" w:space="0" w:color="auto"/>
                <w:right w:val="none" w:sz="0" w:space="0" w:color="auto"/>
              </w:divBdr>
            </w:div>
          </w:divsChild>
        </w:div>
        <w:div w:id="146628837">
          <w:marLeft w:val="0"/>
          <w:marRight w:val="0"/>
          <w:marTop w:val="0"/>
          <w:marBottom w:val="0"/>
          <w:divBdr>
            <w:top w:val="none" w:sz="0" w:space="0" w:color="auto"/>
            <w:left w:val="none" w:sz="0" w:space="0" w:color="auto"/>
            <w:bottom w:val="none" w:sz="0" w:space="0" w:color="auto"/>
            <w:right w:val="none" w:sz="0" w:space="0" w:color="auto"/>
          </w:divBdr>
          <w:divsChild>
            <w:div w:id="943726043">
              <w:marLeft w:val="0"/>
              <w:marRight w:val="0"/>
              <w:marTop w:val="0"/>
              <w:marBottom w:val="0"/>
              <w:divBdr>
                <w:top w:val="none" w:sz="0" w:space="0" w:color="auto"/>
                <w:left w:val="none" w:sz="0" w:space="0" w:color="auto"/>
                <w:bottom w:val="none" w:sz="0" w:space="0" w:color="auto"/>
                <w:right w:val="none" w:sz="0" w:space="0" w:color="auto"/>
              </w:divBdr>
            </w:div>
            <w:div w:id="994382624">
              <w:marLeft w:val="0"/>
              <w:marRight w:val="0"/>
              <w:marTop w:val="0"/>
              <w:marBottom w:val="0"/>
              <w:divBdr>
                <w:top w:val="none" w:sz="0" w:space="0" w:color="auto"/>
                <w:left w:val="none" w:sz="0" w:space="0" w:color="auto"/>
                <w:bottom w:val="none" w:sz="0" w:space="0" w:color="auto"/>
                <w:right w:val="none" w:sz="0" w:space="0" w:color="auto"/>
              </w:divBdr>
            </w:div>
            <w:div w:id="2016490166">
              <w:marLeft w:val="0"/>
              <w:marRight w:val="0"/>
              <w:marTop w:val="0"/>
              <w:marBottom w:val="0"/>
              <w:divBdr>
                <w:top w:val="none" w:sz="0" w:space="0" w:color="auto"/>
                <w:left w:val="none" w:sz="0" w:space="0" w:color="auto"/>
                <w:bottom w:val="none" w:sz="0" w:space="0" w:color="auto"/>
                <w:right w:val="none" w:sz="0" w:space="0" w:color="auto"/>
              </w:divBdr>
            </w:div>
          </w:divsChild>
        </w:div>
        <w:div w:id="255332378">
          <w:marLeft w:val="0"/>
          <w:marRight w:val="0"/>
          <w:marTop w:val="0"/>
          <w:marBottom w:val="0"/>
          <w:divBdr>
            <w:top w:val="none" w:sz="0" w:space="0" w:color="auto"/>
            <w:left w:val="none" w:sz="0" w:space="0" w:color="auto"/>
            <w:bottom w:val="none" w:sz="0" w:space="0" w:color="auto"/>
            <w:right w:val="none" w:sz="0" w:space="0" w:color="auto"/>
          </w:divBdr>
          <w:divsChild>
            <w:div w:id="180319161">
              <w:marLeft w:val="0"/>
              <w:marRight w:val="0"/>
              <w:marTop w:val="0"/>
              <w:marBottom w:val="0"/>
              <w:divBdr>
                <w:top w:val="none" w:sz="0" w:space="0" w:color="auto"/>
                <w:left w:val="none" w:sz="0" w:space="0" w:color="auto"/>
                <w:bottom w:val="none" w:sz="0" w:space="0" w:color="auto"/>
                <w:right w:val="none" w:sz="0" w:space="0" w:color="auto"/>
              </w:divBdr>
            </w:div>
            <w:div w:id="653024713">
              <w:marLeft w:val="0"/>
              <w:marRight w:val="0"/>
              <w:marTop w:val="0"/>
              <w:marBottom w:val="0"/>
              <w:divBdr>
                <w:top w:val="none" w:sz="0" w:space="0" w:color="auto"/>
                <w:left w:val="none" w:sz="0" w:space="0" w:color="auto"/>
                <w:bottom w:val="none" w:sz="0" w:space="0" w:color="auto"/>
                <w:right w:val="none" w:sz="0" w:space="0" w:color="auto"/>
              </w:divBdr>
            </w:div>
            <w:div w:id="849487093">
              <w:marLeft w:val="0"/>
              <w:marRight w:val="0"/>
              <w:marTop w:val="0"/>
              <w:marBottom w:val="0"/>
              <w:divBdr>
                <w:top w:val="none" w:sz="0" w:space="0" w:color="auto"/>
                <w:left w:val="none" w:sz="0" w:space="0" w:color="auto"/>
                <w:bottom w:val="none" w:sz="0" w:space="0" w:color="auto"/>
                <w:right w:val="none" w:sz="0" w:space="0" w:color="auto"/>
              </w:divBdr>
            </w:div>
            <w:div w:id="1181355202">
              <w:marLeft w:val="0"/>
              <w:marRight w:val="0"/>
              <w:marTop w:val="0"/>
              <w:marBottom w:val="0"/>
              <w:divBdr>
                <w:top w:val="none" w:sz="0" w:space="0" w:color="auto"/>
                <w:left w:val="none" w:sz="0" w:space="0" w:color="auto"/>
                <w:bottom w:val="none" w:sz="0" w:space="0" w:color="auto"/>
                <w:right w:val="none" w:sz="0" w:space="0" w:color="auto"/>
              </w:divBdr>
            </w:div>
            <w:div w:id="1365786174">
              <w:marLeft w:val="0"/>
              <w:marRight w:val="0"/>
              <w:marTop w:val="0"/>
              <w:marBottom w:val="0"/>
              <w:divBdr>
                <w:top w:val="none" w:sz="0" w:space="0" w:color="auto"/>
                <w:left w:val="none" w:sz="0" w:space="0" w:color="auto"/>
                <w:bottom w:val="none" w:sz="0" w:space="0" w:color="auto"/>
                <w:right w:val="none" w:sz="0" w:space="0" w:color="auto"/>
              </w:divBdr>
            </w:div>
            <w:div w:id="1616060076">
              <w:marLeft w:val="0"/>
              <w:marRight w:val="0"/>
              <w:marTop w:val="0"/>
              <w:marBottom w:val="0"/>
              <w:divBdr>
                <w:top w:val="none" w:sz="0" w:space="0" w:color="auto"/>
                <w:left w:val="none" w:sz="0" w:space="0" w:color="auto"/>
                <w:bottom w:val="none" w:sz="0" w:space="0" w:color="auto"/>
                <w:right w:val="none" w:sz="0" w:space="0" w:color="auto"/>
              </w:divBdr>
            </w:div>
            <w:div w:id="1743218300">
              <w:marLeft w:val="0"/>
              <w:marRight w:val="0"/>
              <w:marTop w:val="0"/>
              <w:marBottom w:val="0"/>
              <w:divBdr>
                <w:top w:val="none" w:sz="0" w:space="0" w:color="auto"/>
                <w:left w:val="none" w:sz="0" w:space="0" w:color="auto"/>
                <w:bottom w:val="none" w:sz="0" w:space="0" w:color="auto"/>
                <w:right w:val="none" w:sz="0" w:space="0" w:color="auto"/>
              </w:divBdr>
            </w:div>
            <w:div w:id="1747603280">
              <w:marLeft w:val="0"/>
              <w:marRight w:val="0"/>
              <w:marTop w:val="0"/>
              <w:marBottom w:val="0"/>
              <w:divBdr>
                <w:top w:val="none" w:sz="0" w:space="0" w:color="auto"/>
                <w:left w:val="none" w:sz="0" w:space="0" w:color="auto"/>
                <w:bottom w:val="none" w:sz="0" w:space="0" w:color="auto"/>
                <w:right w:val="none" w:sz="0" w:space="0" w:color="auto"/>
              </w:divBdr>
            </w:div>
            <w:div w:id="1849758865">
              <w:marLeft w:val="0"/>
              <w:marRight w:val="0"/>
              <w:marTop w:val="0"/>
              <w:marBottom w:val="0"/>
              <w:divBdr>
                <w:top w:val="none" w:sz="0" w:space="0" w:color="auto"/>
                <w:left w:val="none" w:sz="0" w:space="0" w:color="auto"/>
                <w:bottom w:val="none" w:sz="0" w:space="0" w:color="auto"/>
                <w:right w:val="none" w:sz="0" w:space="0" w:color="auto"/>
              </w:divBdr>
            </w:div>
            <w:div w:id="1969512864">
              <w:marLeft w:val="0"/>
              <w:marRight w:val="0"/>
              <w:marTop w:val="0"/>
              <w:marBottom w:val="0"/>
              <w:divBdr>
                <w:top w:val="none" w:sz="0" w:space="0" w:color="auto"/>
                <w:left w:val="none" w:sz="0" w:space="0" w:color="auto"/>
                <w:bottom w:val="none" w:sz="0" w:space="0" w:color="auto"/>
                <w:right w:val="none" w:sz="0" w:space="0" w:color="auto"/>
              </w:divBdr>
            </w:div>
            <w:div w:id="2011516072">
              <w:marLeft w:val="0"/>
              <w:marRight w:val="0"/>
              <w:marTop w:val="0"/>
              <w:marBottom w:val="0"/>
              <w:divBdr>
                <w:top w:val="none" w:sz="0" w:space="0" w:color="auto"/>
                <w:left w:val="none" w:sz="0" w:space="0" w:color="auto"/>
                <w:bottom w:val="none" w:sz="0" w:space="0" w:color="auto"/>
                <w:right w:val="none" w:sz="0" w:space="0" w:color="auto"/>
              </w:divBdr>
            </w:div>
          </w:divsChild>
        </w:div>
        <w:div w:id="774592802">
          <w:marLeft w:val="0"/>
          <w:marRight w:val="0"/>
          <w:marTop w:val="0"/>
          <w:marBottom w:val="0"/>
          <w:divBdr>
            <w:top w:val="none" w:sz="0" w:space="0" w:color="auto"/>
            <w:left w:val="none" w:sz="0" w:space="0" w:color="auto"/>
            <w:bottom w:val="none" w:sz="0" w:space="0" w:color="auto"/>
            <w:right w:val="none" w:sz="0" w:space="0" w:color="auto"/>
          </w:divBdr>
          <w:divsChild>
            <w:div w:id="17434780">
              <w:marLeft w:val="0"/>
              <w:marRight w:val="0"/>
              <w:marTop w:val="0"/>
              <w:marBottom w:val="0"/>
              <w:divBdr>
                <w:top w:val="none" w:sz="0" w:space="0" w:color="auto"/>
                <w:left w:val="none" w:sz="0" w:space="0" w:color="auto"/>
                <w:bottom w:val="none" w:sz="0" w:space="0" w:color="auto"/>
                <w:right w:val="none" w:sz="0" w:space="0" w:color="auto"/>
              </w:divBdr>
            </w:div>
            <w:div w:id="426970397">
              <w:marLeft w:val="0"/>
              <w:marRight w:val="0"/>
              <w:marTop w:val="0"/>
              <w:marBottom w:val="0"/>
              <w:divBdr>
                <w:top w:val="none" w:sz="0" w:space="0" w:color="auto"/>
                <w:left w:val="none" w:sz="0" w:space="0" w:color="auto"/>
                <w:bottom w:val="none" w:sz="0" w:space="0" w:color="auto"/>
                <w:right w:val="none" w:sz="0" w:space="0" w:color="auto"/>
              </w:divBdr>
            </w:div>
            <w:div w:id="1130903045">
              <w:marLeft w:val="0"/>
              <w:marRight w:val="0"/>
              <w:marTop w:val="0"/>
              <w:marBottom w:val="0"/>
              <w:divBdr>
                <w:top w:val="none" w:sz="0" w:space="0" w:color="auto"/>
                <w:left w:val="none" w:sz="0" w:space="0" w:color="auto"/>
                <w:bottom w:val="none" w:sz="0" w:space="0" w:color="auto"/>
                <w:right w:val="none" w:sz="0" w:space="0" w:color="auto"/>
              </w:divBdr>
            </w:div>
            <w:div w:id="1150445862">
              <w:marLeft w:val="0"/>
              <w:marRight w:val="0"/>
              <w:marTop w:val="0"/>
              <w:marBottom w:val="0"/>
              <w:divBdr>
                <w:top w:val="none" w:sz="0" w:space="0" w:color="auto"/>
                <w:left w:val="none" w:sz="0" w:space="0" w:color="auto"/>
                <w:bottom w:val="none" w:sz="0" w:space="0" w:color="auto"/>
                <w:right w:val="none" w:sz="0" w:space="0" w:color="auto"/>
              </w:divBdr>
            </w:div>
            <w:div w:id="185978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369749">
      <w:bodyDiv w:val="1"/>
      <w:marLeft w:val="0"/>
      <w:marRight w:val="0"/>
      <w:marTop w:val="0"/>
      <w:marBottom w:val="0"/>
      <w:divBdr>
        <w:top w:val="none" w:sz="0" w:space="0" w:color="auto"/>
        <w:left w:val="none" w:sz="0" w:space="0" w:color="auto"/>
        <w:bottom w:val="none" w:sz="0" w:space="0" w:color="auto"/>
        <w:right w:val="none" w:sz="0" w:space="0" w:color="auto"/>
      </w:divBdr>
    </w:div>
    <w:div w:id="1449354086">
      <w:bodyDiv w:val="1"/>
      <w:marLeft w:val="0"/>
      <w:marRight w:val="0"/>
      <w:marTop w:val="0"/>
      <w:marBottom w:val="0"/>
      <w:divBdr>
        <w:top w:val="none" w:sz="0" w:space="0" w:color="auto"/>
        <w:left w:val="none" w:sz="0" w:space="0" w:color="auto"/>
        <w:bottom w:val="none" w:sz="0" w:space="0" w:color="auto"/>
        <w:right w:val="none" w:sz="0" w:space="0" w:color="auto"/>
      </w:divBdr>
    </w:div>
    <w:div w:id="1452673209">
      <w:bodyDiv w:val="1"/>
      <w:marLeft w:val="0"/>
      <w:marRight w:val="0"/>
      <w:marTop w:val="0"/>
      <w:marBottom w:val="0"/>
      <w:divBdr>
        <w:top w:val="none" w:sz="0" w:space="0" w:color="auto"/>
        <w:left w:val="none" w:sz="0" w:space="0" w:color="auto"/>
        <w:bottom w:val="none" w:sz="0" w:space="0" w:color="auto"/>
        <w:right w:val="none" w:sz="0" w:space="0" w:color="auto"/>
      </w:divBdr>
    </w:div>
    <w:div w:id="1470321591">
      <w:bodyDiv w:val="1"/>
      <w:marLeft w:val="0"/>
      <w:marRight w:val="0"/>
      <w:marTop w:val="0"/>
      <w:marBottom w:val="0"/>
      <w:divBdr>
        <w:top w:val="none" w:sz="0" w:space="0" w:color="auto"/>
        <w:left w:val="none" w:sz="0" w:space="0" w:color="auto"/>
        <w:bottom w:val="none" w:sz="0" w:space="0" w:color="auto"/>
        <w:right w:val="none" w:sz="0" w:space="0" w:color="auto"/>
      </w:divBdr>
      <w:divsChild>
        <w:div w:id="108595768">
          <w:marLeft w:val="274"/>
          <w:marRight w:val="0"/>
          <w:marTop w:val="0"/>
          <w:marBottom w:val="0"/>
          <w:divBdr>
            <w:top w:val="none" w:sz="0" w:space="0" w:color="auto"/>
            <w:left w:val="none" w:sz="0" w:space="0" w:color="auto"/>
            <w:bottom w:val="none" w:sz="0" w:space="0" w:color="auto"/>
            <w:right w:val="none" w:sz="0" w:space="0" w:color="auto"/>
          </w:divBdr>
        </w:div>
        <w:div w:id="300381728">
          <w:marLeft w:val="274"/>
          <w:marRight w:val="0"/>
          <w:marTop w:val="0"/>
          <w:marBottom w:val="0"/>
          <w:divBdr>
            <w:top w:val="none" w:sz="0" w:space="0" w:color="auto"/>
            <w:left w:val="none" w:sz="0" w:space="0" w:color="auto"/>
            <w:bottom w:val="none" w:sz="0" w:space="0" w:color="auto"/>
            <w:right w:val="none" w:sz="0" w:space="0" w:color="auto"/>
          </w:divBdr>
        </w:div>
        <w:div w:id="621377282">
          <w:marLeft w:val="274"/>
          <w:marRight w:val="0"/>
          <w:marTop w:val="0"/>
          <w:marBottom w:val="0"/>
          <w:divBdr>
            <w:top w:val="none" w:sz="0" w:space="0" w:color="auto"/>
            <w:left w:val="none" w:sz="0" w:space="0" w:color="auto"/>
            <w:bottom w:val="none" w:sz="0" w:space="0" w:color="auto"/>
            <w:right w:val="none" w:sz="0" w:space="0" w:color="auto"/>
          </w:divBdr>
        </w:div>
        <w:div w:id="1028410374">
          <w:marLeft w:val="274"/>
          <w:marRight w:val="0"/>
          <w:marTop w:val="0"/>
          <w:marBottom w:val="0"/>
          <w:divBdr>
            <w:top w:val="none" w:sz="0" w:space="0" w:color="auto"/>
            <w:left w:val="none" w:sz="0" w:space="0" w:color="auto"/>
            <w:bottom w:val="none" w:sz="0" w:space="0" w:color="auto"/>
            <w:right w:val="none" w:sz="0" w:space="0" w:color="auto"/>
          </w:divBdr>
        </w:div>
        <w:div w:id="1094205934">
          <w:marLeft w:val="274"/>
          <w:marRight w:val="0"/>
          <w:marTop w:val="0"/>
          <w:marBottom w:val="0"/>
          <w:divBdr>
            <w:top w:val="none" w:sz="0" w:space="0" w:color="auto"/>
            <w:left w:val="none" w:sz="0" w:space="0" w:color="auto"/>
            <w:bottom w:val="none" w:sz="0" w:space="0" w:color="auto"/>
            <w:right w:val="none" w:sz="0" w:space="0" w:color="auto"/>
          </w:divBdr>
        </w:div>
        <w:div w:id="1146239745">
          <w:marLeft w:val="274"/>
          <w:marRight w:val="0"/>
          <w:marTop w:val="0"/>
          <w:marBottom w:val="0"/>
          <w:divBdr>
            <w:top w:val="none" w:sz="0" w:space="0" w:color="auto"/>
            <w:left w:val="none" w:sz="0" w:space="0" w:color="auto"/>
            <w:bottom w:val="none" w:sz="0" w:space="0" w:color="auto"/>
            <w:right w:val="none" w:sz="0" w:space="0" w:color="auto"/>
          </w:divBdr>
        </w:div>
        <w:div w:id="1338340792">
          <w:marLeft w:val="274"/>
          <w:marRight w:val="0"/>
          <w:marTop w:val="0"/>
          <w:marBottom w:val="0"/>
          <w:divBdr>
            <w:top w:val="none" w:sz="0" w:space="0" w:color="auto"/>
            <w:left w:val="none" w:sz="0" w:space="0" w:color="auto"/>
            <w:bottom w:val="none" w:sz="0" w:space="0" w:color="auto"/>
            <w:right w:val="none" w:sz="0" w:space="0" w:color="auto"/>
          </w:divBdr>
        </w:div>
        <w:div w:id="1416127789">
          <w:marLeft w:val="274"/>
          <w:marRight w:val="0"/>
          <w:marTop w:val="0"/>
          <w:marBottom w:val="0"/>
          <w:divBdr>
            <w:top w:val="none" w:sz="0" w:space="0" w:color="auto"/>
            <w:left w:val="none" w:sz="0" w:space="0" w:color="auto"/>
            <w:bottom w:val="none" w:sz="0" w:space="0" w:color="auto"/>
            <w:right w:val="none" w:sz="0" w:space="0" w:color="auto"/>
          </w:divBdr>
        </w:div>
      </w:divsChild>
    </w:div>
    <w:div w:id="1473331344">
      <w:bodyDiv w:val="1"/>
      <w:marLeft w:val="0"/>
      <w:marRight w:val="0"/>
      <w:marTop w:val="0"/>
      <w:marBottom w:val="0"/>
      <w:divBdr>
        <w:top w:val="none" w:sz="0" w:space="0" w:color="auto"/>
        <w:left w:val="none" w:sz="0" w:space="0" w:color="auto"/>
        <w:bottom w:val="none" w:sz="0" w:space="0" w:color="auto"/>
        <w:right w:val="none" w:sz="0" w:space="0" w:color="auto"/>
      </w:divBdr>
    </w:div>
    <w:div w:id="1479303822">
      <w:bodyDiv w:val="1"/>
      <w:marLeft w:val="0"/>
      <w:marRight w:val="0"/>
      <w:marTop w:val="0"/>
      <w:marBottom w:val="0"/>
      <w:divBdr>
        <w:top w:val="none" w:sz="0" w:space="0" w:color="auto"/>
        <w:left w:val="none" w:sz="0" w:space="0" w:color="auto"/>
        <w:bottom w:val="none" w:sz="0" w:space="0" w:color="auto"/>
        <w:right w:val="none" w:sz="0" w:space="0" w:color="auto"/>
      </w:divBdr>
    </w:div>
    <w:div w:id="1482648103">
      <w:bodyDiv w:val="1"/>
      <w:marLeft w:val="0"/>
      <w:marRight w:val="0"/>
      <w:marTop w:val="0"/>
      <w:marBottom w:val="0"/>
      <w:divBdr>
        <w:top w:val="none" w:sz="0" w:space="0" w:color="auto"/>
        <w:left w:val="none" w:sz="0" w:space="0" w:color="auto"/>
        <w:bottom w:val="none" w:sz="0" w:space="0" w:color="auto"/>
        <w:right w:val="none" w:sz="0" w:space="0" w:color="auto"/>
      </w:divBdr>
      <w:divsChild>
        <w:div w:id="430128514">
          <w:marLeft w:val="230"/>
          <w:marRight w:val="0"/>
          <w:marTop w:val="60"/>
          <w:marBottom w:val="60"/>
          <w:divBdr>
            <w:top w:val="none" w:sz="0" w:space="0" w:color="auto"/>
            <w:left w:val="none" w:sz="0" w:space="0" w:color="auto"/>
            <w:bottom w:val="none" w:sz="0" w:space="0" w:color="auto"/>
            <w:right w:val="none" w:sz="0" w:space="0" w:color="auto"/>
          </w:divBdr>
        </w:div>
        <w:div w:id="783379451">
          <w:marLeft w:val="230"/>
          <w:marRight w:val="0"/>
          <w:marTop w:val="60"/>
          <w:marBottom w:val="60"/>
          <w:divBdr>
            <w:top w:val="none" w:sz="0" w:space="0" w:color="auto"/>
            <w:left w:val="none" w:sz="0" w:space="0" w:color="auto"/>
            <w:bottom w:val="none" w:sz="0" w:space="0" w:color="auto"/>
            <w:right w:val="none" w:sz="0" w:space="0" w:color="auto"/>
          </w:divBdr>
        </w:div>
        <w:div w:id="1061322573">
          <w:marLeft w:val="230"/>
          <w:marRight w:val="0"/>
          <w:marTop w:val="60"/>
          <w:marBottom w:val="60"/>
          <w:divBdr>
            <w:top w:val="none" w:sz="0" w:space="0" w:color="auto"/>
            <w:left w:val="none" w:sz="0" w:space="0" w:color="auto"/>
            <w:bottom w:val="none" w:sz="0" w:space="0" w:color="auto"/>
            <w:right w:val="none" w:sz="0" w:space="0" w:color="auto"/>
          </w:divBdr>
        </w:div>
        <w:div w:id="1255940244">
          <w:marLeft w:val="230"/>
          <w:marRight w:val="0"/>
          <w:marTop w:val="60"/>
          <w:marBottom w:val="60"/>
          <w:divBdr>
            <w:top w:val="none" w:sz="0" w:space="0" w:color="auto"/>
            <w:left w:val="none" w:sz="0" w:space="0" w:color="auto"/>
            <w:bottom w:val="none" w:sz="0" w:space="0" w:color="auto"/>
            <w:right w:val="none" w:sz="0" w:space="0" w:color="auto"/>
          </w:divBdr>
        </w:div>
        <w:div w:id="1717007424">
          <w:marLeft w:val="230"/>
          <w:marRight w:val="0"/>
          <w:marTop w:val="60"/>
          <w:marBottom w:val="60"/>
          <w:divBdr>
            <w:top w:val="none" w:sz="0" w:space="0" w:color="auto"/>
            <w:left w:val="none" w:sz="0" w:space="0" w:color="auto"/>
            <w:bottom w:val="none" w:sz="0" w:space="0" w:color="auto"/>
            <w:right w:val="none" w:sz="0" w:space="0" w:color="auto"/>
          </w:divBdr>
        </w:div>
        <w:div w:id="1767262315">
          <w:marLeft w:val="230"/>
          <w:marRight w:val="0"/>
          <w:marTop w:val="60"/>
          <w:marBottom w:val="60"/>
          <w:divBdr>
            <w:top w:val="none" w:sz="0" w:space="0" w:color="auto"/>
            <w:left w:val="none" w:sz="0" w:space="0" w:color="auto"/>
            <w:bottom w:val="none" w:sz="0" w:space="0" w:color="auto"/>
            <w:right w:val="none" w:sz="0" w:space="0" w:color="auto"/>
          </w:divBdr>
        </w:div>
        <w:div w:id="1978097882">
          <w:marLeft w:val="230"/>
          <w:marRight w:val="0"/>
          <w:marTop w:val="60"/>
          <w:marBottom w:val="60"/>
          <w:divBdr>
            <w:top w:val="none" w:sz="0" w:space="0" w:color="auto"/>
            <w:left w:val="none" w:sz="0" w:space="0" w:color="auto"/>
            <w:bottom w:val="none" w:sz="0" w:space="0" w:color="auto"/>
            <w:right w:val="none" w:sz="0" w:space="0" w:color="auto"/>
          </w:divBdr>
        </w:div>
      </w:divsChild>
    </w:div>
    <w:div w:id="1504927737">
      <w:bodyDiv w:val="1"/>
      <w:marLeft w:val="0"/>
      <w:marRight w:val="0"/>
      <w:marTop w:val="0"/>
      <w:marBottom w:val="0"/>
      <w:divBdr>
        <w:top w:val="none" w:sz="0" w:space="0" w:color="auto"/>
        <w:left w:val="none" w:sz="0" w:space="0" w:color="auto"/>
        <w:bottom w:val="none" w:sz="0" w:space="0" w:color="auto"/>
        <w:right w:val="none" w:sz="0" w:space="0" w:color="auto"/>
      </w:divBdr>
    </w:div>
    <w:div w:id="1505438934">
      <w:bodyDiv w:val="1"/>
      <w:marLeft w:val="0"/>
      <w:marRight w:val="0"/>
      <w:marTop w:val="0"/>
      <w:marBottom w:val="0"/>
      <w:divBdr>
        <w:top w:val="none" w:sz="0" w:space="0" w:color="auto"/>
        <w:left w:val="none" w:sz="0" w:space="0" w:color="auto"/>
        <w:bottom w:val="none" w:sz="0" w:space="0" w:color="auto"/>
        <w:right w:val="none" w:sz="0" w:space="0" w:color="auto"/>
      </w:divBdr>
      <w:divsChild>
        <w:div w:id="1291012213">
          <w:marLeft w:val="0"/>
          <w:marRight w:val="0"/>
          <w:marTop w:val="0"/>
          <w:marBottom w:val="0"/>
          <w:divBdr>
            <w:top w:val="none" w:sz="0" w:space="0" w:color="auto"/>
            <w:left w:val="none" w:sz="0" w:space="0" w:color="auto"/>
            <w:bottom w:val="none" w:sz="0" w:space="0" w:color="auto"/>
            <w:right w:val="none" w:sz="0" w:space="0" w:color="auto"/>
          </w:divBdr>
        </w:div>
        <w:div w:id="1337420783">
          <w:marLeft w:val="0"/>
          <w:marRight w:val="0"/>
          <w:marTop w:val="0"/>
          <w:marBottom w:val="0"/>
          <w:divBdr>
            <w:top w:val="none" w:sz="0" w:space="0" w:color="auto"/>
            <w:left w:val="none" w:sz="0" w:space="0" w:color="auto"/>
            <w:bottom w:val="none" w:sz="0" w:space="0" w:color="auto"/>
            <w:right w:val="none" w:sz="0" w:space="0" w:color="auto"/>
          </w:divBdr>
        </w:div>
      </w:divsChild>
    </w:div>
    <w:div w:id="1506704489">
      <w:bodyDiv w:val="1"/>
      <w:marLeft w:val="0"/>
      <w:marRight w:val="0"/>
      <w:marTop w:val="0"/>
      <w:marBottom w:val="0"/>
      <w:divBdr>
        <w:top w:val="none" w:sz="0" w:space="0" w:color="auto"/>
        <w:left w:val="none" w:sz="0" w:space="0" w:color="auto"/>
        <w:bottom w:val="none" w:sz="0" w:space="0" w:color="auto"/>
        <w:right w:val="none" w:sz="0" w:space="0" w:color="auto"/>
      </w:divBdr>
    </w:div>
    <w:div w:id="1508248436">
      <w:bodyDiv w:val="1"/>
      <w:marLeft w:val="0"/>
      <w:marRight w:val="0"/>
      <w:marTop w:val="0"/>
      <w:marBottom w:val="0"/>
      <w:divBdr>
        <w:top w:val="none" w:sz="0" w:space="0" w:color="auto"/>
        <w:left w:val="none" w:sz="0" w:space="0" w:color="auto"/>
        <w:bottom w:val="none" w:sz="0" w:space="0" w:color="auto"/>
        <w:right w:val="none" w:sz="0" w:space="0" w:color="auto"/>
      </w:divBdr>
      <w:divsChild>
        <w:div w:id="696077382">
          <w:marLeft w:val="230"/>
          <w:marRight w:val="0"/>
          <w:marTop w:val="60"/>
          <w:marBottom w:val="60"/>
          <w:divBdr>
            <w:top w:val="none" w:sz="0" w:space="0" w:color="auto"/>
            <w:left w:val="none" w:sz="0" w:space="0" w:color="auto"/>
            <w:bottom w:val="none" w:sz="0" w:space="0" w:color="auto"/>
            <w:right w:val="none" w:sz="0" w:space="0" w:color="auto"/>
          </w:divBdr>
        </w:div>
        <w:div w:id="735082636">
          <w:marLeft w:val="230"/>
          <w:marRight w:val="0"/>
          <w:marTop w:val="60"/>
          <w:marBottom w:val="60"/>
          <w:divBdr>
            <w:top w:val="none" w:sz="0" w:space="0" w:color="auto"/>
            <w:left w:val="none" w:sz="0" w:space="0" w:color="auto"/>
            <w:bottom w:val="none" w:sz="0" w:space="0" w:color="auto"/>
            <w:right w:val="none" w:sz="0" w:space="0" w:color="auto"/>
          </w:divBdr>
        </w:div>
        <w:div w:id="1135954938">
          <w:marLeft w:val="230"/>
          <w:marRight w:val="0"/>
          <w:marTop w:val="60"/>
          <w:marBottom w:val="60"/>
          <w:divBdr>
            <w:top w:val="none" w:sz="0" w:space="0" w:color="auto"/>
            <w:left w:val="none" w:sz="0" w:space="0" w:color="auto"/>
            <w:bottom w:val="none" w:sz="0" w:space="0" w:color="auto"/>
            <w:right w:val="none" w:sz="0" w:space="0" w:color="auto"/>
          </w:divBdr>
        </w:div>
      </w:divsChild>
    </w:div>
    <w:div w:id="1509904527">
      <w:bodyDiv w:val="1"/>
      <w:marLeft w:val="0"/>
      <w:marRight w:val="0"/>
      <w:marTop w:val="0"/>
      <w:marBottom w:val="0"/>
      <w:divBdr>
        <w:top w:val="none" w:sz="0" w:space="0" w:color="auto"/>
        <w:left w:val="none" w:sz="0" w:space="0" w:color="auto"/>
        <w:bottom w:val="none" w:sz="0" w:space="0" w:color="auto"/>
        <w:right w:val="none" w:sz="0" w:space="0" w:color="auto"/>
      </w:divBdr>
      <w:divsChild>
        <w:div w:id="776217521">
          <w:marLeft w:val="0"/>
          <w:marRight w:val="0"/>
          <w:marTop w:val="0"/>
          <w:marBottom w:val="0"/>
          <w:divBdr>
            <w:top w:val="none" w:sz="0" w:space="0" w:color="auto"/>
            <w:left w:val="none" w:sz="0" w:space="0" w:color="auto"/>
            <w:bottom w:val="none" w:sz="0" w:space="0" w:color="auto"/>
            <w:right w:val="none" w:sz="0" w:space="0" w:color="auto"/>
          </w:divBdr>
          <w:divsChild>
            <w:div w:id="559175012">
              <w:marLeft w:val="0"/>
              <w:marRight w:val="0"/>
              <w:marTop w:val="0"/>
              <w:marBottom w:val="0"/>
              <w:divBdr>
                <w:top w:val="none" w:sz="0" w:space="0" w:color="auto"/>
                <w:left w:val="none" w:sz="0" w:space="0" w:color="auto"/>
                <w:bottom w:val="none" w:sz="0" w:space="0" w:color="auto"/>
                <w:right w:val="none" w:sz="0" w:space="0" w:color="auto"/>
              </w:divBdr>
            </w:div>
            <w:div w:id="633678390">
              <w:marLeft w:val="0"/>
              <w:marRight w:val="0"/>
              <w:marTop w:val="0"/>
              <w:marBottom w:val="0"/>
              <w:divBdr>
                <w:top w:val="none" w:sz="0" w:space="0" w:color="auto"/>
                <w:left w:val="none" w:sz="0" w:space="0" w:color="auto"/>
                <w:bottom w:val="none" w:sz="0" w:space="0" w:color="auto"/>
                <w:right w:val="none" w:sz="0" w:space="0" w:color="auto"/>
              </w:divBdr>
            </w:div>
            <w:div w:id="997659351">
              <w:marLeft w:val="0"/>
              <w:marRight w:val="0"/>
              <w:marTop w:val="0"/>
              <w:marBottom w:val="0"/>
              <w:divBdr>
                <w:top w:val="none" w:sz="0" w:space="0" w:color="auto"/>
                <w:left w:val="none" w:sz="0" w:space="0" w:color="auto"/>
                <w:bottom w:val="none" w:sz="0" w:space="0" w:color="auto"/>
                <w:right w:val="none" w:sz="0" w:space="0" w:color="auto"/>
              </w:divBdr>
            </w:div>
            <w:div w:id="1295720818">
              <w:marLeft w:val="0"/>
              <w:marRight w:val="0"/>
              <w:marTop w:val="0"/>
              <w:marBottom w:val="0"/>
              <w:divBdr>
                <w:top w:val="none" w:sz="0" w:space="0" w:color="auto"/>
                <w:left w:val="none" w:sz="0" w:space="0" w:color="auto"/>
                <w:bottom w:val="none" w:sz="0" w:space="0" w:color="auto"/>
                <w:right w:val="none" w:sz="0" w:space="0" w:color="auto"/>
              </w:divBdr>
            </w:div>
            <w:div w:id="1467116391">
              <w:marLeft w:val="0"/>
              <w:marRight w:val="0"/>
              <w:marTop w:val="0"/>
              <w:marBottom w:val="0"/>
              <w:divBdr>
                <w:top w:val="none" w:sz="0" w:space="0" w:color="auto"/>
                <w:left w:val="none" w:sz="0" w:space="0" w:color="auto"/>
                <w:bottom w:val="none" w:sz="0" w:space="0" w:color="auto"/>
                <w:right w:val="none" w:sz="0" w:space="0" w:color="auto"/>
              </w:divBdr>
            </w:div>
            <w:div w:id="1832719575">
              <w:marLeft w:val="0"/>
              <w:marRight w:val="0"/>
              <w:marTop w:val="0"/>
              <w:marBottom w:val="0"/>
              <w:divBdr>
                <w:top w:val="none" w:sz="0" w:space="0" w:color="auto"/>
                <w:left w:val="none" w:sz="0" w:space="0" w:color="auto"/>
                <w:bottom w:val="none" w:sz="0" w:space="0" w:color="auto"/>
                <w:right w:val="none" w:sz="0" w:space="0" w:color="auto"/>
              </w:divBdr>
            </w:div>
            <w:div w:id="1837918544">
              <w:marLeft w:val="0"/>
              <w:marRight w:val="0"/>
              <w:marTop w:val="0"/>
              <w:marBottom w:val="0"/>
              <w:divBdr>
                <w:top w:val="none" w:sz="0" w:space="0" w:color="auto"/>
                <w:left w:val="none" w:sz="0" w:space="0" w:color="auto"/>
                <w:bottom w:val="none" w:sz="0" w:space="0" w:color="auto"/>
                <w:right w:val="none" w:sz="0" w:space="0" w:color="auto"/>
              </w:divBdr>
            </w:div>
            <w:div w:id="1866096855">
              <w:marLeft w:val="0"/>
              <w:marRight w:val="0"/>
              <w:marTop w:val="0"/>
              <w:marBottom w:val="0"/>
              <w:divBdr>
                <w:top w:val="none" w:sz="0" w:space="0" w:color="auto"/>
                <w:left w:val="none" w:sz="0" w:space="0" w:color="auto"/>
                <w:bottom w:val="none" w:sz="0" w:space="0" w:color="auto"/>
                <w:right w:val="none" w:sz="0" w:space="0" w:color="auto"/>
              </w:divBdr>
            </w:div>
            <w:div w:id="1886285456">
              <w:marLeft w:val="0"/>
              <w:marRight w:val="0"/>
              <w:marTop w:val="0"/>
              <w:marBottom w:val="0"/>
              <w:divBdr>
                <w:top w:val="none" w:sz="0" w:space="0" w:color="auto"/>
                <w:left w:val="none" w:sz="0" w:space="0" w:color="auto"/>
                <w:bottom w:val="none" w:sz="0" w:space="0" w:color="auto"/>
                <w:right w:val="none" w:sz="0" w:space="0" w:color="auto"/>
              </w:divBdr>
              <w:divsChild>
                <w:div w:id="1060327506">
                  <w:marLeft w:val="-75"/>
                  <w:marRight w:val="0"/>
                  <w:marTop w:val="30"/>
                  <w:marBottom w:val="30"/>
                  <w:divBdr>
                    <w:top w:val="none" w:sz="0" w:space="0" w:color="auto"/>
                    <w:left w:val="none" w:sz="0" w:space="0" w:color="auto"/>
                    <w:bottom w:val="none" w:sz="0" w:space="0" w:color="auto"/>
                    <w:right w:val="none" w:sz="0" w:space="0" w:color="auto"/>
                  </w:divBdr>
                  <w:divsChild>
                    <w:div w:id="245039220">
                      <w:marLeft w:val="0"/>
                      <w:marRight w:val="0"/>
                      <w:marTop w:val="0"/>
                      <w:marBottom w:val="0"/>
                      <w:divBdr>
                        <w:top w:val="none" w:sz="0" w:space="0" w:color="auto"/>
                        <w:left w:val="none" w:sz="0" w:space="0" w:color="auto"/>
                        <w:bottom w:val="none" w:sz="0" w:space="0" w:color="auto"/>
                        <w:right w:val="none" w:sz="0" w:space="0" w:color="auto"/>
                      </w:divBdr>
                      <w:divsChild>
                        <w:div w:id="104623199">
                          <w:marLeft w:val="0"/>
                          <w:marRight w:val="0"/>
                          <w:marTop w:val="0"/>
                          <w:marBottom w:val="0"/>
                          <w:divBdr>
                            <w:top w:val="none" w:sz="0" w:space="0" w:color="auto"/>
                            <w:left w:val="none" w:sz="0" w:space="0" w:color="auto"/>
                            <w:bottom w:val="none" w:sz="0" w:space="0" w:color="auto"/>
                            <w:right w:val="none" w:sz="0" w:space="0" w:color="auto"/>
                          </w:divBdr>
                        </w:div>
                      </w:divsChild>
                    </w:div>
                    <w:div w:id="738478250">
                      <w:marLeft w:val="0"/>
                      <w:marRight w:val="0"/>
                      <w:marTop w:val="0"/>
                      <w:marBottom w:val="0"/>
                      <w:divBdr>
                        <w:top w:val="none" w:sz="0" w:space="0" w:color="auto"/>
                        <w:left w:val="none" w:sz="0" w:space="0" w:color="auto"/>
                        <w:bottom w:val="none" w:sz="0" w:space="0" w:color="auto"/>
                        <w:right w:val="none" w:sz="0" w:space="0" w:color="auto"/>
                      </w:divBdr>
                      <w:divsChild>
                        <w:div w:id="1908682162">
                          <w:marLeft w:val="0"/>
                          <w:marRight w:val="0"/>
                          <w:marTop w:val="0"/>
                          <w:marBottom w:val="0"/>
                          <w:divBdr>
                            <w:top w:val="none" w:sz="0" w:space="0" w:color="auto"/>
                            <w:left w:val="none" w:sz="0" w:space="0" w:color="auto"/>
                            <w:bottom w:val="none" w:sz="0" w:space="0" w:color="auto"/>
                            <w:right w:val="none" w:sz="0" w:space="0" w:color="auto"/>
                          </w:divBdr>
                        </w:div>
                      </w:divsChild>
                    </w:div>
                    <w:div w:id="979457717">
                      <w:marLeft w:val="0"/>
                      <w:marRight w:val="0"/>
                      <w:marTop w:val="0"/>
                      <w:marBottom w:val="0"/>
                      <w:divBdr>
                        <w:top w:val="none" w:sz="0" w:space="0" w:color="auto"/>
                        <w:left w:val="none" w:sz="0" w:space="0" w:color="auto"/>
                        <w:bottom w:val="none" w:sz="0" w:space="0" w:color="auto"/>
                        <w:right w:val="none" w:sz="0" w:space="0" w:color="auto"/>
                      </w:divBdr>
                      <w:divsChild>
                        <w:div w:id="1581017791">
                          <w:marLeft w:val="0"/>
                          <w:marRight w:val="0"/>
                          <w:marTop w:val="0"/>
                          <w:marBottom w:val="0"/>
                          <w:divBdr>
                            <w:top w:val="none" w:sz="0" w:space="0" w:color="auto"/>
                            <w:left w:val="none" w:sz="0" w:space="0" w:color="auto"/>
                            <w:bottom w:val="none" w:sz="0" w:space="0" w:color="auto"/>
                            <w:right w:val="none" w:sz="0" w:space="0" w:color="auto"/>
                          </w:divBdr>
                        </w:div>
                      </w:divsChild>
                    </w:div>
                    <w:div w:id="1186598710">
                      <w:marLeft w:val="0"/>
                      <w:marRight w:val="0"/>
                      <w:marTop w:val="0"/>
                      <w:marBottom w:val="0"/>
                      <w:divBdr>
                        <w:top w:val="none" w:sz="0" w:space="0" w:color="auto"/>
                        <w:left w:val="none" w:sz="0" w:space="0" w:color="auto"/>
                        <w:bottom w:val="none" w:sz="0" w:space="0" w:color="auto"/>
                        <w:right w:val="none" w:sz="0" w:space="0" w:color="auto"/>
                      </w:divBdr>
                      <w:divsChild>
                        <w:div w:id="331761177">
                          <w:marLeft w:val="0"/>
                          <w:marRight w:val="0"/>
                          <w:marTop w:val="0"/>
                          <w:marBottom w:val="0"/>
                          <w:divBdr>
                            <w:top w:val="none" w:sz="0" w:space="0" w:color="auto"/>
                            <w:left w:val="none" w:sz="0" w:space="0" w:color="auto"/>
                            <w:bottom w:val="none" w:sz="0" w:space="0" w:color="auto"/>
                            <w:right w:val="none" w:sz="0" w:space="0" w:color="auto"/>
                          </w:divBdr>
                        </w:div>
                      </w:divsChild>
                    </w:div>
                    <w:div w:id="1245992372">
                      <w:marLeft w:val="0"/>
                      <w:marRight w:val="0"/>
                      <w:marTop w:val="0"/>
                      <w:marBottom w:val="0"/>
                      <w:divBdr>
                        <w:top w:val="none" w:sz="0" w:space="0" w:color="auto"/>
                        <w:left w:val="none" w:sz="0" w:space="0" w:color="auto"/>
                        <w:bottom w:val="none" w:sz="0" w:space="0" w:color="auto"/>
                        <w:right w:val="none" w:sz="0" w:space="0" w:color="auto"/>
                      </w:divBdr>
                      <w:divsChild>
                        <w:div w:id="1821648337">
                          <w:marLeft w:val="0"/>
                          <w:marRight w:val="0"/>
                          <w:marTop w:val="0"/>
                          <w:marBottom w:val="0"/>
                          <w:divBdr>
                            <w:top w:val="none" w:sz="0" w:space="0" w:color="auto"/>
                            <w:left w:val="none" w:sz="0" w:space="0" w:color="auto"/>
                            <w:bottom w:val="none" w:sz="0" w:space="0" w:color="auto"/>
                            <w:right w:val="none" w:sz="0" w:space="0" w:color="auto"/>
                          </w:divBdr>
                        </w:div>
                      </w:divsChild>
                    </w:div>
                    <w:div w:id="1425688778">
                      <w:marLeft w:val="0"/>
                      <w:marRight w:val="0"/>
                      <w:marTop w:val="0"/>
                      <w:marBottom w:val="0"/>
                      <w:divBdr>
                        <w:top w:val="none" w:sz="0" w:space="0" w:color="auto"/>
                        <w:left w:val="none" w:sz="0" w:space="0" w:color="auto"/>
                        <w:bottom w:val="none" w:sz="0" w:space="0" w:color="auto"/>
                        <w:right w:val="none" w:sz="0" w:space="0" w:color="auto"/>
                      </w:divBdr>
                      <w:divsChild>
                        <w:div w:id="723601382">
                          <w:marLeft w:val="0"/>
                          <w:marRight w:val="0"/>
                          <w:marTop w:val="0"/>
                          <w:marBottom w:val="0"/>
                          <w:divBdr>
                            <w:top w:val="none" w:sz="0" w:space="0" w:color="auto"/>
                            <w:left w:val="none" w:sz="0" w:space="0" w:color="auto"/>
                            <w:bottom w:val="none" w:sz="0" w:space="0" w:color="auto"/>
                            <w:right w:val="none" w:sz="0" w:space="0" w:color="auto"/>
                          </w:divBdr>
                        </w:div>
                      </w:divsChild>
                    </w:div>
                    <w:div w:id="1622957193">
                      <w:marLeft w:val="0"/>
                      <w:marRight w:val="0"/>
                      <w:marTop w:val="0"/>
                      <w:marBottom w:val="0"/>
                      <w:divBdr>
                        <w:top w:val="none" w:sz="0" w:space="0" w:color="auto"/>
                        <w:left w:val="none" w:sz="0" w:space="0" w:color="auto"/>
                        <w:bottom w:val="none" w:sz="0" w:space="0" w:color="auto"/>
                        <w:right w:val="none" w:sz="0" w:space="0" w:color="auto"/>
                      </w:divBdr>
                      <w:divsChild>
                        <w:div w:id="1868330472">
                          <w:marLeft w:val="0"/>
                          <w:marRight w:val="0"/>
                          <w:marTop w:val="0"/>
                          <w:marBottom w:val="0"/>
                          <w:divBdr>
                            <w:top w:val="none" w:sz="0" w:space="0" w:color="auto"/>
                            <w:left w:val="none" w:sz="0" w:space="0" w:color="auto"/>
                            <w:bottom w:val="none" w:sz="0" w:space="0" w:color="auto"/>
                            <w:right w:val="none" w:sz="0" w:space="0" w:color="auto"/>
                          </w:divBdr>
                        </w:div>
                      </w:divsChild>
                    </w:div>
                    <w:div w:id="1663771600">
                      <w:marLeft w:val="0"/>
                      <w:marRight w:val="0"/>
                      <w:marTop w:val="0"/>
                      <w:marBottom w:val="0"/>
                      <w:divBdr>
                        <w:top w:val="none" w:sz="0" w:space="0" w:color="auto"/>
                        <w:left w:val="none" w:sz="0" w:space="0" w:color="auto"/>
                        <w:bottom w:val="none" w:sz="0" w:space="0" w:color="auto"/>
                        <w:right w:val="none" w:sz="0" w:space="0" w:color="auto"/>
                      </w:divBdr>
                      <w:divsChild>
                        <w:div w:id="622272810">
                          <w:marLeft w:val="0"/>
                          <w:marRight w:val="0"/>
                          <w:marTop w:val="0"/>
                          <w:marBottom w:val="0"/>
                          <w:divBdr>
                            <w:top w:val="none" w:sz="0" w:space="0" w:color="auto"/>
                            <w:left w:val="none" w:sz="0" w:space="0" w:color="auto"/>
                            <w:bottom w:val="none" w:sz="0" w:space="0" w:color="auto"/>
                            <w:right w:val="none" w:sz="0" w:space="0" w:color="auto"/>
                          </w:divBdr>
                        </w:div>
                      </w:divsChild>
                    </w:div>
                    <w:div w:id="1750688480">
                      <w:marLeft w:val="0"/>
                      <w:marRight w:val="0"/>
                      <w:marTop w:val="0"/>
                      <w:marBottom w:val="0"/>
                      <w:divBdr>
                        <w:top w:val="none" w:sz="0" w:space="0" w:color="auto"/>
                        <w:left w:val="none" w:sz="0" w:space="0" w:color="auto"/>
                        <w:bottom w:val="none" w:sz="0" w:space="0" w:color="auto"/>
                        <w:right w:val="none" w:sz="0" w:space="0" w:color="auto"/>
                      </w:divBdr>
                      <w:divsChild>
                        <w:div w:id="1819498174">
                          <w:marLeft w:val="0"/>
                          <w:marRight w:val="0"/>
                          <w:marTop w:val="0"/>
                          <w:marBottom w:val="0"/>
                          <w:divBdr>
                            <w:top w:val="none" w:sz="0" w:space="0" w:color="auto"/>
                            <w:left w:val="none" w:sz="0" w:space="0" w:color="auto"/>
                            <w:bottom w:val="none" w:sz="0" w:space="0" w:color="auto"/>
                            <w:right w:val="none" w:sz="0" w:space="0" w:color="auto"/>
                          </w:divBdr>
                        </w:div>
                      </w:divsChild>
                    </w:div>
                    <w:div w:id="1817910662">
                      <w:marLeft w:val="0"/>
                      <w:marRight w:val="0"/>
                      <w:marTop w:val="0"/>
                      <w:marBottom w:val="0"/>
                      <w:divBdr>
                        <w:top w:val="none" w:sz="0" w:space="0" w:color="auto"/>
                        <w:left w:val="none" w:sz="0" w:space="0" w:color="auto"/>
                        <w:bottom w:val="none" w:sz="0" w:space="0" w:color="auto"/>
                        <w:right w:val="none" w:sz="0" w:space="0" w:color="auto"/>
                      </w:divBdr>
                      <w:divsChild>
                        <w:div w:id="132351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8812769">
          <w:marLeft w:val="0"/>
          <w:marRight w:val="0"/>
          <w:marTop w:val="0"/>
          <w:marBottom w:val="0"/>
          <w:divBdr>
            <w:top w:val="none" w:sz="0" w:space="0" w:color="auto"/>
            <w:left w:val="none" w:sz="0" w:space="0" w:color="auto"/>
            <w:bottom w:val="none" w:sz="0" w:space="0" w:color="auto"/>
            <w:right w:val="none" w:sz="0" w:space="0" w:color="auto"/>
          </w:divBdr>
        </w:div>
      </w:divsChild>
    </w:div>
    <w:div w:id="1516922854">
      <w:bodyDiv w:val="1"/>
      <w:marLeft w:val="0"/>
      <w:marRight w:val="0"/>
      <w:marTop w:val="0"/>
      <w:marBottom w:val="0"/>
      <w:divBdr>
        <w:top w:val="none" w:sz="0" w:space="0" w:color="auto"/>
        <w:left w:val="none" w:sz="0" w:space="0" w:color="auto"/>
        <w:bottom w:val="none" w:sz="0" w:space="0" w:color="auto"/>
        <w:right w:val="none" w:sz="0" w:space="0" w:color="auto"/>
      </w:divBdr>
    </w:div>
    <w:div w:id="1543444079">
      <w:bodyDiv w:val="1"/>
      <w:marLeft w:val="0"/>
      <w:marRight w:val="0"/>
      <w:marTop w:val="0"/>
      <w:marBottom w:val="0"/>
      <w:divBdr>
        <w:top w:val="none" w:sz="0" w:space="0" w:color="auto"/>
        <w:left w:val="none" w:sz="0" w:space="0" w:color="auto"/>
        <w:bottom w:val="none" w:sz="0" w:space="0" w:color="auto"/>
        <w:right w:val="none" w:sz="0" w:space="0" w:color="auto"/>
      </w:divBdr>
    </w:div>
    <w:div w:id="1552307264">
      <w:bodyDiv w:val="1"/>
      <w:marLeft w:val="0"/>
      <w:marRight w:val="0"/>
      <w:marTop w:val="0"/>
      <w:marBottom w:val="0"/>
      <w:divBdr>
        <w:top w:val="none" w:sz="0" w:space="0" w:color="auto"/>
        <w:left w:val="none" w:sz="0" w:space="0" w:color="auto"/>
        <w:bottom w:val="none" w:sz="0" w:space="0" w:color="auto"/>
        <w:right w:val="none" w:sz="0" w:space="0" w:color="auto"/>
      </w:divBdr>
    </w:div>
    <w:div w:id="1554075804">
      <w:bodyDiv w:val="1"/>
      <w:marLeft w:val="0"/>
      <w:marRight w:val="0"/>
      <w:marTop w:val="0"/>
      <w:marBottom w:val="0"/>
      <w:divBdr>
        <w:top w:val="none" w:sz="0" w:space="0" w:color="auto"/>
        <w:left w:val="none" w:sz="0" w:space="0" w:color="auto"/>
        <w:bottom w:val="none" w:sz="0" w:space="0" w:color="auto"/>
        <w:right w:val="none" w:sz="0" w:space="0" w:color="auto"/>
      </w:divBdr>
    </w:div>
    <w:div w:id="1556088567">
      <w:bodyDiv w:val="1"/>
      <w:marLeft w:val="0"/>
      <w:marRight w:val="0"/>
      <w:marTop w:val="0"/>
      <w:marBottom w:val="0"/>
      <w:divBdr>
        <w:top w:val="none" w:sz="0" w:space="0" w:color="auto"/>
        <w:left w:val="none" w:sz="0" w:space="0" w:color="auto"/>
        <w:bottom w:val="none" w:sz="0" w:space="0" w:color="auto"/>
        <w:right w:val="none" w:sz="0" w:space="0" w:color="auto"/>
      </w:divBdr>
    </w:div>
    <w:div w:id="1580402568">
      <w:bodyDiv w:val="1"/>
      <w:marLeft w:val="0"/>
      <w:marRight w:val="0"/>
      <w:marTop w:val="0"/>
      <w:marBottom w:val="0"/>
      <w:divBdr>
        <w:top w:val="none" w:sz="0" w:space="0" w:color="auto"/>
        <w:left w:val="none" w:sz="0" w:space="0" w:color="auto"/>
        <w:bottom w:val="none" w:sz="0" w:space="0" w:color="auto"/>
        <w:right w:val="none" w:sz="0" w:space="0" w:color="auto"/>
      </w:divBdr>
    </w:div>
    <w:div w:id="1580599818">
      <w:bodyDiv w:val="1"/>
      <w:marLeft w:val="0"/>
      <w:marRight w:val="0"/>
      <w:marTop w:val="0"/>
      <w:marBottom w:val="0"/>
      <w:divBdr>
        <w:top w:val="none" w:sz="0" w:space="0" w:color="auto"/>
        <w:left w:val="none" w:sz="0" w:space="0" w:color="auto"/>
        <w:bottom w:val="none" w:sz="0" w:space="0" w:color="auto"/>
        <w:right w:val="none" w:sz="0" w:space="0" w:color="auto"/>
      </w:divBdr>
    </w:div>
    <w:div w:id="1584028745">
      <w:bodyDiv w:val="1"/>
      <w:marLeft w:val="0"/>
      <w:marRight w:val="0"/>
      <w:marTop w:val="0"/>
      <w:marBottom w:val="0"/>
      <w:divBdr>
        <w:top w:val="none" w:sz="0" w:space="0" w:color="auto"/>
        <w:left w:val="none" w:sz="0" w:space="0" w:color="auto"/>
        <w:bottom w:val="none" w:sz="0" w:space="0" w:color="auto"/>
        <w:right w:val="none" w:sz="0" w:space="0" w:color="auto"/>
      </w:divBdr>
    </w:div>
    <w:div w:id="1600024905">
      <w:bodyDiv w:val="1"/>
      <w:marLeft w:val="0"/>
      <w:marRight w:val="0"/>
      <w:marTop w:val="0"/>
      <w:marBottom w:val="0"/>
      <w:divBdr>
        <w:top w:val="none" w:sz="0" w:space="0" w:color="auto"/>
        <w:left w:val="none" w:sz="0" w:space="0" w:color="auto"/>
        <w:bottom w:val="none" w:sz="0" w:space="0" w:color="auto"/>
        <w:right w:val="none" w:sz="0" w:space="0" w:color="auto"/>
      </w:divBdr>
    </w:div>
    <w:div w:id="1609392448">
      <w:bodyDiv w:val="1"/>
      <w:marLeft w:val="0"/>
      <w:marRight w:val="0"/>
      <w:marTop w:val="0"/>
      <w:marBottom w:val="0"/>
      <w:divBdr>
        <w:top w:val="none" w:sz="0" w:space="0" w:color="auto"/>
        <w:left w:val="none" w:sz="0" w:space="0" w:color="auto"/>
        <w:bottom w:val="none" w:sz="0" w:space="0" w:color="auto"/>
        <w:right w:val="none" w:sz="0" w:space="0" w:color="auto"/>
      </w:divBdr>
    </w:div>
    <w:div w:id="1611626588">
      <w:bodyDiv w:val="1"/>
      <w:marLeft w:val="0"/>
      <w:marRight w:val="0"/>
      <w:marTop w:val="0"/>
      <w:marBottom w:val="0"/>
      <w:divBdr>
        <w:top w:val="none" w:sz="0" w:space="0" w:color="auto"/>
        <w:left w:val="none" w:sz="0" w:space="0" w:color="auto"/>
        <w:bottom w:val="none" w:sz="0" w:space="0" w:color="auto"/>
        <w:right w:val="none" w:sz="0" w:space="0" w:color="auto"/>
      </w:divBdr>
      <w:divsChild>
        <w:div w:id="242373870">
          <w:marLeft w:val="0"/>
          <w:marRight w:val="0"/>
          <w:marTop w:val="0"/>
          <w:marBottom w:val="0"/>
          <w:divBdr>
            <w:top w:val="none" w:sz="0" w:space="0" w:color="auto"/>
            <w:left w:val="none" w:sz="0" w:space="0" w:color="auto"/>
            <w:bottom w:val="none" w:sz="0" w:space="0" w:color="auto"/>
            <w:right w:val="none" w:sz="0" w:space="0" w:color="auto"/>
          </w:divBdr>
        </w:div>
        <w:div w:id="1421952862">
          <w:marLeft w:val="0"/>
          <w:marRight w:val="0"/>
          <w:marTop w:val="0"/>
          <w:marBottom w:val="0"/>
          <w:divBdr>
            <w:top w:val="none" w:sz="0" w:space="0" w:color="auto"/>
            <w:left w:val="none" w:sz="0" w:space="0" w:color="auto"/>
            <w:bottom w:val="none" w:sz="0" w:space="0" w:color="auto"/>
            <w:right w:val="none" w:sz="0" w:space="0" w:color="auto"/>
          </w:divBdr>
        </w:div>
      </w:divsChild>
    </w:div>
    <w:div w:id="1613978375">
      <w:bodyDiv w:val="1"/>
      <w:marLeft w:val="0"/>
      <w:marRight w:val="0"/>
      <w:marTop w:val="0"/>
      <w:marBottom w:val="0"/>
      <w:divBdr>
        <w:top w:val="none" w:sz="0" w:space="0" w:color="auto"/>
        <w:left w:val="none" w:sz="0" w:space="0" w:color="auto"/>
        <w:bottom w:val="none" w:sz="0" w:space="0" w:color="auto"/>
        <w:right w:val="none" w:sz="0" w:space="0" w:color="auto"/>
      </w:divBdr>
      <w:divsChild>
        <w:div w:id="781994994">
          <w:marLeft w:val="0"/>
          <w:marRight w:val="0"/>
          <w:marTop w:val="0"/>
          <w:marBottom w:val="0"/>
          <w:divBdr>
            <w:top w:val="none" w:sz="0" w:space="0" w:color="auto"/>
            <w:left w:val="none" w:sz="0" w:space="0" w:color="auto"/>
            <w:bottom w:val="none" w:sz="0" w:space="0" w:color="auto"/>
            <w:right w:val="none" w:sz="0" w:space="0" w:color="auto"/>
          </w:divBdr>
          <w:divsChild>
            <w:div w:id="26875463">
              <w:marLeft w:val="0"/>
              <w:marRight w:val="0"/>
              <w:marTop w:val="0"/>
              <w:marBottom w:val="0"/>
              <w:divBdr>
                <w:top w:val="none" w:sz="0" w:space="0" w:color="auto"/>
                <w:left w:val="none" w:sz="0" w:space="0" w:color="auto"/>
                <w:bottom w:val="none" w:sz="0" w:space="0" w:color="auto"/>
                <w:right w:val="none" w:sz="0" w:space="0" w:color="auto"/>
              </w:divBdr>
            </w:div>
            <w:div w:id="107704759">
              <w:marLeft w:val="0"/>
              <w:marRight w:val="0"/>
              <w:marTop w:val="0"/>
              <w:marBottom w:val="0"/>
              <w:divBdr>
                <w:top w:val="none" w:sz="0" w:space="0" w:color="auto"/>
                <w:left w:val="none" w:sz="0" w:space="0" w:color="auto"/>
                <w:bottom w:val="none" w:sz="0" w:space="0" w:color="auto"/>
                <w:right w:val="none" w:sz="0" w:space="0" w:color="auto"/>
              </w:divBdr>
            </w:div>
            <w:div w:id="399526426">
              <w:marLeft w:val="0"/>
              <w:marRight w:val="0"/>
              <w:marTop w:val="0"/>
              <w:marBottom w:val="0"/>
              <w:divBdr>
                <w:top w:val="none" w:sz="0" w:space="0" w:color="auto"/>
                <w:left w:val="none" w:sz="0" w:space="0" w:color="auto"/>
                <w:bottom w:val="none" w:sz="0" w:space="0" w:color="auto"/>
                <w:right w:val="none" w:sz="0" w:space="0" w:color="auto"/>
              </w:divBdr>
            </w:div>
            <w:div w:id="608781278">
              <w:marLeft w:val="0"/>
              <w:marRight w:val="0"/>
              <w:marTop w:val="0"/>
              <w:marBottom w:val="0"/>
              <w:divBdr>
                <w:top w:val="none" w:sz="0" w:space="0" w:color="auto"/>
                <w:left w:val="none" w:sz="0" w:space="0" w:color="auto"/>
                <w:bottom w:val="none" w:sz="0" w:space="0" w:color="auto"/>
                <w:right w:val="none" w:sz="0" w:space="0" w:color="auto"/>
              </w:divBdr>
            </w:div>
            <w:div w:id="669603340">
              <w:marLeft w:val="0"/>
              <w:marRight w:val="0"/>
              <w:marTop w:val="0"/>
              <w:marBottom w:val="0"/>
              <w:divBdr>
                <w:top w:val="none" w:sz="0" w:space="0" w:color="auto"/>
                <w:left w:val="none" w:sz="0" w:space="0" w:color="auto"/>
                <w:bottom w:val="none" w:sz="0" w:space="0" w:color="auto"/>
                <w:right w:val="none" w:sz="0" w:space="0" w:color="auto"/>
              </w:divBdr>
            </w:div>
            <w:div w:id="1258171631">
              <w:marLeft w:val="0"/>
              <w:marRight w:val="0"/>
              <w:marTop w:val="0"/>
              <w:marBottom w:val="0"/>
              <w:divBdr>
                <w:top w:val="none" w:sz="0" w:space="0" w:color="auto"/>
                <w:left w:val="none" w:sz="0" w:space="0" w:color="auto"/>
                <w:bottom w:val="none" w:sz="0" w:space="0" w:color="auto"/>
                <w:right w:val="none" w:sz="0" w:space="0" w:color="auto"/>
              </w:divBdr>
            </w:div>
            <w:div w:id="1279216915">
              <w:marLeft w:val="0"/>
              <w:marRight w:val="0"/>
              <w:marTop w:val="0"/>
              <w:marBottom w:val="0"/>
              <w:divBdr>
                <w:top w:val="none" w:sz="0" w:space="0" w:color="auto"/>
                <w:left w:val="none" w:sz="0" w:space="0" w:color="auto"/>
                <w:bottom w:val="none" w:sz="0" w:space="0" w:color="auto"/>
                <w:right w:val="none" w:sz="0" w:space="0" w:color="auto"/>
              </w:divBdr>
            </w:div>
            <w:div w:id="1376853000">
              <w:marLeft w:val="0"/>
              <w:marRight w:val="0"/>
              <w:marTop w:val="0"/>
              <w:marBottom w:val="0"/>
              <w:divBdr>
                <w:top w:val="none" w:sz="0" w:space="0" w:color="auto"/>
                <w:left w:val="none" w:sz="0" w:space="0" w:color="auto"/>
                <w:bottom w:val="none" w:sz="0" w:space="0" w:color="auto"/>
                <w:right w:val="none" w:sz="0" w:space="0" w:color="auto"/>
              </w:divBdr>
            </w:div>
            <w:div w:id="1386223207">
              <w:marLeft w:val="0"/>
              <w:marRight w:val="0"/>
              <w:marTop w:val="0"/>
              <w:marBottom w:val="0"/>
              <w:divBdr>
                <w:top w:val="none" w:sz="0" w:space="0" w:color="auto"/>
                <w:left w:val="none" w:sz="0" w:space="0" w:color="auto"/>
                <w:bottom w:val="none" w:sz="0" w:space="0" w:color="auto"/>
                <w:right w:val="none" w:sz="0" w:space="0" w:color="auto"/>
              </w:divBdr>
            </w:div>
            <w:div w:id="1412462936">
              <w:marLeft w:val="0"/>
              <w:marRight w:val="0"/>
              <w:marTop w:val="0"/>
              <w:marBottom w:val="0"/>
              <w:divBdr>
                <w:top w:val="none" w:sz="0" w:space="0" w:color="auto"/>
                <w:left w:val="none" w:sz="0" w:space="0" w:color="auto"/>
                <w:bottom w:val="none" w:sz="0" w:space="0" w:color="auto"/>
                <w:right w:val="none" w:sz="0" w:space="0" w:color="auto"/>
              </w:divBdr>
            </w:div>
            <w:div w:id="1769350167">
              <w:marLeft w:val="0"/>
              <w:marRight w:val="0"/>
              <w:marTop w:val="0"/>
              <w:marBottom w:val="0"/>
              <w:divBdr>
                <w:top w:val="none" w:sz="0" w:space="0" w:color="auto"/>
                <w:left w:val="none" w:sz="0" w:space="0" w:color="auto"/>
                <w:bottom w:val="none" w:sz="0" w:space="0" w:color="auto"/>
                <w:right w:val="none" w:sz="0" w:space="0" w:color="auto"/>
              </w:divBdr>
            </w:div>
            <w:div w:id="1862164632">
              <w:marLeft w:val="0"/>
              <w:marRight w:val="0"/>
              <w:marTop w:val="0"/>
              <w:marBottom w:val="0"/>
              <w:divBdr>
                <w:top w:val="none" w:sz="0" w:space="0" w:color="auto"/>
                <w:left w:val="none" w:sz="0" w:space="0" w:color="auto"/>
                <w:bottom w:val="none" w:sz="0" w:space="0" w:color="auto"/>
                <w:right w:val="none" w:sz="0" w:space="0" w:color="auto"/>
              </w:divBdr>
            </w:div>
            <w:div w:id="2022076055">
              <w:marLeft w:val="0"/>
              <w:marRight w:val="0"/>
              <w:marTop w:val="0"/>
              <w:marBottom w:val="0"/>
              <w:divBdr>
                <w:top w:val="none" w:sz="0" w:space="0" w:color="auto"/>
                <w:left w:val="none" w:sz="0" w:space="0" w:color="auto"/>
                <w:bottom w:val="none" w:sz="0" w:space="0" w:color="auto"/>
                <w:right w:val="none" w:sz="0" w:space="0" w:color="auto"/>
              </w:divBdr>
            </w:div>
          </w:divsChild>
        </w:div>
        <w:div w:id="825435566">
          <w:marLeft w:val="0"/>
          <w:marRight w:val="0"/>
          <w:marTop w:val="0"/>
          <w:marBottom w:val="0"/>
          <w:divBdr>
            <w:top w:val="none" w:sz="0" w:space="0" w:color="auto"/>
            <w:left w:val="none" w:sz="0" w:space="0" w:color="auto"/>
            <w:bottom w:val="none" w:sz="0" w:space="0" w:color="auto"/>
            <w:right w:val="none" w:sz="0" w:space="0" w:color="auto"/>
          </w:divBdr>
          <w:divsChild>
            <w:div w:id="201793030">
              <w:marLeft w:val="0"/>
              <w:marRight w:val="0"/>
              <w:marTop w:val="0"/>
              <w:marBottom w:val="0"/>
              <w:divBdr>
                <w:top w:val="none" w:sz="0" w:space="0" w:color="auto"/>
                <w:left w:val="none" w:sz="0" w:space="0" w:color="auto"/>
                <w:bottom w:val="none" w:sz="0" w:space="0" w:color="auto"/>
                <w:right w:val="none" w:sz="0" w:space="0" w:color="auto"/>
              </w:divBdr>
            </w:div>
            <w:div w:id="707605225">
              <w:marLeft w:val="0"/>
              <w:marRight w:val="0"/>
              <w:marTop w:val="0"/>
              <w:marBottom w:val="0"/>
              <w:divBdr>
                <w:top w:val="none" w:sz="0" w:space="0" w:color="auto"/>
                <w:left w:val="none" w:sz="0" w:space="0" w:color="auto"/>
                <w:bottom w:val="none" w:sz="0" w:space="0" w:color="auto"/>
                <w:right w:val="none" w:sz="0" w:space="0" w:color="auto"/>
              </w:divBdr>
            </w:div>
            <w:div w:id="913776572">
              <w:marLeft w:val="0"/>
              <w:marRight w:val="0"/>
              <w:marTop w:val="0"/>
              <w:marBottom w:val="0"/>
              <w:divBdr>
                <w:top w:val="none" w:sz="0" w:space="0" w:color="auto"/>
                <w:left w:val="none" w:sz="0" w:space="0" w:color="auto"/>
                <w:bottom w:val="none" w:sz="0" w:space="0" w:color="auto"/>
                <w:right w:val="none" w:sz="0" w:space="0" w:color="auto"/>
              </w:divBdr>
            </w:div>
            <w:div w:id="1726491985">
              <w:marLeft w:val="0"/>
              <w:marRight w:val="0"/>
              <w:marTop w:val="0"/>
              <w:marBottom w:val="0"/>
              <w:divBdr>
                <w:top w:val="none" w:sz="0" w:space="0" w:color="auto"/>
                <w:left w:val="none" w:sz="0" w:space="0" w:color="auto"/>
                <w:bottom w:val="none" w:sz="0" w:space="0" w:color="auto"/>
                <w:right w:val="none" w:sz="0" w:space="0" w:color="auto"/>
              </w:divBdr>
            </w:div>
            <w:div w:id="1945453603">
              <w:marLeft w:val="0"/>
              <w:marRight w:val="0"/>
              <w:marTop w:val="0"/>
              <w:marBottom w:val="0"/>
              <w:divBdr>
                <w:top w:val="none" w:sz="0" w:space="0" w:color="auto"/>
                <w:left w:val="none" w:sz="0" w:space="0" w:color="auto"/>
                <w:bottom w:val="none" w:sz="0" w:space="0" w:color="auto"/>
                <w:right w:val="none" w:sz="0" w:space="0" w:color="auto"/>
              </w:divBdr>
            </w:div>
          </w:divsChild>
        </w:div>
        <w:div w:id="1351759127">
          <w:marLeft w:val="0"/>
          <w:marRight w:val="0"/>
          <w:marTop w:val="0"/>
          <w:marBottom w:val="0"/>
          <w:divBdr>
            <w:top w:val="none" w:sz="0" w:space="0" w:color="auto"/>
            <w:left w:val="none" w:sz="0" w:space="0" w:color="auto"/>
            <w:bottom w:val="none" w:sz="0" w:space="0" w:color="auto"/>
            <w:right w:val="none" w:sz="0" w:space="0" w:color="auto"/>
          </w:divBdr>
          <w:divsChild>
            <w:div w:id="236597581">
              <w:marLeft w:val="0"/>
              <w:marRight w:val="0"/>
              <w:marTop w:val="0"/>
              <w:marBottom w:val="0"/>
              <w:divBdr>
                <w:top w:val="none" w:sz="0" w:space="0" w:color="auto"/>
                <w:left w:val="none" w:sz="0" w:space="0" w:color="auto"/>
                <w:bottom w:val="none" w:sz="0" w:space="0" w:color="auto"/>
                <w:right w:val="none" w:sz="0" w:space="0" w:color="auto"/>
              </w:divBdr>
            </w:div>
            <w:div w:id="868764689">
              <w:marLeft w:val="0"/>
              <w:marRight w:val="0"/>
              <w:marTop w:val="0"/>
              <w:marBottom w:val="0"/>
              <w:divBdr>
                <w:top w:val="none" w:sz="0" w:space="0" w:color="auto"/>
                <w:left w:val="none" w:sz="0" w:space="0" w:color="auto"/>
                <w:bottom w:val="none" w:sz="0" w:space="0" w:color="auto"/>
                <w:right w:val="none" w:sz="0" w:space="0" w:color="auto"/>
              </w:divBdr>
            </w:div>
            <w:div w:id="1025713019">
              <w:marLeft w:val="0"/>
              <w:marRight w:val="0"/>
              <w:marTop w:val="0"/>
              <w:marBottom w:val="0"/>
              <w:divBdr>
                <w:top w:val="none" w:sz="0" w:space="0" w:color="auto"/>
                <w:left w:val="none" w:sz="0" w:space="0" w:color="auto"/>
                <w:bottom w:val="none" w:sz="0" w:space="0" w:color="auto"/>
                <w:right w:val="none" w:sz="0" w:space="0" w:color="auto"/>
              </w:divBdr>
            </w:div>
            <w:div w:id="1093279662">
              <w:marLeft w:val="0"/>
              <w:marRight w:val="0"/>
              <w:marTop w:val="0"/>
              <w:marBottom w:val="0"/>
              <w:divBdr>
                <w:top w:val="none" w:sz="0" w:space="0" w:color="auto"/>
                <w:left w:val="none" w:sz="0" w:space="0" w:color="auto"/>
                <w:bottom w:val="none" w:sz="0" w:space="0" w:color="auto"/>
                <w:right w:val="none" w:sz="0" w:space="0" w:color="auto"/>
              </w:divBdr>
            </w:div>
            <w:div w:id="1107625848">
              <w:marLeft w:val="0"/>
              <w:marRight w:val="0"/>
              <w:marTop w:val="0"/>
              <w:marBottom w:val="0"/>
              <w:divBdr>
                <w:top w:val="none" w:sz="0" w:space="0" w:color="auto"/>
                <w:left w:val="none" w:sz="0" w:space="0" w:color="auto"/>
                <w:bottom w:val="none" w:sz="0" w:space="0" w:color="auto"/>
                <w:right w:val="none" w:sz="0" w:space="0" w:color="auto"/>
              </w:divBdr>
            </w:div>
            <w:div w:id="1258709061">
              <w:marLeft w:val="0"/>
              <w:marRight w:val="0"/>
              <w:marTop w:val="0"/>
              <w:marBottom w:val="0"/>
              <w:divBdr>
                <w:top w:val="none" w:sz="0" w:space="0" w:color="auto"/>
                <w:left w:val="none" w:sz="0" w:space="0" w:color="auto"/>
                <w:bottom w:val="none" w:sz="0" w:space="0" w:color="auto"/>
                <w:right w:val="none" w:sz="0" w:space="0" w:color="auto"/>
              </w:divBdr>
            </w:div>
            <w:div w:id="1361469415">
              <w:marLeft w:val="0"/>
              <w:marRight w:val="0"/>
              <w:marTop w:val="0"/>
              <w:marBottom w:val="0"/>
              <w:divBdr>
                <w:top w:val="none" w:sz="0" w:space="0" w:color="auto"/>
                <w:left w:val="none" w:sz="0" w:space="0" w:color="auto"/>
                <w:bottom w:val="none" w:sz="0" w:space="0" w:color="auto"/>
                <w:right w:val="none" w:sz="0" w:space="0" w:color="auto"/>
              </w:divBdr>
            </w:div>
            <w:div w:id="1500848143">
              <w:marLeft w:val="0"/>
              <w:marRight w:val="0"/>
              <w:marTop w:val="0"/>
              <w:marBottom w:val="0"/>
              <w:divBdr>
                <w:top w:val="none" w:sz="0" w:space="0" w:color="auto"/>
                <w:left w:val="none" w:sz="0" w:space="0" w:color="auto"/>
                <w:bottom w:val="none" w:sz="0" w:space="0" w:color="auto"/>
                <w:right w:val="none" w:sz="0" w:space="0" w:color="auto"/>
              </w:divBdr>
            </w:div>
            <w:div w:id="1872066950">
              <w:marLeft w:val="0"/>
              <w:marRight w:val="0"/>
              <w:marTop w:val="0"/>
              <w:marBottom w:val="0"/>
              <w:divBdr>
                <w:top w:val="none" w:sz="0" w:space="0" w:color="auto"/>
                <w:left w:val="none" w:sz="0" w:space="0" w:color="auto"/>
                <w:bottom w:val="none" w:sz="0" w:space="0" w:color="auto"/>
                <w:right w:val="none" w:sz="0" w:space="0" w:color="auto"/>
              </w:divBdr>
            </w:div>
            <w:div w:id="1985697406">
              <w:marLeft w:val="0"/>
              <w:marRight w:val="0"/>
              <w:marTop w:val="0"/>
              <w:marBottom w:val="0"/>
              <w:divBdr>
                <w:top w:val="none" w:sz="0" w:space="0" w:color="auto"/>
                <w:left w:val="none" w:sz="0" w:space="0" w:color="auto"/>
                <w:bottom w:val="none" w:sz="0" w:space="0" w:color="auto"/>
                <w:right w:val="none" w:sz="0" w:space="0" w:color="auto"/>
              </w:divBdr>
            </w:div>
            <w:div w:id="2007516727">
              <w:marLeft w:val="0"/>
              <w:marRight w:val="0"/>
              <w:marTop w:val="0"/>
              <w:marBottom w:val="0"/>
              <w:divBdr>
                <w:top w:val="none" w:sz="0" w:space="0" w:color="auto"/>
                <w:left w:val="none" w:sz="0" w:space="0" w:color="auto"/>
                <w:bottom w:val="none" w:sz="0" w:space="0" w:color="auto"/>
                <w:right w:val="none" w:sz="0" w:space="0" w:color="auto"/>
              </w:divBdr>
            </w:div>
          </w:divsChild>
        </w:div>
        <w:div w:id="1945378514">
          <w:marLeft w:val="0"/>
          <w:marRight w:val="0"/>
          <w:marTop w:val="0"/>
          <w:marBottom w:val="0"/>
          <w:divBdr>
            <w:top w:val="none" w:sz="0" w:space="0" w:color="auto"/>
            <w:left w:val="none" w:sz="0" w:space="0" w:color="auto"/>
            <w:bottom w:val="none" w:sz="0" w:space="0" w:color="auto"/>
            <w:right w:val="none" w:sz="0" w:space="0" w:color="auto"/>
          </w:divBdr>
          <w:divsChild>
            <w:div w:id="55129398">
              <w:marLeft w:val="0"/>
              <w:marRight w:val="0"/>
              <w:marTop w:val="0"/>
              <w:marBottom w:val="0"/>
              <w:divBdr>
                <w:top w:val="none" w:sz="0" w:space="0" w:color="auto"/>
                <w:left w:val="none" w:sz="0" w:space="0" w:color="auto"/>
                <w:bottom w:val="none" w:sz="0" w:space="0" w:color="auto"/>
                <w:right w:val="none" w:sz="0" w:space="0" w:color="auto"/>
              </w:divBdr>
            </w:div>
            <w:div w:id="1546213835">
              <w:marLeft w:val="0"/>
              <w:marRight w:val="0"/>
              <w:marTop w:val="0"/>
              <w:marBottom w:val="0"/>
              <w:divBdr>
                <w:top w:val="none" w:sz="0" w:space="0" w:color="auto"/>
                <w:left w:val="none" w:sz="0" w:space="0" w:color="auto"/>
                <w:bottom w:val="none" w:sz="0" w:space="0" w:color="auto"/>
                <w:right w:val="none" w:sz="0" w:space="0" w:color="auto"/>
              </w:divBdr>
            </w:div>
            <w:div w:id="1638098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954805">
      <w:bodyDiv w:val="1"/>
      <w:marLeft w:val="0"/>
      <w:marRight w:val="0"/>
      <w:marTop w:val="0"/>
      <w:marBottom w:val="0"/>
      <w:divBdr>
        <w:top w:val="none" w:sz="0" w:space="0" w:color="auto"/>
        <w:left w:val="none" w:sz="0" w:space="0" w:color="auto"/>
        <w:bottom w:val="none" w:sz="0" w:space="0" w:color="auto"/>
        <w:right w:val="none" w:sz="0" w:space="0" w:color="auto"/>
      </w:divBdr>
    </w:div>
    <w:div w:id="1628855511">
      <w:bodyDiv w:val="1"/>
      <w:marLeft w:val="0"/>
      <w:marRight w:val="0"/>
      <w:marTop w:val="0"/>
      <w:marBottom w:val="0"/>
      <w:divBdr>
        <w:top w:val="none" w:sz="0" w:space="0" w:color="auto"/>
        <w:left w:val="none" w:sz="0" w:space="0" w:color="auto"/>
        <w:bottom w:val="none" w:sz="0" w:space="0" w:color="auto"/>
        <w:right w:val="none" w:sz="0" w:space="0" w:color="auto"/>
      </w:divBdr>
    </w:div>
    <w:div w:id="1629513433">
      <w:bodyDiv w:val="1"/>
      <w:marLeft w:val="0"/>
      <w:marRight w:val="0"/>
      <w:marTop w:val="0"/>
      <w:marBottom w:val="0"/>
      <w:divBdr>
        <w:top w:val="none" w:sz="0" w:space="0" w:color="auto"/>
        <w:left w:val="none" w:sz="0" w:space="0" w:color="auto"/>
        <w:bottom w:val="none" w:sz="0" w:space="0" w:color="auto"/>
        <w:right w:val="none" w:sz="0" w:space="0" w:color="auto"/>
      </w:divBdr>
      <w:divsChild>
        <w:div w:id="432089393">
          <w:marLeft w:val="0"/>
          <w:marRight w:val="0"/>
          <w:marTop w:val="0"/>
          <w:marBottom w:val="0"/>
          <w:divBdr>
            <w:top w:val="none" w:sz="0" w:space="0" w:color="auto"/>
            <w:left w:val="none" w:sz="0" w:space="0" w:color="auto"/>
            <w:bottom w:val="none" w:sz="0" w:space="0" w:color="auto"/>
            <w:right w:val="none" w:sz="0" w:space="0" w:color="auto"/>
          </w:divBdr>
        </w:div>
        <w:div w:id="1116214814">
          <w:marLeft w:val="0"/>
          <w:marRight w:val="0"/>
          <w:marTop w:val="0"/>
          <w:marBottom w:val="0"/>
          <w:divBdr>
            <w:top w:val="none" w:sz="0" w:space="0" w:color="auto"/>
            <w:left w:val="none" w:sz="0" w:space="0" w:color="auto"/>
            <w:bottom w:val="none" w:sz="0" w:space="0" w:color="auto"/>
            <w:right w:val="none" w:sz="0" w:space="0" w:color="auto"/>
          </w:divBdr>
        </w:div>
      </w:divsChild>
    </w:div>
    <w:div w:id="1634948889">
      <w:bodyDiv w:val="1"/>
      <w:marLeft w:val="0"/>
      <w:marRight w:val="0"/>
      <w:marTop w:val="0"/>
      <w:marBottom w:val="0"/>
      <w:divBdr>
        <w:top w:val="none" w:sz="0" w:space="0" w:color="auto"/>
        <w:left w:val="none" w:sz="0" w:space="0" w:color="auto"/>
        <w:bottom w:val="none" w:sz="0" w:space="0" w:color="auto"/>
        <w:right w:val="none" w:sz="0" w:space="0" w:color="auto"/>
      </w:divBdr>
    </w:div>
    <w:div w:id="1638490282">
      <w:bodyDiv w:val="1"/>
      <w:marLeft w:val="0"/>
      <w:marRight w:val="0"/>
      <w:marTop w:val="0"/>
      <w:marBottom w:val="0"/>
      <w:divBdr>
        <w:top w:val="none" w:sz="0" w:space="0" w:color="auto"/>
        <w:left w:val="none" w:sz="0" w:space="0" w:color="auto"/>
        <w:bottom w:val="none" w:sz="0" w:space="0" w:color="auto"/>
        <w:right w:val="none" w:sz="0" w:space="0" w:color="auto"/>
      </w:divBdr>
    </w:div>
    <w:div w:id="1652713473">
      <w:bodyDiv w:val="1"/>
      <w:marLeft w:val="0"/>
      <w:marRight w:val="0"/>
      <w:marTop w:val="0"/>
      <w:marBottom w:val="0"/>
      <w:divBdr>
        <w:top w:val="none" w:sz="0" w:space="0" w:color="auto"/>
        <w:left w:val="none" w:sz="0" w:space="0" w:color="auto"/>
        <w:bottom w:val="none" w:sz="0" w:space="0" w:color="auto"/>
        <w:right w:val="none" w:sz="0" w:space="0" w:color="auto"/>
      </w:divBdr>
    </w:div>
    <w:div w:id="1653170961">
      <w:bodyDiv w:val="1"/>
      <w:marLeft w:val="0"/>
      <w:marRight w:val="0"/>
      <w:marTop w:val="0"/>
      <w:marBottom w:val="0"/>
      <w:divBdr>
        <w:top w:val="none" w:sz="0" w:space="0" w:color="auto"/>
        <w:left w:val="none" w:sz="0" w:space="0" w:color="auto"/>
        <w:bottom w:val="none" w:sz="0" w:space="0" w:color="auto"/>
        <w:right w:val="none" w:sz="0" w:space="0" w:color="auto"/>
      </w:divBdr>
    </w:div>
    <w:div w:id="1654210635">
      <w:bodyDiv w:val="1"/>
      <w:marLeft w:val="0"/>
      <w:marRight w:val="0"/>
      <w:marTop w:val="0"/>
      <w:marBottom w:val="0"/>
      <w:divBdr>
        <w:top w:val="none" w:sz="0" w:space="0" w:color="auto"/>
        <w:left w:val="none" w:sz="0" w:space="0" w:color="auto"/>
        <w:bottom w:val="none" w:sz="0" w:space="0" w:color="auto"/>
        <w:right w:val="none" w:sz="0" w:space="0" w:color="auto"/>
      </w:divBdr>
    </w:div>
    <w:div w:id="1679043041">
      <w:bodyDiv w:val="1"/>
      <w:marLeft w:val="0"/>
      <w:marRight w:val="0"/>
      <w:marTop w:val="0"/>
      <w:marBottom w:val="0"/>
      <w:divBdr>
        <w:top w:val="none" w:sz="0" w:space="0" w:color="auto"/>
        <w:left w:val="none" w:sz="0" w:space="0" w:color="auto"/>
        <w:bottom w:val="none" w:sz="0" w:space="0" w:color="auto"/>
        <w:right w:val="none" w:sz="0" w:space="0" w:color="auto"/>
      </w:divBdr>
    </w:div>
    <w:div w:id="1686593667">
      <w:bodyDiv w:val="1"/>
      <w:marLeft w:val="0"/>
      <w:marRight w:val="0"/>
      <w:marTop w:val="0"/>
      <w:marBottom w:val="0"/>
      <w:divBdr>
        <w:top w:val="none" w:sz="0" w:space="0" w:color="auto"/>
        <w:left w:val="none" w:sz="0" w:space="0" w:color="auto"/>
        <w:bottom w:val="none" w:sz="0" w:space="0" w:color="auto"/>
        <w:right w:val="none" w:sz="0" w:space="0" w:color="auto"/>
      </w:divBdr>
    </w:div>
    <w:div w:id="1704863179">
      <w:bodyDiv w:val="1"/>
      <w:marLeft w:val="0"/>
      <w:marRight w:val="0"/>
      <w:marTop w:val="0"/>
      <w:marBottom w:val="0"/>
      <w:divBdr>
        <w:top w:val="none" w:sz="0" w:space="0" w:color="auto"/>
        <w:left w:val="none" w:sz="0" w:space="0" w:color="auto"/>
        <w:bottom w:val="none" w:sz="0" w:space="0" w:color="auto"/>
        <w:right w:val="none" w:sz="0" w:space="0" w:color="auto"/>
      </w:divBdr>
      <w:divsChild>
        <w:div w:id="233708447">
          <w:marLeft w:val="1714"/>
          <w:marRight w:val="0"/>
          <w:marTop w:val="0"/>
          <w:marBottom w:val="0"/>
          <w:divBdr>
            <w:top w:val="none" w:sz="0" w:space="0" w:color="auto"/>
            <w:left w:val="none" w:sz="0" w:space="0" w:color="auto"/>
            <w:bottom w:val="none" w:sz="0" w:space="0" w:color="auto"/>
            <w:right w:val="none" w:sz="0" w:space="0" w:color="auto"/>
          </w:divBdr>
        </w:div>
        <w:div w:id="539131643">
          <w:marLeft w:val="994"/>
          <w:marRight w:val="0"/>
          <w:marTop w:val="0"/>
          <w:marBottom w:val="0"/>
          <w:divBdr>
            <w:top w:val="none" w:sz="0" w:space="0" w:color="auto"/>
            <w:left w:val="none" w:sz="0" w:space="0" w:color="auto"/>
            <w:bottom w:val="none" w:sz="0" w:space="0" w:color="auto"/>
            <w:right w:val="none" w:sz="0" w:space="0" w:color="auto"/>
          </w:divBdr>
        </w:div>
        <w:div w:id="580720652">
          <w:marLeft w:val="274"/>
          <w:marRight w:val="0"/>
          <w:marTop w:val="0"/>
          <w:marBottom w:val="0"/>
          <w:divBdr>
            <w:top w:val="none" w:sz="0" w:space="0" w:color="auto"/>
            <w:left w:val="none" w:sz="0" w:space="0" w:color="auto"/>
            <w:bottom w:val="none" w:sz="0" w:space="0" w:color="auto"/>
            <w:right w:val="none" w:sz="0" w:space="0" w:color="auto"/>
          </w:divBdr>
        </w:div>
        <w:div w:id="631860406">
          <w:marLeft w:val="994"/>
          <w:marRight w:val="0"/>
          <w:marTop w:val="0"/>
          <w:marBottom w:val="0"/>
          <w:divBdr>
            <w:top w:val="none" w:sz="0" w:space="0" w:color="auto"/>
            <w:left w:val="none" w:sz="0" w:space="0" w:color="auto"/>
            <w:bottom w:val="none" w:sz="0" w:space="0" w:color="auto"/>
            <w:right w:val="none" w:sz="0" w:space="0" w:color="auto"/>
          </w:divBdr>
        </w:div>
        <w:div w:id="725296358">
          <w:marLeft w:val="994"/>
          <w:marRight w:val="0"/>
          <w:marTop w:val="0"/>
          <w:marBottom w:val="0"/>
          <w:divBdr>
            <w:top w:val="none" w:sz="0" w:space="0" w:color="auto"/>
            <w:left w:val="none" w:sz="0" w:space="0" w:color="auto"/>
            <w:bottom w:val="none" w:sz="0" w:space="0" w:color="auto"/>
            <w:right w:val="none" w:sz="0" w:space="0" w:color="auto"/>
          </w:divBdr>
        </w:div>
        <w:div w:id="1024941475">
          <w:marLeft w:val="1714"/>
          <w:marRight w:val="0"/>
          <w:marTop w:val="0"/>
          <w:marBottom w:val="0"/>
          <w:divBdr>
            <w:top w:val="none" w:sz="0" w:space="0" w:color="auto"/>
            <w:left w:val="none" w:sz="0" w:space="0" w:color="auto"/>
            <w:bottom w:val="none" w:sz="0" w:space="0" w:color="auto"/>
            <w:right w:val="none" w:sz="0" w:space="0" w:color="auto"/>
          </w:divBdr>
        </w:div>
        <w:div w:id="1245408351">
          <w:marLeft w:val="274"/>
          <w:marRight w:val="0"/>
          <w:marTop w:val="0"/>
          <w:marBottom w:val="0"/>
          <w:divBdr>
            <w:top w:val="none" w:sz="0" w:space="0" w:color="auto"/>
            <w:left w:val="none" w:sz="0" w:space="0" w:color="auto"/>
            <w:bottom w:val="none" w:sz="0" w:space="0" w:color="auto"/>
            <w:right w:val="none" w:sz="0" w:space="0" w:color="auto"/>
          </w:divBdr>
        </w:div>
        <w:div w:id="1605117310">
          <w:marLeft w:val="994"/>
          <w:marRight w:val="0"/>
          <w:marTop w:val="0"/>
          <w:marBottom w:val="0"/>
          <w:divBdr>
            <w:top w:val="none" w:sz="0" w:space="0" w:color="auto"/>
            <w:left w:val="none" w:sz="0" w:space="0" w:color="auto"/>
            <w:bottom w:val="none" w:sz="0" w:space="0" w:color="auto"/>
            <w:right w:val="none" w:sz="0" w:space="0" w:color="auto"/>
          </w:divBdr>
        </w:div>
        <w:div w:id="1950500576">
          <w:marLeft w:val="1714"/>
          <w:marRight w:val="0"/>
          <w:marTop w:val="0"/>
          <w:marBottom w:val="0"/>
          <w:divBdr>
            <w:top w:val="none" w:sz="0" w:space="0" w:color="auto"/>
            <w:left w:val="none" w:sz="0" w:space="0" w:color="auto"/>
            <w:bottom w:val="none" w:sz="0" w:space="0" w:color="auto"/>
            <w:right w:val="none" w:sz="0" w:space="0" w:color="auto"/>
          </w:divBdr>
        </w:div>
      </w:divsChild>
    </w:div>
    <w:div w:id="1710959695">
      <w:bodyDiv w:val="1"/>
      <w:marLeft w:val="0"/>
      <w:marRight w:val="0"/>
      <w:marTop w:val="0"/>
      <w:marBottom w:val="0"/>
      <w:divBdr>
        <w:top w:val="none" w:sz="0" w:space="0" w:color="auto"/>
        <w:left w:val="none" w:sz="0" w:space="0" w:color="auto"/>
        <w:bottom w:val="none" w:sz="0" w:space="0" w:color="auto"/>
        <w:right w:val="none" w:sz="0" w:space="0" w:color="auto"/>
      </w:divBdr>
    </w:div>
    <w:div w:id="1711345642">
      <w:bodyDiv w:val="1"/>
      <w:marLeft w:val="0"/>
      <w:marRight w:val="0"/>
      <w:marTop w:val="0"/>
      <w:marBottom w:val="0"/>
      <w:divBdr>
        <w:top w:val="none" w:sz="0" w:space="0" w:color="auto"/>
        <w:left w:val="none" w:sz="0" w:space="0" w:color="auto"/>
        <w:bottom w:val="none" w:sz="0" w:space="0" w:color="auto"/>
        <w:right w:val="none" w:sz="0" w:space="0" w:color="auto"/>
      </w:divBdr>
    </w:div>
    <w:div w:id="1737849190">
      <w:bodyDiv w:val="1"/>
      <w:marLeft w:val="0"/>
      <w:marRight w:val="0"/>
      <w:marTop w:val="0"/>
      <w:marBottom w:val="0"/>
      <w:divBdr>
        <w:top w:val="none" w:sz="0" w:space="0" w:color="auto"/>
        <w:left w:val="none" w:sz="0" w:space="0" w:color="auto"/>
        <w:bottom w:val="none" w:sz="0" w:space="0" w:color="auto"/>
        <w:right w:val="none" w:sz="0" w:space="0" w:color="auto"/>
      </w:divBdr>
      <w:divsChild>
        <w:div w:id="310641249">
          <w:marLeft w:val="0"/>
          <w:marRight w:val="0"/>
          <w:marTop w:val="0"/>
          <w:marBottom w:val="0"/>
          <w:divBdr>
            <w:top w:val="none" w:sz="0" w:space="0" w:color="auto"/>
            <w:left w:val="none" w:sz="0" w:space="0" w:color="auto"/>
            <w:bottom w:val="none" w:sz="0" w:space="0" w:color="auto"/>
            <w:right w:val="none" w:sz="0" w:space="0" w:color="auto"/>
          </w:divBdr>
        </w:div>
        <w:div w:id="535773018">
          <w:marLeft w:val="0"/>
          <w:marRight w:val="0"/>
          <w:marTop w:val="0"/>
          <w:marBottom w:val="0"/>
          <w:divBdr>
            <w:top w:val="none" w:sz="0" w:space="0" w:color="auto"/>
            <w:left w:val="none" w:sz="0" w:space="0" w:color="auto"/>
            <w:bottom w:val="none" w:sz="0" w:space="0" w:color="auto"/>
            <w:right w:val="none" w:sz="0" w:space="0" w:color="auto"/>
          </w:divBdr>
        </w:div>
        <w:div w:id="567955913">
          <w:marLeft w:val="0"/>
          <w:marRight w:val="0"/>
          <w:marTop w:val="0"/>
          <w:marBottom w:val="0"/>
          <w:divBdr>
            <w:top w:val="none" w:sz="0" w:space="0" w:color="auto"/>
            <w:left w:val="none" w:sz="0" w:space="0" w:color="auto"/>
            <w:bottom w:val="none" w:sz="0" w:space="0" w:color="auto"/>
            <w:right w:val="none" w:sz="0" w:space="0" w:color="auto"/>
          </w:divBdr>
        </w:div>
        <w:div w:id="1045252417">
          <w:marLeft w:val="0"/>
          <w:marRight w:val="0"/>
          <w:marTop w:val="0"/>
          <w:marBottom w:val="0"/>
          <w:divBdr>
            <w:top w:val="none" w:sz="0" w:space="0" w:color="auto"/>
            <w:left w:val="none" w:sz="0" w:space="0" w:color="auto"/>
            <w:bottom w:val="none" w:sz="0" w:space="0" w:color="auto"/>
            <w:right w:val="none" w:sz="0" w:space="0" w:color="auto"/>
          </w:divBdr>
        </w:div>
        <w:div w:id="1158501596">
          <w:marLeft w:val="0"/>
          <w:marRight w:val="0"/>
          <w:marTop w:val="0"/>
          <w:marBottom w:val="0"/>
          <w:divBdr>
            <w:top w:val="none" w:sz="0" w:space="0" w:color="auto"/>
            <w:left w:val="none" w:sz="0" w:space="0" w:color="auto"/>
            <w:bottom w:val="none" w:sz="0" w:space="0" w:color="auto"/>
            <w:right w:val="none" w:sz="0" w:space="0" w:color="auto"/>
          </w:divBdr>
          <w:divsChild>
            <w:div w:id="447045700">
              <w:marLeft w:val="-75"/>
              <w:marRight w:val="0"/>
              <w:marTop w:val="30"/>
              <w:marBottom w:val="30"/>
              <w:divBdr>
                <w:top w:val="none" w:sz="0" w:space="0" w:color="auto"/>
                <w:left w:val="none" w:sz="0" w:space="0" w:color="auto"/>
                <w:bottom w:val="none" w:sz="0" w:space="0" w:color="auto"/>
                <w:right w:val="none" w:sz="0" w:space="0" w:color="auto"/>
              </w:divBdr>
              <w:divsChild>
                <w:div w:id="21639297">
                  <w:marLeft w:val="0"/>
                  <w:marRight w:val="0"/>
                  <w:marTop w:val="0"/>
                  <w:marBottom w:val="0"/>
                  <w:divBdr>
                    <w:top w:val="none" w:sz="0" w:space="0" w:color="auto"/>
                    <w:left w:val="none" w:sz="0" w:space="0" w:color="auto"/>
                    <w:bottom w:val="none" w:sz="0" w:space="0" w:color="auto"/>
                    <w:right w:val="none" w:sz="0" w:space="0" w:color="auto"/>
                  </w:divBdr>
                  <w:divsChild>
                    <w:div w:id="1466778018">
                      <w:marLeft w:val="0"/>
                      <w:marRight w:val="0"/>
                      <w:marTop w:val="0"/>
                      <w:marBottom w:val="0"/>
                      <w:divBdr>
                        <w:top w:val="none" w:sz="0" w:space="0" w:color="auto"/>
                        <w:left w:val="none" w:sz="0" w:space="0" w:color="auto"/>
                        <w:bottom w:val="none" w:sz="0" w:space="0" w:color="auto"/>
                        <w:right w:val="none" w:sz="0" w:space="0" w:color="auto"/>
                      </w:divBdr>
                    </w:div>
                  </w:divsChild>
                </w:div>
                <w:div w:id="93021977">
                  <w:marLeft w:val="0"/>
                  <w:marRight w:val="0"/>
                  <w:marTop w:val="0"/>
                  <w:marBottom w:val="0"/>
                  <w:divBdr>
                    <w:top w:val="none" w:sz="0" w:space="0" w:color="auto"/>
                    <w:left w:val="none" w:sz="0" w:space="0" w:color="auto"/>
                    <w:bottom w:val="none" w:sz="0" w:space="0" w:color="auto"/>
                    <w:right w:val="none" w:sz="0" w:space="0" w:color="auto"/>
                  </w:divBdr>
                  <w:divsChild>
                    <w:div w:id="1705934567">
                      <w:marLeft w:val="0"/>
                      <w:marRight w:val="0"/>
                      <w:marTop w:val="0"/>
                      <w:marBottom w:val="0"/>
                      <w:divBdr>
                        <w:top w:val="none" w:sz="0" w:space="0" w:color="auto"/>
                        <w:left w:val="none" w:sz="0" w:space="0" w:color="auto"/>
                        <w:bottom w:val="none" w:sz="0" w:space="0" w:color="auto"/>
                        <w:right w:val="none" w:sz="0" w:space="0" w:color="auto"/>
                      </w:divBdr>
                    </w:div>
                  </w:divsChild>
                </w:div>
                <w:div w:id="147746827">
                  <w:marLeft w:val="0"/>
                  <w:marRight w:val="0"/>
                  <w:marTop w:val="0"/>
                  <w:marBottom w:val="0"/>
                  <w:divBdr>
                    <w:top w:val="none" w:sz="0" w:space="0" w:color="auto"/>
                    <w:left w:val="none" w:sz="0" w:space="0" w:color="auto"/>
                    <w:bottom w:val="none" w:sz="0" w:space="0" w:color="auto"/>
                    <w:right w:val="none" w:sz="0" w:space="0" w:color="auto"/>
                  </w:divBdr>
                  <w:divsChild>
                    <w:div w:id="211502675">
                      <w:marLeft w:val="0"/>
                      <w:marRight w:val="0"/>
                      <w:marTop w:val="0"/>
                      <w:marBottom w:val="0"/>
                      <w:divBdr>
                        <w:top w:val="none" w:sz="0" w:space="0" w:color="auto"/>
                        <w:left w:val="none" w:sz="0" w:space="0" w:color="auto"/>
                        <w:bottom w:val="none" w:sz="0" w:space="0" w:color="auto"/>
                        <w:right w:val="none" w:sz="0" w:space="0" w:color="auto"/>
                      </w:divBdr>
                    </w:div>
                  </w:divsChild>
                </w:div>
                <w:div w:id="157119279">
                  <w:marLeft w:val="0"/>
                  <w:marRight w:val="0"/>
                  <w:marTop w:val="0"/>
                  <w:marBottom w:val="0"/>
                  <w:divBdr>
                    <w:top w:val="none" w:sz="0" w:space="0" w:color="auto"/>
                    <w:left w:val="none" w:sz="0" w:space="0" w:color="auto"/>
                    <w:bottom w:val="none" w:sz="0" w:space="0" w:color="auto"/>
                    <w:right w:val="none" w:sz="0" w:space="0" w:color="auto"/>
                  </w:divBdr>
                  <w:divsChild>
                    <w:div w:id="1185288120">
                      <w:marLeft w:val="0"/>
                      <w:marRight w:val="0"/>
                      <w:marTop w:val="0"/>
                      <w:marBottom w:val="0"/>
                      <w:divBdr>
                        <w:top w:val="none" w:sz="0" w:space="0" w:color="auto"/>
                        <w:left w:val="none" w:sz="0" w:space="0" w:color="auto"/>
                        <w:bottom w:val="none" w:sz="0" w:space="0" w:color="auto"/>
                        <w:right w:val="none" w:sz="0" w:space="0" w:color="auto"/>
                      </w:divBdr>
                    </w:div>
                  </w:divsChild>
                </w:div>
                <w:div w:id="164829899">
                  <w:marLeft w:val="0"/>
                  <w:marRight w:val="0"/>
                  <w:marTop w:val="0"/>
                  <w:marBottom w:val="0"/>
                  <w:divBdr>
                    <w:top w:val="none" w:sz="0" w:space="0" w:color="auto"/>
                    <w:left w:val="none" w:sz="0" w:space="0" w:color="auto"/>
                    <w:bottom w:val="none" w:sz="0" w:space="0" w:color="auto"/>
                    <w:right w:val="none" w:sz="0" w:space="0" w:color="auto"/>
                  </w:divBdr>
                  <w:divsChild>
                    <w:div w:id="1906255184">
                      <w:marLeft w:val="0"/>
                      <w:marRight w:val="0"/>
                      <w:marTop w:val="0"/>
                      <w:marBottom w:val="0"/>
                      <w:divBdr>
                        <w:top w:val="none" w:sz="0" w:space="0" w:color="auto"/>
                        <w:left w:val="none" w:sz="0" w:space="0" w:color="auto"/>
                        <w:bottom w:val="none" w:sz="0" w:space="0" w:color="auto"/>
                        <w:right w:val="none" w:sz="0" w:space="0" w:color="auto"/>
                      </w:divBdr>
                    </w:div>
                  </w:divsChild>
                </w:div>
                <w:div w:id="198130215">
                  <w:marLeft w:val="0"/>
                  <w:marRight w:val="0"/>
                  <w:marTop w:val="0"/>
                  <w:marBottom w:val="0"/>
                  <w:divBdr>
                    <w:top w:val="none" w:sz="0" w:space="0" w:color="auto"/>
                    <w:left w:val="none" w:sz="0" w:space="0" w:color="auto"/>
                    <w:bottom w:val="none" w:sz="0" w:space="0" w:color="auto"/>
                    <w:right w:val="none" w:sz="0" w:space="0" w:color="auto"/>
                  </w:divBdr>
                  <w:divsChild>
                    <w:div w:id="1310091145">
                      <w:marLeft w:val="0"/>
                      <w:marRight w:val="0"/>
                      <w:marTop w:val="0"/>
                      <w:marBottom w:val="0"/>
                      <w:divBdr>
                        <w:top w:val="none" w:sz="0" w:space="0" w:color="auto"/>
                        <w:left w:val="none" w:sz="0" w:space="0" w:color="auto"/>
                        <w:bottom w:val="none" w:sz="0" w:space="0" w:color="auto"/>
                        <w:right w:val="none" w:sz="0" w:space="0" w:color="auto"/>
                      </w:divBdr>
                    </w:div>
                  </w:divsChild>
                </w:div>
                <w:div w:id="203910266">
                  <w:marLeft w:val="0"/>
                  <w:marRight w:val="0"/>
                  <w:marTop w:val="0"/>
                  <w:marBottom w:val="0"/>
                  <w:divBdr>
                    <w:top w:val="none" w:sz="0" w:space="0" w:color="auto"/>
                    <w:left w:val="none" w:sz="0" w:space="0" w:color="auto"/>
                    <w:bottom w:val="none" w:sz="0" w:space="0" w:color="auto"/>
                    <w:right w:val="none" w:sz="0" w:space="0" w:color="auto"/>
                  </w:divBdr>
                  <w:divsChild>
                    <w:div w:id="2019503101">
                      <w:marLeft w:val="0"/>
                      <w:marRight w:val="0"/>
                      <w:marTop w:val="0"/>
                      <w:marBottom w:val="0"/>
                      <w:divBdr>
                        <w:top w:val="none" w:sz="0" w:space="0" w:color="auto"/>
                        <w:left w:val="none" w:sz="0" w:space="0" w:color="auto"/>
                        <w:bottom w:val="none" w:sz="0" w:space="0" w:color="auto"/>
                        <w:right w:val="none" w:sz="0" w:space="0" w:color="auto"/>
                      </w:divBdr>
                    </w:div>
                  </w:divsChild>
                </w:div>
                <w:div w:id="275721268">
                  <w:marLeft w:val="0"/>
                  <w:marRight w:val="0"/>
                  <w:marTop w:val="0"/>
                  <w:marBottom w:val="0"/>
                  <w:divBdr>
                    <w:top w:val="none" w:sz="0" w:space="0" w:color="auto"/>
                    <w:left w:val="none" w:sz="0" w:space="0" w:color="auto"/>
                    <w:bottom w:val="none" w:sz="0" w:space="0" w:color="auto"/>
                    <w:right w:val="none" w:sz="0" w:space="0" w:color="auto"/>
                  </w:divBdr>
                  <w:divsChild>
                    <w:div w:id="679433789">
                      <w:marLeft w:val="0"/>
                      <w:marRight w:val="0"/>
                      <w:marTop w:val="0"/>
                      <w:marBottom w:val="0"/>
                      <w:divBdr>
                        <w:top w:val="none" w:sz="0" w:space="0" w:color="auto"/>
                        <w:left w:val="none" w:sz="0" w:space="0" w:color="auto"/>
                        <w:bottom w:val="none" w:sz="0" w:space="0" w:color="auto"/>
                        <w:right w:val="none" w:sz="0" w:space="0" w:color="auto"/>
                      </w:divBdr>
                    </w:div>
                  </w:divsChild>
                </w:div>
                <w:div w:id="308167046">
                  <w:marLeft w:val="0"/>
                  <w:marRight w:val="0"/>
                  <w:marTop w:val="0"/>
                  <w:marBottom w:val="0"/>
                  <w:divBdr>
                    <w:top w:val="none" w:sz="0" w:space="0" w:color="auto"/>
                    <w:left w:val="none" w:sz="0" w:space="0" w:color="auto"/>
                    <w:bottom w:val="none" w:sz="0" w:space="0" w:color="auto"/>
                    <w:right w:val="none" w:sz="0" w:space="0" w:color="auto"/>
                  </w:divBdr>
                  <w:divsChild>
                    <w:div w:id="2099936308">
                      <w:marLeft w:val="0"/>
                      <w:marRight w:val="0"/>
                      <w:marTop w:val="0"/>
                      <w:marBottom w:val="0"/>
                      <w:divBdr>
                        <w:top w:val="none" w:sz="0" w:space="0" w:color="auto"/>
                        <w:left w:val="none" w:sz="0" w:space="0" w:color="auto"/>
                        <w:bottom w:val="none" w:sz="0" w:space="0" w:color="auto"/>
                        <w:right w:val="none" w:sz="0" w:space="0" w:color="auto"/>
                      </w:divBdr>
                    </w:div>
                  </w:divsChild>
                </w:div>
                <w:div w:id="394549525">
                  <w:marLeft w:val="0"/>
                  <w:marRight w:val="0"/>
                  <w:marTop w:val="0"/>
                  <w:marBottom w:val="0"/>
                  <w:divBdr>
                    <w:top w:val="none" w:sz="0" w:space="0" w:color="auto"/>
                    <w:left w:val="none" w:sz="0" w:space="0" w:color="auto"/>
                    <w:bottom w:val="none" w:sz="0" w:space="0" w:color="auto"/>
                    <w:right w:val="none" w:sz="0" w:space="0" w:color="auto"/>
                  </w:divBdr>
                  <w:divsChild>
                    <w:div w:id="1542937247">
                      <w:marLeft w:val="0"/>
                      <w:marRight w:val="0"/>
                      <w:marTop w:val="0"/>
                      <w:marBottom w:val="0"/>
                      <w:divBdr>
                        <w:top w:val="none" w:sz="0" w:space="0" w:color="auto"/>
                        <w:left w:val="none" w:sz="0" w:space="0" w:color="auto"/>
                        <w:bottom w:val="none" w:sz="0" w:space="0" w:color="auto"/>
                        <w:right w:val="none" w:sz="0" w:space="0" w:color="auto"/>
                      </w:divBdr>
                    </w:div>
                  </w:divsChild>
                </w:div>
                <w:div w:id="442116534">
                  <w:marLeft w:val="0"/>
                  <w:marRight w:val="0"/>
                  <w:marTop w:val="0"/>
                  <w:marBottom w:val="0"/>
                  <w:divBdr>
                    <w:top w:val="none" w:sz="0" w:space="0" w:color="auto"/>
                    <w:left w:val="none" w:sz="0" w:space="0" w:color="auto"/>
                    <w:bottom w:val="none" w:sz="0" w:space="0" w:color="auto"/>
                    <w:right w:val="none" w:sz="0" w:space="0" w:color="auto"/>
                  </w:divBdr>
                  <w:divsChild>
                    <w:div w:id="201983677">
                      <w:marLeft w:val="0"/>
                      <w:marRight w:val="0"/>
                      <w:marTop w:val="0"/>
                      <w:marBottom w:val="0"/>
                      <w:divBdr>
                        <w:top w:val="none" w:sz="0" w:space="0" w:color="auto"/>
                        <w:left w:val="none" w:sz="0" w:space="0" w:color="auto"/>
                        <w:bottom w:val="none" w:sz="0" w:space="0" w:color="auto"/>
                        <w:right w:val="none" w:sz="0" w:space="0" w:color="auto"/>
                      </w:divBdr>
                    </w:div>
                  </w:divsChild>
                </w:div>
                <w:div w:id="528378853">
                  <w:marLeft w:val="0"/>
                  <w:marRight w:val="0"/>
                  <w:marTop w:val="0"/>
                  <w:marBottom w:val="0"/>
                  <w:divBdr>
                    <w:top w:val="none" w:sz="0" w:space="0" w:color="auto"/>
                    <w:left w:val="none" w:sz="0" w:space="0" w:color="auto"/>
                    <w:bottom w:val="none" w:sz="0" w:space="0" w:color="auto"/>
                    <w:right w:val="none" w:sz="0" w:space="0" w:color="auto"/>
                  </w:divBdr>
                  <w:divsChild>
                    <w:div w:id="96952991">
                      <w:marLeft w:val="0"/>
                      <w:marRight w:val="0"/>
                      <w:marTop w:val="0"/>
                      <w:marBottom w:val="0"/>
                      <w:divBdr>
                        <w:top w:val="none" w:sz="0" w:space="0" w:color="auto"/>
                        <w:left w:val="none" w:sz="0" w:space="0" w:color="auto"/>
                        <w:bottom w:val="none" w:sz="0" w:space="0" w:color="auto"/>
                        <w:right w:val="none" w:sz="0" w:space="0" w:color="auto"/>
                      </w:divBdr>
                    </w:div>
                  </w:divsChild>
                </w:div>
                <w:div w:id="564996850">
                  <w:marLeft w:val="0"/>
                  <w:marRight w:val="0"/>
                  <w:marTop w:val="0"/>
                  <w:marBottom w:val="0"/>
                  <w:divBdr>
                    <w:top w:val="none" w:sz="0" w:space="0" w:color="auto"/>
                    <w:left w:val="none" w:sz="0" w:space="0" w:color="auto"/>
                    <w:bottom w:val="none" w:sz="0" w:space="0" w:color="auto"/>
                    <w:right w:val="none" w:sz="0" w:space="0" w:color="auto"/>
                  </w:divBdr>
                  <w:divsChild>
                    <w:div w:id="351304530">
                      <w:marLeft w:val="0"/>
                      <w:marRight w:val="0"/>
                      <w:marTop w:val="0"/>
                      <w:marBottom w:val="0"/>
                      <w:divBdr>
                        <w:top w:val="none" w:sz="0" w:space="0" w:color="auto"/>
                        <w:left w:val="none" w:sz="0" w:space="0" w:color="auto"/>
                        <w:bottom w:val="none" w:sz="0" w:space="0" w:color="auto"/>
                        <w:right w:val="none" w:sz="0" w:space="0" w:color="auto"/>
                      </w:divBdr>
                    </w:div>
                  </w:divsChild>
                </w:div>
                <w:div w:id="602803466">
                  <w:marLeft w:val="0"/>
                  <w:marRight w:val="0"/>
                  <w:marTop w:val="0"/>
                  <w:marBottom w:val="0"/>
                  <w:divBdr>
                    <w:top w:val="none" w:sz="0" w:space="0" w:color="auto"/>
                    <w:left w:val="none" w:sz="0" w:space="0" w:color="auto"/>
                    <w:bottom w:val="none" w:sz="0" w:space="0" w:color="auto"/>
                    <w:right w:val="none" w:sz="0" w:space="0" w:color="auto"/>
                  </w:divBdr>
                  <w:divsChild>
                    <w:div w:id="2005161444">
                      <w:marLeft w:val="0"/>
                      <w:marRight w:val="0"/>
                      <w:marTop w:val="0"/>
                      <w:marBottom w:val="0"/>
                      <w:divBdr>
                        <w:top w:val="none" w:sz="0" w:space="0" w:color="auto"/>
                        <w:left w:val="none" w:sz="0" w:space="0" w:color="auto"/>
                        <w:bottom w:val="none" w:sz="0" w:space="0" w:color="auto"/>
                        <w:right w:val="none" w:sz="0" w:space="0" w:color="auto"/>
                      </w:divBdr>
                    </w:div>
                  </w:divsChild>
                </w:div>
                <w:div w:id="629476280">
                  <w:marLeft w:val="0"/>
                  <w:marRight w:val="0"/>
                  <w:marTop w:val="0"/>
                  <w:marBottom w:val="0"/>
                  <w:divBdr>
                    <w:top w:val="none" w:sz="0" w:space="0" w:color="auto"/>
                    <w:left w:val="none" w:sz="0" w:space="0" w:color="auto"/>
                    <w:bottom w:val="none" w:sz="0" w:space="0" w:color="auto"/>
                    <w:right w:val="none" w:sz="0" w:space="0" w:color="auto"/>
                  </w:divBdr>
                  <w:divsChild>
                    <w:div w:id="1782454832">
                      <w:marLeft w:val="0"/>
                      <w:marRight w:val="0"/>
                      <w:marTop w:val="0"/>
                      <w:marBottom w:val="0"/>
                      <w:divBdr>
                        <w:top w:val="none" w:sz="0" w:space="0" w:color="auto"/>
                        <w:left w:val="none" w:sz="0" w:space="0" w:color="auto"/>
                        <w:bottom w:val="none" w:sz="0" w:space="0" w:color="auto"/>
                        <w:right w:val="none" w:sz="0" w:space="0" w:color="auto"/>
                      </w:divBdr>
                    </w:div>
                  </w:divsChild>
                </w:div>
                <w:div w:id="742020728">
                  <w:marLeft w:val="0"/>
                  <w:marRight w:val="0"/>
                  <w:marTop w:val="0"/>
                  <w:marBottom w:val="0"/>
                  <w:divBdr>
                    <w:top w:val="none" w:sz="0" w:space="0" w:color="auto"/>
                    <w:left w:val="none" w:sz="0" w:space="0" w:color="auto"/>
                    <w:bottom w:val="none" w:sz="0" w:space="0" w:color="auto"/>
                    <w:right w:val="none" w:sz="0" w:space="0" w:color="auto"/>
                  </w:divBdr>
                  <w:divsChild>
                    <w:div w:id="1488589453">
                      <w:marLeft w:val="0"/>
                      <w:marRight w:val="0"/>
                      <w:marTop w:val="0"/>
                      <w:marBottom w:val="0"/>
                      <w:divBdr>
                        <w:top w:val="none" w:sz="0" w:space="0" w:color="auto"/>
                        <w:left w:val="none" w:sz="0" w:space="0" w:color="auto"/>
                        <w:bottom w:val="none" w:sz="0" w:space="0" w:color="auto"/>
                        <w:right w:val="none" w:sz="0" w:space="0" w:color="auto"/>
                      </w:divBdr>
                    </w:div>
                  </w:divsChild>
                </w:div>
                <w:div w:id="818040980">
                  <w:marLeft w:val="0"/>
                  <w:marRight w:val="0"/>
                  <w:marTop w:val="0"/>
                  <w:marBottom w:val="0"/>
                  <w:divBdr>
                    <w:top w:val="none" w:sz="0" w:space="0" w:color="auto"/>
                    <w:left w:val="none" w:sz="0" w:space="0" w:color="auto"/>
                    <w:bottom w:val="none" w:sz="0" w:space="0" w:color="auto"/>
                    <w:right w:val="none" w:sz="0" w:space="0" w:color="auto"/>
                  </w:divBdr>
                  <w:divsChild>
                    <w:div w:id="235864275">
                      <w:marLeft w:val="0"/>
                      <w:marRight w:val="0"/>
                      <w:marTop w:val="0"/>
                      <w:marBottom w:val="0"/>
                      <w:divBdr>
                        <w:top w:val="none" w:sz="0" w:space="0" w:color="auto"/>
                        <w:left w:val="none" w:sz="0" w:space="0" w:color="auto"/>
                        <w:bottom w:val="none" w:sz="0" w:space="0" w:color="auto"/>
                        <w:right w:val="none" w:sz="0" w:space="0" w:color="auto"/>
                      </w:divBdr>
                    </w:div>
                  </w:divsChild>
                </w:div>
                <w:div w:id="828062253">
                  <w:marLeft w:val="0"/>
                  <w:marRight w:val="0"/>
                  <w:marTop w:val="0"/>
                  <w:marBottom w:val="0"/>
                  <w:divBdr>
                    <w:top w:val="none" w:sz="0" w:space="0" w:color="auto"/>
                    <w:left w:val="none" w:sz="0" w:space="0" w:color="auto"/>
                    <w:bottom w:val="none" w:sz="0" w:space="0" w:color="auto"/>
                    <w:right w:val="none" w:sz="0" w:space="0" w:color="auto"/>
                  </w:divBdr>
                  <w:divsChild>
                    <w:div w:id="804587115">
                      <w:marLeft w:val="0"/>
                      <w:marRight w:val="0"/>
                      <w:marTop w:val="0"/>
                      <w:marBottom w:val="0"/>
                      <w:divBdr>
                        <w:top w:val="none" w:sz="0" w:space="0" w:color="auto"/>
                        <w:left w:val="none" w:sz="0" w:space="0" w:color="auto"/>
                        <w:bottom w:val="none" w:sz="0" w:space="0" w:color="auto"/>
                        <w:right w:val="none" w:sz="0" w:space="0" w:color="auto"/>
                      </w:divBdr>
                    </w:div>
                  </w:divsChild>
                </w:div>
                <w:div w:id="908077881">
                  <w:marLeft w:val="0"/>
                  <w:marRight w:val="0"/>
                  <w:marTop w:val="0"/>
                  <w:marBottom w:val="0"/>
                  <w:divBdr>
                    <w:top w:val="none" w:sz="0" w:space="0" w:color="auto"/>
                    <w:left w:val="none" w:sz="0" w:space="0" w:color="auto"/>
                    <w:bottom w:val="none" w:sz="0" w:space="0" w:color="auto"/>
                    <w:right w:val="none" w:sz="0" w:space="0" w:color="auto"/>
                  </w:divBdr>
                  <w:divsChild>
                    <w:div w:id="875196669">
                      <w:marLeft w:val="0"/>
                      <w:marRight w:val="0"/>
                      <w:marTop w:val="0"/>
                      <w:marBottom w:val="0"/>
                      <w:divBdr>
                        <w:top w:val="none" w:sz="0" w:space="0" w:color="auto"/>
                        <w:left w:val="none" w:sz="0" w:space="0" w:color="auto"/>
                        <w:bottom w:val="none" w:sz="0" w:space="0" w:color="auto"/>
                        <w:right w:val="none" w:sz="0" w:space="0" w:color="auto"/>
                      </w:divBdr>
                    </w:div>
                  </w:divsChild>
                </w:div>
                <w:div w:id="1074863652">
                  <w:marLeft w:val="0"/>
                  <w:marRight w:val="0"/>
                  <w:marTop w:val="0"/>
                  <w:marBottom w:val="0"/>
                  <w:divBdr>
                    <w:top w:val="none" w:sz="0" w:space="0" w:color="auto"/>
                    <w:left w:val="none" w:sz="0" w:space="0" w:color="auto"/>
                    <w:bottom w:val="none" w:sz="0" w:space="0" w:color="auto"/>
                    <w:right w:val="none" w:sz="0" w:space="0" w:color="auto"/>
                  </w:divBdr>
                  <w:divsChild>
                    <w:div w:id="466165000">
                      <w:marLeft w:val="0"/>
                      <w:marRight w:val="0"/>
                      <w:marTop w:val="0"/>
                      <w:marBottom w:val="0"/>
                      <w:divBdr>
                        <w:top w:val="none" w:sz="0" w:space="0" w:color="auto"/>
                        <w:left w:val="none" w:sz="0" w:space="0" w:color="auto"/>
                        <w:bottom w:val="none" w:sz="0" w:space="0" w:color="auto"/>
                        <w:right w:val="none" w:sz="0" w:space="0" w:color="auto"/>
                      </w:divBdr>
                    </w:div>
                  </w:divsChild>
                </w:div>
                <w:div w:id="1082948126">
                  <w:marLeft w:val="0"/>
                  <w:marRight w:val="0"/>
                  <w:marTop w:val="0"/>
                  <w:marBottom w:val="0"/>
                  <w:divBdr>
                    <w:top w:val="none" w:sz="0" w:space="0" w:color="auto"/>
                    <w:left w:val="none" w:sz="0" w:space="0" w:color="auto"/>
                    <w:bottom w:val="none" w:sz="0" w:space="0" w:color="auto"/>
                    <w:right w:val="none" w:sz="0" w:space="0" w:color="auto"/>
                  </w:divBdr>
                  <w:divsChild>
                    <w:div w:id="771971040">
                      <w:marLeft w:val="0"/>
                      <w:marRight w:val="0"/>
                      <w:marTop w:val="0"/>
                      <w:marBottom w:val="0"/>
                      <w:divBdr>
                        <w:top w:val="none" w:sz="0" w:space="0" w:color="auto"/>
                        <w:left w:val="none" w:sz="0" w:space="0" w:color="auto"/>
                        <w:bottom w:val="none" w:sz="0" w:space="0" w:color="auto"/>
                        <w:right w:val="none" w:sz="0" w:space="0" w:color="auto"/>
                      </w:divBdr>
                    </w:div>
                  </w:divsChild>
                </w:div>
                <w:div w:id="1086220537">
                  <w:marLeft w:val="0"/>
                  <w:marRight w:val="0"/>
                  <w:marTop w:val="0"/>
                  <w:marBottom w:val="0"/>
                  <w:divBdr>
                    <w:top w:val="none" w:sz="0" w:space="0" w:color="auto"/>
                    <w:left w:val="none" w:sz="0" w:space="0" w:color="auto"/>
                    <w:bottom w:val="none" w:sz="0" w:space="0" w:color="auto"/>
                    <w:right w:val="none" w:sz="0" w:space="0" w:color="auto"/>
                  </w:divBdr>
                  <w:divsChild>
                    <w:div w:id="793669024">
                      <w:marLeft w:val="0"/>
                      <w:marRight w:val="0"/>
                      <w:marTop w:val="0"/>
                      <w:marBottom w:val="0"/>
                      <w:divBdr>
                        <w:top w:val="none" w:sz="0" w:space="0" w:color="auto"/>
                        <w:left w:val="none" w:sz="0" w:space="0" w:color="auto"/>
                        <w:bottom w:val="none" w:sz="0" w:space="0" w:color="auto"/>
                        <w:right w:val="none" w:sz="0" w:space="0" w:color="auto"/>
                      </w:divBdr>
                    </w:div>
                  </w:divsChild>
                </w:div>
                <w:div w:id="1134565666">
                  <w:marLeft w:val="0"/>
                  <w:marRight w:val="0"/>
                  <w:marTop w:val="0"/>
                  <w:marBottom w:val="0"/>
                  <w:divBdr>
                    <w:top w:val="none" w:sz="0" w:space="0" w:color="auto"/>
                    <w:left w:val="none" w:sz="0" w:space="0" w:color="auto"/>
                    <w:bottom w:val="none" w:sz="0" w:space="0" w:color="auto"/>
                    <w:right w:val="none" w:sz="0" w:space="0" w:color="auto"/>
                  </w:divBdr>
                  <w:divsChild>
                    <w:div w:id="2122187057">
                      <w:marLeft w:val="0"/>
                      <w:marRight w:val="0"/>
                      <w:marTop w:val="0"/>
                      <w:marBottom w:val="0"/>
                      <w:divBdr>
                        <w:top w:val="none" w:sz="0" w:space="0" w:color="auto"/>
                        <w:left w:val="none" w:sz="0" w:space="0" w:color="auto"/>
                        <w:bottom w:val="none" w:sz="0" w:space="0" w:color="auto"/>
                        <w:right w:val="none" w:sz="0" w:space="0" w:color="auto"/>
                      </w:divBdr>
                    </w:div>
                  </w:divsChild>
                </w:div>
                <w:div w:id="1243680933">
                  <w:marLeft w:val="0"/>
                  <w:marRight w:val="0"/>
                  <w:marTop w:val="0"/>
                  <w:marBottom w:val="0"/>
                  <w:divBdr>
                    <w:top w:val="none" w:sz="0" w:space="0" w:color="auto"/>
                    <w:left w:val="none" w:sz="0" w:space="0" w:color="auto"/>
                    <w:bottom w:val="none" w:sz="0" w:space="0" w:color="auto"/>
                    <w:right w:val="none" w:sz="0" w:space="0" w:color="auto"/>
                  </w:divBdr>
                  <w:divsChild>
                    <w:div w:id="1025210508">
                      <w:marLeft w:val="0"/>
                      <w:marRight w:val="0"/>
                      <w:marTop w:val="0"/>
                      <w:marBottom w:val="0"/>
                      <w:divBdr>
                        <w:top w:val="none" w:sz="0" w:space="0" w:color="auto"/>
                        <w:left w:val="none" w:sz="0" w:space="0" w:color="auto"/>
                        <w:bottom w:val="none" w:sz="0" w:space="0" w:color="auto"/>
                        <w:right w:val="none" w:sz="0" w:space="0" w:color="auto"/>
                      </w:divBdr>
                    </w:div>
                  </w:divsChild>
                </w:div>
                <w:div w:id="1255631267">
                  <w:marLeft w:val="0"/>
                  <w:marRight w:val="0"/>
                  <w:marTop w:val="0"/>
                  <w:marBottom w:val="0"/>
                  <w:divBdr>
                    <w:top w:val="none" w:sz="0" w:space="0" w:color="auto"/>
                    <w:left w:val="none" w:sz="0" w:space="0" w:color="auto"/>
                    <w:bottom w:val="none" w:sz="0" w:space="0" w:color="auto"/>
                    <w:right w:val="none" w:sz="0" w:space="0" w:color="auto"/>
                  </w:divBdr>
                  <w:divsChild>
                    <w:div w:id="2048066929">
                      <w:marLeft w:val="0"/>
                      <w:marRight w:val="0"/>
                      <w:marTop w:val="0"/>
                      <w:marBottom w:val="0"/>
                      <w:divBdr>
                        <w:top w:val="none" w:sz="0" w:space="0" w:color="auto"/>
                        <w:left w:val="none" w:sz="0" w:space="0" w:color="auto"/>
                        <w:bottom w:val="none" w:sz="0" w:space="0" w:color="auto"/>
                        <w:right w:val="none" w:sz="0" w:space="0" w:color="auto"/>
                      </w:divBdr>
                    </w:div>
                  </w:divsChild>
                </w:div>
                <w:div w:id="1305306875">
                  <w:marLeft w:val="0"/>
                  <w:marRight w:val="0"/>
                  <w:marTop w:val="0"/>
                  <w:marBottom w:val="0"/>
                  <w:divBdr>
                    <w:top w:val="none" w:sz="0" w:space="0" w:color="auto"/>
                    <w:left w:val="none" w:sz="0" w:space="0" w:color="auto"/>
                    <w:bottom w:val="none" w:sz="0" w:space="0" w:color="auto"/>
                    <w:right w:val="none" w:sz="0" w:space="0" w:color="auto"/>
                  </w:divBdr>
                  <w:divsChild>
                    <w:div w:id="1358384726">
                      <w:marLeft w:val="0"/>
                      <w:marRight w:val="0"/>
                      <w:marTop w:val="0"/>
                      <w:marBottom w:val="0"/>
                      <w:divBdr>
                        <w:top w:val="none" w:sz="0" w:space="0" w:color="auto"/>
                        <w:left w:val="none" w:sz="0" w:space="0" w:color="auto"/>
                        <w:bottom w:val="none" w:sz="0" w:space="0" w:color="auto"/>
                        <w:right w:val="none" w:sz="0" w:space="0" w:color="auto"/>
                      </w:divBdr>
                    </w:div>
                  </w:divsChild>
                </w:div>
                <w:div w:id="1325234631">
                  <w:marLeft w:val="0"/>
                  <w:marRight w:val="0"/>
                  <w:marTop w:val="0"/>
                  <w:marBottom w:val="0"/>
                  <w:divBdr>
                    <w:top w:val="none" w:sz="0" w:space="0" w:color="auto"/>
                    <w:left w:val="none" w:sz="0" w:space="0" w:color="auto"/>
                    <w:bottom w:val="none" w:sz="0" w:space="0" w:color="auto"/>
                    <w:right w:val="none" w:sz="0" w:space="0" w:color="auto"/>
                  </w:divBdr>
                  <w:divsChild>
                    <w:div w:id="1307199959">
                      <w:marLeft w:val="0"/>
                      <w:marRight w:val="0"/>
                      <w:marTop w:val="0"/>
                      <w:marBottom w:val="0"/>
                      <w:divBdr>
                        <w:top w:val="none" w:sz="0" w:space="0" w:color="auto"/>
                        <w:left w:val="none" w:sz="0" w:space="0" w:color="auto"/>
                        <w:bottom w:val="none" w:sz="0" w:space="0" w:color="auto"/>
                        <w:right w:val="none" w:sz="0" w:space="0" w:color="auto"/>
                      </w:divBdr>
                    </w:div>
                  </w:divsChild>
                </w:div>
                <w:div w:id="1398942158">
                  <w:marLeft w:val="0"/>
                  <w:marRight w:val="0"/>
                  <w:marTop w:val="0"/>
                  <w:marBottom w:val="0"/>
                  <w:divBdr>
                    <w:top w:val="none" w:sz="0" w:space="0" w:color="auto"/>
                    <w:left w:val="none" w:sz="0" w:space="0" w:color="auto"/>
                    <w:bottom w:val="none" w:sz="0" w:space="0" w:color="auto"/>
                    <w:right w:val="none" w:sz="0" w:space="0" w:color="auto"/>
                  </w:divBdr>
                  <w:divsChild>
                    <w:div w:id="1401177552">
                      <w:marLeft w:val="0"/>
                      <w:marRight w:val="0"/>
                      <w:marTop w:val="0"/>
                      <w:marBottom w:val="0"/>
                      <w:divBdr>
                        <w:top w:val="none" w:sz="0" w:space="0" w:color="auto"/>
                        <w:left w:val="none" w:sz="0" w:space="0" w:color="auto"/>
                        <w:bottom w:val="none" w:sz="0" w:space="0" w:color="auto"/>
                        <w:right w:val="none" w:sz="0" w:space="0" w:color="auto"/>
                      </w:divBdr>
                    </w:div>
                  </w:divsChild>
                </w:div>
                <w:div w:id="1446461283">
                  <w:marLeft w:val="0"/>
                  <w:marRight w:val="0"/>
                  <w:marTop w:val="0"/>
                  <w:marBottom w:val="0"/>
                  <w:divBdr>
                    <w:top w:val="none" w:sz="0" w:space="0" w:color="auto"/>
                    <w:left w:val="none" w:sz="0" w:space="0" w:color="auto"/>
                    <w:bottom w:val="none" w:sz="0" w:space="0" w:color="auto"/>
                    <w:right w:val="none" w:sz="0" w:space="0" w:color="auto"/>
                  </w:divBdr>
                  <w:divsChild>
                    <w:div w:id="408817404">
                      <w:marLeft w:val="0"/>
                      <w:marRight w:val="0"/>
                      <w:marTop w:val="0"/>
                      <w:marBottom w:val="0"/>
                      <w:divBdr>
                        <w:top w:val="none" w:sz="0" w:space="0" w:color="auto"/>
                        <w:left w:val="none" w:sz="0" w:space="0" w:color="auto"/>
                        <w:bottom w:val="none" w:sz="0" w:space="0" w:color="auto"/>
                        <w:right w:val="none" w:sz="0" w:space="0" w:color="auto"/>
                      </w:divBdr>
                    </w:div>
                  </w:divsChild>
                </w:div>
                <w:div w:id="1559393694">
                  <w:marLeft w:val="0"/>
                  <w:marRight w:val="0"/>
                  <w:marTop w:val="0"/>
                  <w:marBottom w:val="0"/>
                  <w:divBdr>
                    <w:top w:val="none" w:sz="0" w:space="0" w:color="auto"/>
                    <w:left w:val="none" w:sz="0" w:space="0" w:color="auto"/>
                    <w:bottom w:val="none" w:sz="0" w:space="0" w:color="auto"/>
                    <w:right w:val="none" w:sz="0" w:space="0" w:color="auto"/>
                  </w:divBdr>
                  <w:divsChild>
                    <w:div w:id="2070881428">
                      <w:marLeft w:val="0"/>
                      <w:marRight w:val="0"/>
                      <w:marTop w:val="0"/>
                      <w:marBottom w:val="0"/>
                      <w:divBdr>
                        <w:top w:val="none" w:sz="0" w:space="0" w:color="auto"/>
                        <w:left w:val="none" w:sz="0" w:space="0" w:color="auto"/>
                        <w:bottom w:val="none" w:sz="0" w:space="0" w:color="auto"/>
                        <w:right w:val="none" w:sz="0" w:space="0" w:color="auto"/>
                      </w:divBdr>
                    </w:div>
                  </w:divsChild>
                </w:div>
                <w:div w:id="1729260125">
                  <w:marLeft w:val="0"/>
                  <w:marRight w:val="0"/>
                  <w:marTop w:val="0"/>
                  <w:marBottom w:val="0"/>
                  <w:divBdr>
                    <w:top w:val="none" w:sz="0" w:space="0" w:color="auto"/>
                    <w:left w:val="none" w:sz="0" w:space="0" w:color="auto"/>
                    <w:bottom w:val="none" w:sz="0" w:space="0" w:color="auto"/>
                    <w:right w:val="none" w:sz="0" w:space="0" w:color="auto"/>
                  </w:divBdr>
                  <w:divsChild>
                    <w:div w:id="386608981">
                      <w:marLeft w:val="0"/>
                      <w:marRight w:val="0"/>
                      <w:marTop w:val="0"/>
                      <w:marBottom w:val="0"/>
                      <w:divBdr>
                        <w:top w:val="none" w:sz="0" w:space="0" w:color="auto"/>
                        <w:left w:val="none" w:sz="0" w:space="0" w:color="auto"/>
                        <w:bottom w:val="none" w:sz="0" w:space="0" w:color="auto"/>
                        <w:right w:val="none" w:sz="0" w:space="0" w:color="auto"/>
                      </w:divBdr>
                    </w:div>
                  </w:divsChild>
                </w:div>
                <w:div w:id="1754618263">
                  <w:marLeft w:val="0"/>
                  <w:marRight w:val="0"/>
                  <w:marTop w:val="0"/>
                  <w:marBottom w:val="0"/>
                  <w:divBdr>
                    <w:top w:val="none" w:sz="0" w:space="0" w:color="auto"/>
                    <w:left w:val="none" w:sz="0" w:space="0" w:color="auto"/>
                    <w:bottom w:val="none" w:sz="0" w:space="0" w:color="auto"/>
                    <w:right w:val="none" w:sz="0" w:space="0" w:color="auto"/>
                  </w:divBdr>
                  <w:divsChild>
                    <w:div w:id="1877889709">
                      <w:marLeft w:val="0"/>
                      <w:marRight w:val="0"/>
                      <w:marTop w:val="0"/>
                      <w:marBottom w:val="0"/>
                      <w:divBdr>
                        <w:top w:val="none" w:sz="0" w:space="0" w:color="auto"/>
                        <w:left w:val="none" w:sz="0" w:space="0" w:color="auto"/>
                        <w:bottom w:val="none" w:sz="0" w:space="0" w:color="auto"/>
                        <w:right w:val="none" w:sz="0" w:space="0" w:color="auto"/>
                      </w:divBdr>
                    </w:div>
                  </w:divsChild>
                </w:div>
                <w:div w:id="1759206425">
                  <w:marLeft w:val="0"/>
                  <w:marRight w:val="0"/>
                  <w:marTop w:val="0"/>
                  <w:marBottom w:val="0"/>
                  <w:divBdr>
                    <w:top w:val="none" w:sz="0" w:space="0" w:color="auto"/>
                    <w:left w:val="none" w:sz="0" w:space="0" w:color="auto"/>
                    <w:bottom w:val="none" w:sz="0" w:space="0" w:color="auto"/>
                    <w:right w:val="none" w:sz="0" w:space="0" w:color="auto"/>
                  </w:divBdr>
                  <w:divsChild>
                    <w:div w:id="1817644109">
                      <w:marLeft w:val="0"/>
                      <w:marRight w:val="0"/>
                      <w:marTop w:val="0"/>
                      <w:marBottom w:val="0"/>
                      <w:divBdr>
                        <w:top w:val="none" w:sz="0" w:space="0" w:color="auto"/>
                        <w:left w:val="none" w:sz="0" w:space="0" w:color="auto"/>
                        <w:bottom w:val="none" w:sz="0" w:space="0" w:color="auto"/>
                        <w:right w:val="none" w:sz="0" w:space="0" w:color="auto"/>
                      </w:divBdr>
                    </w:div>
                  </w:divsChild>
                </w:div>
                <w:div w:id="1822698442">
                  <w:marLeft w:val="0"/>
                  <w:marRight w:val="0"/>
                  <w:marTop w:val="0"/>
                  <w:marBottom w:val="0"/>
                  <w:divBdr>
                    <w:top w:val="none" w:sz="0" w:space="0" w:color="auto"/>
                    <w:left w:val="none" w:sz="0" w:space="0" w:color="auto"/>
                    <w:bottom w:val="none" w:sz="0" w:space="0" w:color="auto"/>
                    <w:right w:val="none" w:sz="0" w:space="0" w:color="auto"/>
                  </w:divBdr>
                  <w:divsChild>
                    <w:div w:id="1584879425">
                      <w:marLeft w:val="0"/>
                      <w:marRight w:val="0"/>
                      <w:marTop w:val="0"/>
                      <w:marBottom w:val="0"/>
                      <w:divBdr>
                        <w:top w:val="none" w:sz="0" w:space="0" w:color="auto"/>
                        <w:left w:val="none" w:sz="0" w:space="0" w:color="auto"/>
                        <w:bottom w:val="none" w:sz="0" w:space="0" w:color="auto"/>
                        <w:right w:val="none" w:sz="0" w:space="0" w:color="auto"/>
                      </w:divBdr>
                    </w:div>
                  </w:divsChild>
                </w:div>
                <w:div w:id="1828279396">
                  <w:marLeft w:val="0"/>
                  <w:marRight w:val="0"/>
                  <w:marTop w:val="0"/>
                  <w:marBottom w:val="0"/>
                  <w:divBdr>
                    <w:top w:val="none" w:sz="0" w:space="0" w:color="auto"/>
                    <w:left w:val="none" w:sz="0" w:space="0" w:color="auto"/>
                    <w:bottom w:val="none" w:sz="0" w:space="0" w:color="auto"/>
                    <w:right w:val="none" w:sz="0" w:space="0" w:color="auto"/>
                  </w:divBdr>
                  <w:divsChild>
                    <w:div w:id="1683781576">
                      <w:marLeft w:val="0"/>
                      <w:marRight w:val="0"/>
                      <w:marTop w:val="0"/>
                      <w:marBottom w:val="0"/>
                      <w:divBdr>
                        <w:top w:val="none" w:sz="0" w:space="0" w:color="auto"/>
                        <w:left w:val="none" w:sz="0" w:space="0" w:color="auto"/>
                        <w:bottom w:val="none" w:sz="0" w:space="0" w:color="auto"/>
                        <w:right w:val="none" w:sz="0" w:space="0" w:color="auto"/>
                      </w:divBdr>
                    </w:div>
                  </w:divsChild>
                </w:div>
                <w:div w:id="1835682187">
                  <w:marLeft w:val="0"/>
                  <w:marRight w:val="0"/>
                  <w:marTop w:val="0"/>
                  <w:marBottom w:val="0"/>
                  <w:divBdr>
                    <w:top w:val="none" w:sz="0" w:space="0" w:color="auto"/>
                    <w:left w:val="none" w:sz="0" w:space="0" w:color="auto"/>
                    <w:bottom w:val="none" w:sz="0" w:space="0" w:color="auto"/>
                    <w:right w:val="none" w:sz="0" w:space="0" w:color="auto"/>
                  </w:divBdr>
                  <w:divsChild>
                    <w:div w:id="820804589">
                      <w:marLeft w:val="0"/>
                      <w:marRight w:val="0"/>
                      <w:marTop w:val="0"/>
                      <w:marBottom w:val="0"/>
                      <w:divBdr>
                        <w:top w:val="none" w:sz="0" w:space="0" w:color="auto"/>
                        <w:left w:val="none" w:sz="0" w:space="0" w:color="auto"/>
                        <w:bottom w:val="none" w:sz="0" w:space="0" w:color="auto"/>
                        <w:right w:val="none" w:sz="0" w:space="0" w:color="auto"/>
                      </w:divBdr>
                    </w:div>
                  </w:divsChild>
                </w:div>
                <w:div w:id="1880699558">
                  <w:marLeft w:val="0"/>
                  <w:marRight w:val="0"/>
                  <w:marTop w:val="0"/>
                  <w:marBottom w:val="0"/>
                  <w:divBdr>
                    <w:top w:val="none" w:sz="0" w:space="0" w:color="auto"/>
                    <w:left w:val="none" w:sz="0" w:space="0" w:color="auto"/>
                    <w:bottom w:val="none" w:sz="0" w:space="0" w:color="auto"/>
                    <w:right w:val="none" w:sz="0" w:space="0" w:color="auto"/>
                  </w:divBdr>
                  <w:divsChild>
                    <w:div w:id="282931149">
                      <w:marLeft w:val="0"/>
                      <w:marRight w:val="0"/>
                      <w:marTop w:val="0"/>
                      <w:marBottom w:val="0"/>
                      <w:divBdr>
                        <w:top w:val="none" w:sz="0" w:space="0" w:color="auto"/>
                        <w:left w:val="none" w:sz="0" w:space="0" w:color="auto"/>
                        <w:bottom w:val="none" w:sz="0" w:space="0" w:color="auto"/>
                        <w:right w:val="none" w:sz="0" w:space="0" w:color="auto"/>
                      </w:divBdr>
                    </w:div>
                  </w:divsChild>
                </w:div>
                <w:div w:id="1987856001">
                  <w:marLeft w:val="0"/>
                  <w:marRight w:val="0"/>
                  <w:marTop w:val="0"/>
                  <w:marBottom w:val="0"/>
                  <w:divBdr>
                    <w:top w:val="none" w:sz="0" w:space="0" w:color="auto"/>
                    <w:left w:val="none" w:sz="0" w:space="0" w:color="auto"/>
                    <w:bottom w:val="none" w:sz="0" w:space="0" w:color="auto"/>
                    <w:right w:val="none" w:sz="0" w:space="0" w:color="auto"/>
                  </w:divBdr>
                  <w:divsChild>
                    <w:div w:id="1627541689">
                      <w:marLeft w:val="0"/>
                      <w:marRight w:val="0"/>
                      <w:marTop w:val="0"/>
                      <w:marBottom w:val="0"/>
                      <w:divBdr>
                        <w:top w:val="none" w:sz="0" w:space="0" w:color="auto"/>
                        <w:left w:val="none" w:sz="0" w:space="0" w:color="auto"/>
                        <w:bottom w:val="none" w:sz="0" w:space="0" w:color="auto"/>
                        <w:right w:val="none" w:sz="0" w:space="0" w:color="auto"/>
                      </w:divBdr>
                    </w:div>
                  </w:divsChild>
                </w:div>
                <w:div w:id="1995058776">
                  <w:marLeft w:val="0"/>
                  <w:marRight w:val="0"/>
                  <w:marTop w:val="0"/>
                  <w:marBottom w:val="0"/>
                  <w:divBdr>
                    <w:top w:val="none" w:sz="0" w:space="0" w:color="auto"/>
                    <w:left w:val="none" w:sz="0" w:space="0" w:color="auto"/>
                    <w:bottom w:val="none" w:sz="0" w:space="0" w:color="auto"/>
                    <w:right w:val="none" w:sz="0" w:space="0" w:color="auto"/>
                  </w:divBdr>
                  <w:divsChild>
                    <w:div w:id="1858038835">
                      <w:marLeft w:val="0"/>
                      <w:marRight w:val="0"/>
                      <w:marTop w:val="0"/>
                      <w:marBottom w:val="0"/>
                      <w:divBdr>
                        <w:top w:val="none" w:sz="0" w:space="0" w:color="auto"/>
                        <w:left w:val="none" w:sz="0" w:space="0" w:color="auto"/>
                        <w:bottom w:val="none" w:sz="0" w:space="0" w:color="auto"/>
                        <w:right w:val="none" w:sz="0" w:space="0" w:color="auto"/>
                      </w:divBdr>
                    </w:div>
                  </w:divsChild>
                </w:div>
                <w:div w:id="2017730196">
                  <w:marLeft w:val="0"/>
                  <w:marRight w:val="0"/>
                  <w:marTop w:val="0"/>
                  <w:marBottom w:val="0"/>
                  <w:divBdr>
                    <w:top w:val="none" w:sz="0" w:space="0" w:color="auto"/>
                    <w:left w:val="none" w:sz="0" w:space="0" w:color="auto"/>
                    <w:bottom w:val="none" w:sz="0" w:space="0" w:color="auto"/>
                    <w:right w:val="none" w:sz="0" w:space="0" w:color="auto"/>
                  </w:divBdr>
                  <w:divsChild>
                    <w:div w:id="1523319758">
                      <w:marLeft w:val="0"/>
                      <w:marRight w:val="0"/>
                      <w:marTop w:val="0"/>
                      <w:marBottom w:val="0"/>
                      <w:divBdr>
                        <w:top w:val="none" w:sz="0" w:space="0" w:color="auto"/>
                        <w:left w:val="none" w:sz="0" w:space="0" w:color="auto"/>
                        <w:bottom w:val="none" w:sz="0" w:space="0" w:color="auto"/>
                        <w:right w:val="none" w:sz="0" w:space="0" w:color="auto"/>
                      </w:divBdr>
                    </w:div>
                  </w:divsChild>
                </w:div>
                <w:div w:id="2063215412">
                  <w:marLeft w:val="0"/>
                  <w:marRight w:val="0"/>
                  <w:marTop w:val="0"/>
                  <w:marBottom w:val="0"/>
                  <w:divBdr>
                    <w:top w:val="none" w:sz="0" w:space="0" w:color="auto"/>
                    <w:left w:val="none" w:sz="0" w:space="0" w:color="auto"/>
                    <w:bottom w:val="none" w:sz="0" w:space="0" w:color="auto"/>
                    <w:right w:val="none" w:sz="0" w:space="0" w:color="auto"/>
                  </w:divBdr>
                  <w:divsChild>
                    <w:div w:id="183641047">
                      <w:marLeft w:val="0"/>
                      <w:marRight w:val="0"/>
                      <w:marTop w:val="0"/>
                      <w:marBottom w:val="0"/>
                      <w:divBdr>
                        <w:top w:val="none" w:sz="0" w:space="0" w:color="auto"/>
                        <w:left w:val="none" w:sz="0" w:space="0" w:color="auto"/>
                        <w:bottom w:val="none" w:sz="0" w:space="0" w:color="auto"/>
                        <w:right w:val="none" w:sz="0" w:space="0" w:color="auto"/>
                      </w:divBdr>
                    </w:div>
                  </w:divsChild>
                </w:div>
                <w:div w:id="2095588411">
                  <w:marLeft w:val="0"/>
                  <w:marRight w:val="0"/>
                  <w:marTop w:val="0"/>
                  <w:marBottom w:val="0"/>
                  <w:divBdr>
                    <w:top w:val="none" w:sz="0" w:space="0" w:color="auto"/>
                    <w:left w:val="none" w:sz="0" w:space="0" w:color="auto"/>
                    <w:bottom w:val="none" w:sz="0" w:space="0" w:color="auto"/>
                    <w:right w:val="none" w:sz="0" w:space="0" w:color="auto"/>
                  </w:divBdr>
                  <w:divsChild>
                    <w:div w:id="1979609946">
                      <w:marLeft w:val="0"/>
                      <w:marRight w:val="0"/>
                      <w:marTop w:val="0"/>
                      <w:marBottom w:val="0"/>
                      <w:divBdr>
                        <w:top w:val="none" w:sz="0" w:space="0" w:color="auto"/>
                        <w:left w:val="none" w:sz="0" w:space="0" w:color="auto"/>
                        <w:bottom w:val="none" w:sz="0" w:space="0" w:color="auto"/>
                        <w:right w:val="none" w:sz="0" w:space="0" w:color="auto"/>
                      </w:divBdr>
                    </w:div>
                  </w:divsChild>
                </w:div>
                <w:div w:id="2113160802">
                  <w:marLeft w:val="0"/>
                  <w:marRight w:val="0"/>
                  <w:marTop w:val="0"/>
                  <w:marBottom w:val="0"/>
                  <w:divBdr>
                    <w:top w:val="none" w:sz="0" w:space="0" w:color="auto"/>
                    <w:left w:val="none" w:sz="0" w:space="0" w:color="auto"/>
                    <w:bottom w:val="none" w:sz="0" w:space="0" w:color="auto"/>
                    <w:right w:val="none" w:sz="0" w:space="0" w:color="auto"/>
                  </w:divBdr>
                  <w:divsChild>
                    <w:div w:id="201093495">
                      <w:marLeft w:val="0"/>
                      <w:marRight w:val="0"/>
                      <w:marTop w:val="0"/>
                      <w:marBottom w:val="0"/>
                      <w:divBdr>
                        <w:top w:val="none" w:sz="0" w:space="0" w:color="auto"/>
                        <w:left w:val="none" w:sz="0" w:space="0" w:color="auto"/>
                        <w:bottom w:val="none" w:sz="0" w:space="0" w:color="auto"/>
                        <w:right w:val="none" w:sz="0" w:space="0" w:color="auto"/>
                      </w:divBdr>
                    </w:div>
                  </w:divsChild>
                </w:div>
                <w:div w:id="2143842298">
                  <w:marLeft w:val="0"/>
                  <w:marRight w:val="0"/>
                  <w:marTop w:val="0"/>
                  <w:marBottom w:val="0"/>
                  <w:divBdr>
                    <w:top w:val="none" w:sz="0" w:space="0" w:color="auto"/>
                    <w:left w:val="none" w:sz="0" w:space="0" w:color="auto"/>
                    <w:bottom w:val="none" w:sz="0" w:space="0" w:color="auto"/>
                    <w:right w:val="none" w:sz="0" w:space="0" w:color="auto"/>
                  </w:divBdr>
                  <w:divsChild>
                    <w:div w:id="109759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768146">
          <w:marLeft w:val="0"/>
          <w:marRight w:val="0"/>
          <w:marTop w:val="0"/>
          <w:marBottom w:val="0"/>
          <w:divBdr>
            <w:top w:val="none" w:sz="0" w:space="0" w:color="auto"/>
            <w:left w:val="none" w:sz="0" w:space="0" w:color="auto"/>
            <w:bottom w:val="none" w:sz="0" w:space="0" w:color="auto"/>
            <w:right w:val="none" w:sz="0" w:space="0" w:color="auto"/>
          </w:divBdr>
        </w:div>
        <w:div w:id="1589465083">
          <w:marLeft w:val="0"/>
          <w:marRight w:val="0"/>
          <w:marTop w:val="0"/>
          <w:marBottom w:val="0"/>
          <w:divBdr>
            <w:top w:val="none" w:sz="0" w:space="0" w:color="auto"/>
            <w:left w:val="none" w:sz="0" w:space="0" w:color="auto"/>
            <w:bottom w:val="none" w:sz="0" w:space="0" w:color="auto"/>
            <w:right w:val="none" w:sz="0" w:space="0" w:color="auto"/>
          </w:divBdr>
        </w:div>
        <w:div w:id="1903175447">
          <w:marLeft w:val="0"/>
          <w:marRight w:val="0"/>
          <w:marTop w:val="0"/>
          <w:marBottom w:val="0"/>
          <w:divBdr>
            <w:top w:val="none" w:sz="0" w:space="0" w:color="auto"/>
            <w:left w:val="none" w:sz="0" w:space="0" w:color="auto"/>
            <w:bottom w:val="none" w:sz="0" w:space="0" w:color="auto"/>
            <w:right w:val="none" w:sz="0" w:space="0" w:color="auto"/>
          </w:divBdr>
        </w:div>
      </w:divsChild>
    </w:div>
    <w:div w:id="1753697702">
      <w:bodyDiv w:val="1"/>
      <w:marLeft w:val="0"/>
      <w:marRight w:val="0"/>
      <w:marTop w:val="0"/>
      <w:marBottom w:val="0"/>
      <w:divBdr>
        <w:top w:val="none" w:sz="0" w:space="0" w:color="auto"/>
        <w:left w:val="none" w:sz="0" w:space="0" w:color="auto"/>
        <w:bottom w:val="none" w:sz="0" w:space="0" w:color="auto"/>
        <w:right w:val="none" w:sz="0" w:space="0" w:color="auto"/>
      </w:divBdr>
      <w:divsChild>
        <w:div w:id="798568527">
          <w:marLeft w:val="230"/>
          <w:marRight w:val="0"/>
          <w:marTop w:val="60"/>
          <w:marBottom w:val="60"/>
          <w:divBdr>
            <w:top w:val="none" w:sz="0" w:space="0" w:color="auto"/>
            <w:left w:val="none" w:sz="0" w:space="0" w:color="auto"/>
            <w:bottom w:val="none" w:sz="0" w:space="0" w:color="auto"/>
            <w:right w:val="none" w:sz="0" w:space="0" w:color="auto"/>
          </w:divBdr>
        </w:div>
        <w:div w:id="1928614409">
          <w:marLeft w:val="230"/>
          <w:marRight w:val="0"/>
          <w:marTop w:val="60"/>
          <w:marBottom w:val="60"/>
          <w:divBdr>
            <w:top w:val="none" w:sz="0" w:space="0" w:color="auto"/>
            <w:left w:val="none" w:sz="0" w:space="0" w:color="auto"/>
            <w:bottom w:val="none" w:sz="0" w:space="0" w:color="auto"/>
            <w:right w:val="none" w:sz="0" w:space="0" w:color="auto"/>
          </w:divBdr>
        </w:div>
      </w:divsChild>
    </w:div>
    <w:div w:id="1773696008">
      <w:bodyDiv w:val="1"/>
      <w:marLeft w:val="0"/>
      <w:marRight w:val="0"/>
      <w:marTop w:val="0"/>
      <w:marBottom w:val="0"/>
      <w:divBdr>
        <w:top w:val="none" w:sz="0" w:space="0" w:color="auto"/>
        <w:left w:val="none" w:sz="0" w:space="0" w:color="auto"/>
        <w:bottom w:val="none" w:sz="0" w:space="0" w:color="auto"/>
        <w:right w:val="none" w:sz="0" w:space="0" w:color="auto"/>
      </w:divBdr>
      <w:divsChild>
        <w:div w:id="1049574241">
          <w:marLeft w:val="0"/>
          <w:marRight w:val="0"/>
          <w:marTop w:val="0"/>
          <w:marBottom w:val="0"/>
          <w:divBdr>
            <w:top w:val="none" w:sz="0" w:space="0" w:color="auto"/>
            <w:left w:val="none" w:sz="0" w:space="0" w:color="auto"/>
            <w:bottom w:val="none" w:sz="0" w:space="0" w:color="auto"/>
            <w:right w:val="none" w:sz="0" w:space="0" w:color="auto"/>
          </w:divBdr>
        </w:div>
        <w:div w:id="1235315045">
          <w:marLeft w:val="0"/>
          <w:marRight w:val="0"/>
          <w:marTop w:val="0"/>
          <w:marBottom w:val="0"/>
          <w:divBdr>
            <w:top w:val="none" w:sz="0" w:space="0" w:color="auto"/>
            <w:left w:val="none" w:sz="0" w:space="0" w:color="auto"/>
            <w:bottom w:val="none" w:sz="0" w:space="0" w:color="auto"/>
            <w:right w:val="none" w:sz="0" w:space="0" w:color="auto"/>
          </w:divBdr>
          <w:divsChild>
            <w:div w:id="1456098485">
              <w:marLeft w:val="0"/>
              <w:marRight w:val="0"/>
              <w:marTop w:val="30"/>
              <w:marBottom w:val="30"/>
              <w:divBdr>
                <w:top w:val="none" w:sz="0" w:space="0" w:color="auto"/>
                <w:left w:val="none" w:sz="0" w:space="0" w:color="auto"/>
                <w:bottom w:val="none" w:sz="0" w:space="0" w:color="auto"/>
                <w:right w:val="none" w:sz="0" w:space="0" w:color="auto"/>
              </w:divBdr>
              <w:divsChild>
                <w:div w:id="6754796">
                  <w:marLeft w:val="0"/>
                  <w:marRight w:val="0"/>
                  <w:marTop w:val="0"/>
                  <w:marBottom w:val="0"/>
                  <w:divBdr>
                    <w:top w:val="none" w:sz="0" w:space="0" w:color="auto"/>
                    <w:left w:val="none" w:sz="0" w:space="0" w:color="auto"/>
                    <w:bottom w:val="none" w:sz="0" w:space="0" w:color="auto"/>
                    <w:right w:val="none" w:sz="0" w:space="0" w:color="auto"/>
                  </w:divBdr>
                  <w:divsChild>
                    <w:div w:id="1676298495">
                      <w:marLeft w:val="0"/>
                      <w:marRight w:val="0"/>
                      <w:marTop w:val="0"/>
                      <w:marBottom w:val="0"/>
                      <w:divBdr>
                        <w:top w:val="none" w:sz="0" w:space="0" w:color="auto"/>
                        <w:left w:val="none" w:sz="0" w:space="0" w:color="auto"/>
                        <w:bottom w:val="none" w:sz="0" w:space="0" w:color="auto"/>
                        <w:right w:val="none" w:sz="0" w:space="0" w:color="auto"/>
                      </w:divBdr>
                    </w:div>
                  </w:divsChild>
                </w:div>
                <w:div w:id="104690711">
                  <w:marLeft w:val="0"/>
                  <w:marRight w:val="0"/>
                  <w:marTop w:val="0"/>
                  <w:marBottom w:val="0"/>
                  <w:divBdr>
                    <w:top w:val="none" w:sz="0" w:space="0" w:color="auto"/>
                    <w:left w:val="none" w:sz="0" w:space="0" w:color="auto"/>
                    <w:bottom w:val="none" w:sz="0" w:space="0" w:color="auto"/>
                    <w:right w:val="none" w:sz="0" w:space="0" w:color="auto"/>
                  </w:divBdr>
                  <w:divsChild>
                    <w:div w:id="1221402012">
                      <w:marLeft w:val="0"/>
                      <w:marRight w:val="0"/>
                      <w:marTop w:val="0"/>
                      <w:marBottom w:val="0"/>
                      <w:divBdr>
                        <w:top w:val="none" w:sz="0" w:space="0" w:color="auto"/>
                        <w:left w:val="none" w:sz="0" w:space="0" w:color="auto"/>
                        <w:bottom w:val="none" w:sz="0" w:space="0" w:color="auto"/>
                        <w:right w:val="none" w:sz="0" w:space="0" w:color="auto"/>
                      </w:divBdr>
                    </w:div>
                  </w:divsChild>
                </w:div>
                <w:div w:id="139659019">
                  <w:marLeft w:val="0"/>
                  <w:marRight w:val="0"/>
                  <w:marTop w:val="0"/>
                  <w:marBottom w:val="0"/>
                  <w:divBdr>
                    <w:top w:val="none" w:sz="0" w:space="0" w:color="auto"/>
                    <w:left w:val="none" w:sz="0" w:space="0" w:color="auto"/>
                    <w:bottom w:val="none" w:sz="0" w:space="0" w:color="auto"/>
                    <w:right w:val="none" w:sz="0" w:space="0" w:color="auto"/>
                  </w:divBdr>
                  <w:divsChild>
                    <w:div w:id="1775664968">
                      <w:marLeft w:val="0"/>
                      <w:marRight w:val="0"/>
                      <w:marTop w:val="0"/>
                      <w:marBottom w:val="0"/>
                      <w:divBdr>
                        <w:top w:val="none" w:sz="0" w:space="0" w:color="auto"/>
                        <w:left w:val="none" w:sz="0" w:space="0" w:color="auto"/>
                        <w:bottom w:val="none" w:sz="0" w:space="0" w:color="auto"/>
                        <w:right w:val="none" w:sz="0" w:space="0" w:color="auto"/>
                      </w:divBdr>
                    </w:div>
                  </w:divsChild>
                </w:div>
                <w:div w:id="145127169">
                  <w:marLeft w:val="0"/>
                  <w:marRight w:val="0"/>
                  <w:marTop w:val="0"/>
                  <w:marBottom w:val="0"/>
                  <w:divBdr>
                    <w:top w:val="none" w:sz="0" w:space="0" w:color="auto"/>
                    <w:left w:val="none" w:sz="0" w:space="0" w:color="auto"/>
                    <w:bottom w:val="none" w:sz="0" w:space="0" w:color="auto"/>
                    <w:right w:val="none" w:sz="0" w:space="0" w:color="auto"/>
                  </w:divBdr>
                  <w:divsChild>
                    <w:div w:id="322200963">
                      <w:marLeft w:val="0"/>
                      <w:marRight w:val="0"/>
                      <w:marTop w:val="0"/>
                      <w:marBottom w:val="0"/>
                      <w:divBdr>
                        <w:top w:val="none" w:sz="0" w:space="0" w:color="auto"/>
                        <w:left w:val="none" w:sz="0" w:space="0" w:color="auto"/>
                        <w:bottom w:val="none" w:sz="0" w:space="0" w:color="auto"/>
                        <w:right w:val="none" w:sz="0" w:space="0" w:color="auto"/>
                      </w:divBdr>
                    </w:div>
                  </w:divsChild>
                </w:div>
                <w:div w:id="170414994">
                  <w:marLeft w:val="0"/>
                  <w:marRight w:val="0"/>
                  <w:marTop w:val="0"/>
                  <w:marBottom w:val="0"/>
                  <w:divBdr>
                    <w:top w:val="none" w:sz="0" w:space="0" w:color="auto"/>
                    <w:left w:val="none" w:sz="0" w:space="0" w:color="auto"/>
                    <w:bottom w:val="none" w:sz="0" w:space="0" w:color="auto"/>
                    <w:right w:val="none" w:sz="0" w:space="0" w:color="auto"/>
                  </w:divBdr>
                  <w:divsChild>
                    <w:div w:id="610283790">
                      <w:marLeft w:val="0"/>
                      <w:marRight w:val="0"/>
                      <w:marTop w:val="0"/>
                      <w:marBottom w:val="0"/>
                      <w:divBdr>
                        <w:top w:val="none" w:sz="0" w:space="0" w:color="auto"/>
                        <w:left w:val="none" w:sz="0" w:space="0" w:color="auto"/>
                        <w:bottom w:val="none" w:sz="0" w:space="0" w:color="auto"/>
                        <w:right w:val="none" w:sz="0" w:space="0" w:color="auto"/>
                      </w:divBdr>
                    </w:div>
                  </w:divsChild>
                </w:div>
                <w:div w:id="178736677">
                  <w:marLeft w:val="0"/>
                  <w:marRight w:val="0"/>
                  <w:marTop w:val="0"/>
                  <w:marBottom w:val="0"/>
                  <w:divBdr>
                    <w:top w:val="none" w:sz="0" w:space="0" w:color="auto"/>
                    <w:left w:val="none" w:sz="0" w:space="0" w:color="auto"/>
                    <w:bottom w:val="none" w:sz="0" w:space="0" w:color="auto"/>
                    <w:right w:val="none" w:sz="0" w:space="0" w:color="auto"/>
                  </w:divBdr>
                  <w:divsChild>
                    <w:div w:id="724136848">
                      <w:marLeft w:val="0"/>
                      <w:marRight w:val="0"/>
                      <w:marTop w:val="0"/>
                      <w:marBottom w:val="0"/>
                      <w:divBdr>
                        <w:top w:val="none" w:sz="0" w:space="0" w:color="auto"/>
                        <w:left w:val="none" w:sz="0" w:space="0" w:color="auto"/>
                        <w:bottom w:val="none" w:sz="0" w:space="0" w:color="auto"/>
                        <w:right w:val="none" w:sz="0" w:space="0" w:color="auto"/>
                      </w:divBdr>
                    </w:div>
                  </w:divsChild>
                </w:div>
                <w:div w:id="189489193">
                  <w:marLeft w:val="0"/>
                  <w:marRight w:val="0"/>
                  <w:marTop w:val="0"/>
                  <w:marBottom w:val="0"/>
                  <w:divBdr>
                    <w:top w:val="none" w:sz="0" w:space="0" w:color="auto"/>
                    <w:left w:val="none" w:sz="0" w:space="0" w:color="auto"/>
                    <w:bottom w:val="none" w:sz="0" w:space="0" w:color="auto"/>
                    <w:right w:val="none" w:sz="0" w:space="0" w:color="auto"/>
                  </w:divBdr>
                  <w:divsChild>
                    <w:div w:id="691687260">
                      <w:marLeft w:val="0"/>
                      <w:marRight w:val="0"/>
                      <w:marTop w:val="0"/>
                      <w:marBottom w:val="0"/>
                      <w:divBdr>
                        <w:top w:val="none" w:sz="0" w:space="0" w:color="auto"/>
                        <w:left w:val="none" w:sz="0" w:space="0" w:color="auto"/>
                        <w:bottom w:val="none" w:sz="0" w:space="0" w:color="auto"/>
                        <w:right w:val="none" w:sz="0" w:space="0" w:color="auto"/>
                      </w:divBdr>
                    </w:div>
                  </w:divsChild>
                </w:div>
                <w:div w:id="213810570">
                  <w:marLeft w:val="0"/>
                  <w:marRight w:val="0"/>
                  <w:marTop w:val="0"/>
                  <w:marBottom w:val="0"/>
                  <w:divBdr>
                    <w:top w:val="none" w:sz="0" w:space="0" w:color="auto"/>
                    <w:left w:val="none" w:sz="0" w:space="0" w:color="auto"/>
                    <w:bottom w:val="none" w:sz="0" w:space="0" w:color="auto"/>
                    <w:right w:val="none" w:sz="0" w:space="0" w:color="auto"/>
                  </w:divBdr>
                  <w:divsChild>
                    <w:div w:id="6644416">
                      <w:marLeft w:val="0"/>
                      <w:marRight w:val="0"/>
                      <w:marTop w:val="0"/>
                      <w:marBottom w:val="0"/>
                      <w:divBdr>
                        <w:top w:val="none" w:sz="0" w:space="0" w:color="auto"/>
                        <w:left w:val="none" w:sz="0" w:space="0" w:color="auto"/>
                        <w:bottom w:val="none" w:sz="0" w:space="0" w:color="auto"/>
                        <w:right w:val="none" w:sz="0" w:space="0" w:color="auto"/>
                      </w:divBdr>
                    </w:div>
                  </w:divsChild>
                </w:div>
                <w:div w:id="215240869">
                  <w:marLeft w:val="0"/>
                  <w:marRight w:val="0"/>
                  <w:marTop w:val="0"/>
                  <w:marBottom w:val="0"/>
                  <w:divBdr>
                    <w:top w:val="none" w:sz="0" w:space="0" w:color="auto"/>
                    <w:left w:val="none" w:sz="0" w:space="0" w:color="auto"/>
                    <w:bottom w:val="none" w:sz="0" w:space="0" w:color="auto"/>
                    <w:right w:val="none" w:sz="0" w:space="0" w:color="auto"/>
                  </w:divBdr>
                  <w:divsChild>
                    <w:div w:id="576791261">
                      <w:marLeft w:val="0"/>
                      <w:marRight w:val="0"/>
                      <w:marTop w:val="0"/>
                      <w:marBottom w:val="0"/>
                      <w:divBdr>
                        <w:top w:val="none" w:sz="0" w:space="0" w:color="auto"/>
                        <w:left w:val="none" w:sz="0" w:space="0" w:color="auto"/>
                        <w:bottom w:val="none" w:sz="0" w:space="0" w:color="auto"/>
                        <w:right w:val="none" w:sz="0" w:space="0" w:color="auto"/>
                      </w:divBdr>
                    </w:div>
                  </w:divsChild>
                </w:div>
                <w:div w:id="219481597">
                  <w:marLeft w:val="0"/>
                  <w:marRight w:val="0"/>
                  <w:marTop w:val="0"/>
                  <w:marBottom w:val="0"/>
                  <w:divBdr>
                    <w:top w:val="none" w:sz="0" w:space="0" w:color="auto"/>
                    <w:left w:val="none" w:sz="0" w:space="0" w:color="auto"/>
                    <w:bottom w:val="none" w:sz="0" w:space="0" w:color="auto"/>
                    <w:right w:val="none" w:sz="0" w:space="0" w:color="auto"/>
                  </w:divBdr>
                  <w:divsChild>
                    <w:div w:id="1628387883">
                      <w:marLeft w:val="0"/>
                      <w:marRight w:val="0"/>
                      <w:marTop w:val="0"/>
                      <w:marBottom w:val="0"/>
                      <w:divBdr>
                        <w:top w:val="none" w:sz="0" w:space="0" w:color="auto"/>
                        <w:left w:val="none" w:sz="0" w:space="0" w:color="auto"/>
                        <w:bottom w:val="none" w:sz="0" w:space="0" w:color="auto"/>
                        <w:right w:val="none" w:sz="0" w:space="0" w:color="auto"/>
                      </w:divBdr>
                    </w:div>
                  </w:divsChild>
                </w:div>
                <w:div w:id="294481649">
                  <w:marLeft w:val="0"/>
                  <w:marRight w:val="0"/>
                  <w:marTop w:val="0"/>
                  <w:marBottom w:val="0"/>
                  <w:divBdr>
                    <w:top w:val="none" w:sz="0" w:space="0" w:color="auto"/>
                    <w:left w:val="none" w:sz="0" w:space="0" w:color="auto"/>
                    <w:bottom w:val="none" w:sz="0" w:space="0" w:color="auto"/>
                    <w:right w:val="none" w:sz="0" w:space="0" w:color="auto"/>
                  </w:divBdr>
                  <w:divsChild>
                    <w:div w:id="1984390592">
                      <w:marLeft w:val="0"/>
                      <w:marRight w:val="0"/>
                      <w:marTop w:val="0"/>
                      <w:marBottom w:val="0"/>
                      <w:divBdr>
                        <w:top w:val="none" w:sz="0" w:space="0" w:color="auto"/>
                        <w:left w:val="none" w:sz="0" w:space="0" w:color="auto"/>
                        <w:bottom w:val="none" w:sz="0" w:space="0" w:color="auto"/>
                        <w:right w:val="none" w:sz="0" w:space="0" w:color="auto"/>
                      </w:divBdr>
                    </w:div>
                  </w:divsChild>
                </w:div>
                <w:div w:id="325062773">
                  <w:marLeft w:val="0"/>
                  <w:marRight w:val="0"/>
                  <w:marTop w:val="0"/>
                  <w:marBottom w:val="0"/>
                  <w:divBdr>
                    <w:top w:val="none" w:sz="0" w:space="0" w:color="auto"/>
                    <w:left w:val="none" w:sz="0" w:space="0" w:color="auto"/>
                    <w:bottom w:val="none" w:sz="0" w:space="0" w:color="auto"/>
                    <w:right w:val="none" w:sz="0" w:space="0" w:color="auto"/>
                  </w:divBdr>
                  <w:divsChild>
                    <w:div w:id="699090092">
                      <w:marLeft w:val="0"/>
                      <w:marRight w:val="0"/>
                      <w:marTop w:val="0"/>
                      <w:marBottom w:val="0"/>
                      <w:divBdr>
                        <w:top w:val="none" w:sz="0" w:space="0" w:color="auto"/>
                        <w:left w:val="none" w:sz="0" w:space="0" w:color="auto"/>
                        <w:bottom w:val="none" w:sz="0" w:space="0" w:color="auto"/>
                        <w:right w:val="none" w:sz="0" w:space="0" w:color="auto"/>
                      </w:divBdr>
                    </w:div>
                  </w:divsChild>
                </w:div>
                <w:div w:id="332609414">
                  <w:marLeft w:val="0"/>
                  <w:marRight w:val="0"/>
                  <w:marTop w:val="0"/>
                  <w:marBottom w:val="0"/>
                  <w:divBdr>
                    <w:top w:val="none" w:sz="0" w:space="0" w:color="auto"/>
                    <w:left w:val="none" w:sz="0" w:space="0" w:color="auto"/>
                    <w:bottom w:val="none" w:sz="0" w:space="0" w:color="auto"/>
                    <w:right w:val="none" w:sz="0" w:space="0" w:color="auto"/>
                  </w:divBdr>
                  <w:divsChild>
                    <w:div w:id="2048602386">
                      <w:marLeft w:val="0"/>
                      <w:marRight w:val="0"/>
                      <w:marTop w:val="0"/>
                      <w:marBottom w:val="0"/>
                      <w:divBdr>
                        <w:top w:val="none" w:sz="0" w:space="0" w:color="auto"/>
                        <w:left w:val="none" w:sz="0" w:space="0" w:color="auto"/>
                        <w:bottom w:val="none" w:sz="0" w:space="0" w:color="auto"/>
                        <w:right w:val="none" w:sz="0" w:space="0" w:color="auto"/>
                      </w:divBdr>
                    </w:div>
                  </w:divsChild>
                </w:div>
                <w:div w:id="355155469">
                  <w:marLeft w:val="0"/>
                  <w:marRight w:val="0"/>
                  <w:marTop w:val="0"/>
                  <w:marBottom w:val="0"/>
                  <w:divBdr>
                    <w:top w:val="none" w:sz="0" w:space="0" w:color="auto"/>
                    <w:left w:val="none" w:sz="0" w:space="0" w:color="auto"/>
                    <w:bottom w:val="none" w:sz="0" w:space="0" w:color="auto"/>
                    <w:right w:val="none" w:sz="0" w:space="0" w:color="auto"/>
                  </w:divBdr>
                  <w:divsChild>
                    <w:div w:id="859857917">
                      <w:marLeft w:val="0"/>
                      <w:marRight w:val="0"/>
                      <w:marTop w:val="0"/>
                      <w:marBottom w:val="0"/>
                      <w:divBdr>
                        <w:top w:val="none" w:sz="0" w:space="0" w:color="auto"/>
                        <w:left w:val="none" w:sz="0" w:space="0" w:color="auto"/>
                        <w:bottom w:val="none" w:sz="0" w:space="0" w:color="auto"/>
                        <w:right w:val="none" w:sz="0" w:space="0" w:color="auto"/>
                      </w:divBdr>
                    </w:div>
                  </w:divsChild>
                </w:div>
                <w:div w:id="374424792">
                  <w:marLeft w:val="0"/>
                  <w:marRight w:val="0"/>
                  <w:marTop w:val="0"/>
                  <w:marBottom w:val="0"/>
                  <w:divBdr>
                    <w:top w:val="none" w:sz="0" w:space="0" w:color="auto"/>
                    <w:left w:val="none" w:sz="0" w:space="0" w:color="auto"/>
                    <w:bottom w:val="none" w:sz="0" w:space="0" w:color="auto"/>
                    <w:right w:val="none" w:sz="0" w:space="0" w:color="auto"/>
                  </w:divBdr>
                  <w:divsChild>
                    <w:div w:id="1045758416">
                      <w:marLeft w:val="0"/>
                      <w:marRight w:val="0"/>
                      <w:marTop w:val="0"/>
                      <w:marBottom w:val="0"/>
                      <w:divBdr>
                        <w:top w:val="none" w:sz="0" w:space="0" w:color="auto"/>
                        <w:left w:val="none" w:sz="0" w:space="0" w:color="auto"/>
                        <w:bottom w:val="none" w:sz="0" w:space="0" w:color="auto"/>
                        <w:right w:val="none" w:sz="0" w:space="0" w:color="auto"/>
                      </w:divBdr>
                    </w:div>
                  </w:divsChild>
                </w:div>
                <w:div w:id="425345041">
                  <w:marLeft w:val="0"/>
                  <w:marRight w:val="0"/>
                  <w:marTop w:val="0"/>
                  <w:marBottom w:val="0"/>
                  <w:divBdr>
                    <w:top w:val="none" w:sz="0" w:space="0" w:color="auto"/>
                    <w:left w:val="none" w:sz="0" w:space="0" w:color="auto"/>
                    <w:bottom w:val="none" w:sz="0" w:space="0" w:color="auto"/>
                    <w:right w:val="none" w:sz="0" w:space="0" w:color="auto"/>
                  </w:divBdr>
                  <w:divsChild>
                    <w:div w:id="1310480631">
                      <w:marLeft w:val="0"/>
                      <w:marRight w:val="0"/>
                      <w:marTop w:val="0"/>
                      <w:marBottom w:val="0"/>
                      <w:divBdr>
                        <w:top w:val="none" w:sz="0" w:space="0" w:color="auto"/>
                        <w:left w:val="none" w:sz="0" w:space="0" w:color="auto"/>
                        <w:bottom w:val="none" w:sz="0" w:space="0" w:color="auto"/>
                        <w:right w:val="none" w:sz="0" w:space="0" w:color="auto"/>
                      </w:divBdr>
                    </w:div>
                  </w:divsChild>
                </w:div>
                <w:div w:id="426510217">
                  <w:marLeft w:val="0"/>
                  <w:marRight w:val="0"/>
                  <w:marTop w:val="0"/>
                  <w:marBottom w:val="0"/>
                  <w:divBdr>
                    <w:top w:val="none" w:sz="0" w:space="0" w:color="auto"/>
                    <w:left w:val="none" w:sz="0" w:space="0" w:color="auto"/>
                    <w:bottom w:val="none" w:sz="0" w:space="0" w:color="auto"/>
                    <w:right w:val="none" w:sz="0" w:space="0" w:color="auto"/>
                  </w:divBdr>
                  <w:divsChild>
                    <w:div w:id="616566312">
                      <w:marLeft w:val="0"/>
                      <w:marRight w:val="0"/>
                      <w:marTop w:val="0"/>
                      <w:marBottom w:val="0"/>
                      <w:divBdr>
                        <w:top w:val="none" w:sz="0" w:space="0" w:color="auto"/>
                        <w:left w:val="none" w:sz="0" w:space="0" w:color="auto"/>
                        <w:bottom w:val="none" w:sz="0" w:space="0" w:color="auto"/>
                        <w:right w:val="none" w:sz="0" w:space="0" w:color="auto"/>
                      </w:divBdr>
                    </w:div>
                  </w:divsChild>
                </w:div>
                <w:div w:id="436407471">
                  <w:marLeft w:val="0"/>
                  <w:marRight w:val="0"/>
                  <w:marTop w:val="0"/>
                  <w:marBottom w:val="0"/>
                  <w:divBdr>
                    <w:top w:val="none" w:sz="0" w:space="0" w:color="auto"/>
                    <w:left w:val="none" w:sz="0" w:space="0" w:color="auto"/>
                    <w:bottom w:val="none" w:sz="0" w:space="0" w:color="auto"/>
                    <w:right w:val="none" w:sz="0" w:space="0" w:color="auto"/>
                  </w:divBdr>
                  <w:divsChild>
                    <w:div w:id="1447769743">
                      <w:marLeft w:val="0"/>
                      <w:marRight w:val="0"/>
                      <w:marTop w:val="0"/>
                      <w:marBottom w:val="0"/>
                      <w:divBdr>
                        <w:top w:val="none" w:sz="0" w:space="0" w:color="auto"/>
                        <w:left w:val="none" w:sz="0" w:space="0" w:color="auto"/>
                        <w:bottom w:val="none" w:sz="0" w:space="0" w:color="auto"/>
                        <w:right w:val="none" w:sz="0" w:space="0" w:color="auto"/>
                      </w:divBdr>
                    </w:div>
                  </w:divsChild>
                </w:div>
                <w:div w:id="456917357">
                  <w:marLeft w:val="0"/>
                  <w:marRight w:val="0"/>
                  <w:marTop w:val="0"/>
                  <w:marBottom w:val="0"/>
                  <w:divBdr>
                    <w:top w:val="none" w:sz="0" w:space="0" w:color="auto"/>
                    <w:left w:val="none" w:sz="0" w:space="0" w:color="auto"/>
                    <w:bottom w:val="none" w:sz="0" w:space="0" w:color="auto"/>
                    <w:right w:val="none" w:sz="0" w:space="0" w:color="auto"/>
                  </w:divBdr>
                  <w:divsChild>
                    <w:div w:id="189027635">
                      <w:marLeft w:val="0"/>
                      <w:marRight w:val="0"/>
                      <w:marTop w:val="0"/>
                      <w:marBottom w:val="0"/>
                      <w:divBdr>
                        <w:top w:val="none" w:sz="0" w:space="0" w:color="auto"/>
                        <w:left w:val="none" w:sz="0" w:space="0" w:color="auto"/>
                        <w:bottom w:val="none" w:sz="0" w:space="0" w:color="auto"/>
                        <w:right w:val="none" w:sz="0" w:space="0" w:color="auto"/>
                      </w:divBdr>
                    </w:div>
                  </w:divsChild>
                </w:div>
                <w:div w:id="599949222">
                  <w:marLeft w:val="0"/>
                  <w:marRight w:val="0"/>
                  <w:marTop w:val="0"/>
                  <w:marBottom w:val="0"/>
                  <w:divBdr>
                    <w:top w:val="none" w:sz="0" w:space="0" w:color="auto"/>
                    <w:left w:val="none" w:sz="0" w:space="0" w:color="auto"/>
                    <w:bottom w:val="none" w:sz="0" w:space="0" w:color="auto"/>
                    <w:right w:val="none" w:sz="0" w:space="0" w:color="auto"/>
                  </w:divBdr>
                  <w:divsChild>
                    <w:div w:id="419372148">
                      <w:marLeft w:val="0"/>
                      <w:marRight w:val="0"/>
                      <w:marTop w:val="0"/>
                      <w:marBottom w:val="0"/>
                      <w:divBdr>
                        <w:top w:val="none" w:sz="0" w:space="0" w:color="auto"/>
                        <w:left w:val="none" w:sz="0" w:space="0" w:color="auto"/>
                        <w:bottom w:val="none" w:sz="0" w:space="0" w:color="auto"/>
                        <w:right w:val="none" w:sz="0" w:space="0" w:color="auto"/>
                      </w:divBdr>
                    </w:div>
                  </w:divsChild>
                </w:div>
                <w:div w:id="624968411">
                  <w:marLeft w:val="0"/>
                  <w:marRight w:val="0"/>
                  <w:marTop w:val="0"/>
                  <w:marBottom w:val="0"/>
                  <w:divBdr>
                    <w:top w:val="none" w:sz="0" w:space="0" w:color="auto"/>
                    <w:left w:val="none" w:sz="0" w:space="0" w:color="auto"/>
                    <w:bottom w:val="none" w:sz="0" w:space="0" w:color="auto"/>
                    <w:right w:val="none" w:sz="0" w:space="0" w:color="auto"/>
                  </w:divBdr>
                  <w:divsChild>
                    <w:div w:id="1980838489">
                      <w:marLeft w:val="0"/>
                      <w:marRight w:val="0"/>
                      <w:marTop w:val="0"/>
                      <w:marBottom w:val="0"/>
                      <w:divBdr>
                        <w:top w:val="none" w:sz="0" w:space="0" w:color="auto"/>
                        <w:left w:val="none" w:sz="0" w:space="0" w:color="auto"/>
                        <w:bottom w:val="none" w:sz="0" w:space="0" w:color="auto"/>
                        <w:right w:val="none" w:sz="0" w:space="0" w:color="auto"/>
                      </w:divBdr>
                    </w:div>
                  </w:divsChild>
                </w:div>
                <w:div w:id="631711685">
                  <w:marLeft w:val="0"/>
                  <w:marRight w:val="0"/>
                  <w:marTop w:val="0"/>
                  <w:marBottom w:val="0"/>
                  <w:divBdr>
                    <w:top w:val="none" w:sz="0" w:space="0" w:color="auto"/>
                    <w:left w:val="none" w:sz="0" w:space="0" w:color="auto"/>
                    <w:bottom w:val="none" w:sz="0" w:space="0" w:color="auto"/>
                    <w:right w:val="none" w:sz="0" w:space="0" w:color="auto"/>
                  </w:divBdr>
                  <w:divsChild>
                    <w:div w:id="852844441">
                      <w:marLeft w:val="0"/>
                      <w:marRight w:val="0"/>
                      <w:marTop w:val="0"/>
                      <w:marBottom w:val="0"/>
                      <w:divBdr>
                        <w:top w:val="none" w:sz="0" w:space="0" w:color="auto"/>
                        <w:left w:val="none" w:sz="0" w:space="0" w:color="auto"/>
                        <w:bottom w:val="none" w:sz="0" w:space="0" w:color="auto"/>
                        <w:right w:val="none" w:sz="0" w:space="0" w:color="auto"/>
                      </w:divBdr>
                    </w:div>
                  </w:divsChild>
                </w:div>
                <w:div w:id="673460475">
                  <w:marLeft w:val="0"/>
                  <w:marRight w:val="0"/>
                  <w:marTop w:val="0"/>
                  <w:marBottom w:val="0"/>
                  <w:divBdr>
                    <w:top w:val="none" w:sz="0" w:space="0" w:color="auto"/>
                    <w:left w:val="none" w:sz="0" w:space="0" w:color="auto"/>
                    <w:bottom w:val="none" w:sz="0" w:space="0" w:color="auto"/>
                    <w:right w:val="none" w:sz="0" w:space="0" w:color="auto"/>
                  </w:divBdr>
                  <w:divsChild>
                    <w:div w:id="1159269308">
                      <w:marLeft w:val="0"/>
                      <w:marRight w:val="0"/>
                      <w:marTop w:val="0"/>
                      <w:marBottom w:val="0"/>
                      <w:divBdr>
                        <w:top w:val="none" w:sz="0" w:space="0" w:color="auto"/>
                        <w:left w:val="none" w:sz="0" w:space="0" w:color="auto"/>
                        <w:bottom w:val="none" w:sz="0" w:space="0" w:color="auto"/>
                        <w:right w:val="none" w:sz="0" w:space="0" w:color="auto"/>
                      </w:divBdr>
                    </w:div>
                  </w:divsChild>
                </w:div>
                <w:div w:id="678043685">
                  <w:marLeft w:val="0"/>
                  <w:marRight w:val="0"/>
                  <w:marTop w:val="0"/>
                  <w:marBottom w:val="0"/>
                  <w:divBdr>
                    <w:top w:val="none" w:sz="0" w:space="0" w:color="auto"/>
                    <w:left w:val="none" w:sz="0" w:space="0" w:color="auto"/>
                    <w:bottom w:val="none" w:sz="0" w:space="0" w:color="auto"/>
                    <w:right w:val="none" w:sz="0" w:space="0" w:color="auto"/>
                  </w:divBdr>
                  <w:divsChild>
                    <w:div w:id="284585876">
                      <w:marLeft w:val="0"/>
                      <w:marRight w:val="0"/>
                      <w:marTop w:val="0"/>
                      <w:marBottom w:val="0"/>
                      <w:divBdr>
                        <w:top w:val="none" w:sz="0" w:space="0" w:color="auto"/>
                        <w:left w:val="none" w:sz="0" w:space="0" w:color="auto"/>
                        <w:bottom w:val="none" w:sz="0" w:space="0" w:color="auto"/>
                        <w:right w:val="none" w:sz="0" w:space="0" w:color="auto"/>
                      </w:divBdr>
                    </w:div>
                  </w:divsChild>
                </w:div>
                <w:div w:id="682126017">
                  <w:marLeft w:val="0"/>
                  <w:marRight w:val="0"/>
                  <w:marTop w:val="0"/>
                  <w:marBottom w:val="0"/>
                  <w:divBdr>
                    <w:top w:val="none" w:sz="0" w:space="0" w:color="auto"/>
                    <w:left w:val="none" w:sz="0" w:space="0" w:color="auto"/>
                    <w:bottom w:val="none" w:sz="0" w:space="0" w:color="auto"/>
                    <w:right w:val="none" w:sz="0" w:space="0" w:color="auto"/>
                  </w:divBdr>
                  <w:divsChild>
                    <w:div w:id="1338269513">
                      <w:marLeft w:val="0"/>
                      <w:marRight w:val="0"/>
                      <w:marTop w:val="0"/>
                      <w:marBottom w:val="0"/>
                      <w:divBdr>
                        <w:top w:val="none" w:sz="0" w:space="0" w:color="auto"/>
                        <w:left w:val="none" w:sz="0" w:space="0" w:color="auto"/>
                        <w:bottom w:val="none" w:sz="0" w:space="0" w:color="auto"/>
                        <w:right w:val="none" w:sz="0" w:space="0" w:color="auto"/>
                      </w:divBdr>
                    </w:div>
                  </w:divsChild>
                </w:div>
                <w:div w:id="782000473">
                  <w:marLeft w:val="0"/>
                  <w:marRight w:val="0"/>
                  <w:marTop w:val="0"/>
                  <w:marBottom w:val="0"/>
                  <w:divBdr>
                    <w:top w:val="none" w:sz="0" w:space="0" w:color="auto"/>
                    <w:left w:val="none" w:sz="0" w:space="0" w:color="auto"/>
                    <w:bottom w:val="none" w:sz="0" w:space="0" w:color="auto"/>
                    <w:right w:val="none" w:sz="0" w:space="0" w:color="auto"/>
                  </w:divBdr>
                  <w:divsChild>
                    <w:div w:id="1160342790">
                      <w:marLeft w:val="0"/>
                      <w:marRight w:val="0"/>
                      <w:marTop w:val="0"/>
                      <w:marBottom w:val="0"/>
                      <w:divBdr>
                        <w:top w:val="none" w:sz="0" w:space="0" w:color="auto"/>
                        <w:left w:val="none" w:sz="0" w:space="0" w:color="auto"/>
                        <w:bottom w:val="none" w:sz="0" w:space="0" w:color="auto"/>
                        <w:right w:val="none" w:sz="0" w:space="0" w:color="auto"/>
                      </w:divBdr>
                    </w:div>
                  </w:divsChild>
                </w:div>
                <w:div w:id="819732706">
                  <w:marLeft w:val="0"/>
                  <w:marRight w:val="0"/>
                  <w:marTop w:val="0"/>
                  <w:marBottom w:val="0"/>
                  <w:divBdr>
                    <w:top w:val="none" w:sz="0" w:space="0" w:color="auto"/>
                    <w:left w:val="none" w:sz="0" w:space="0" w:color="auto"/>
                    <w:bottom w:val="none" w:sz="0" w:space="0" w:color="auto"/>
                    <w:right w:val="none" w:sz="0" w:space="0" w:color="auto"/>
                  </w:divBdr>
                  <w:divsChild>
                    <w:div w:id="755051234">
                      <w:marLeft w:val="0"/>
                      <w:marRight w:val="0"/>
                      <w:marTop w:val="0"/>
                      <w:marBottom w:val="0"/>
                      <w:divBdr>
                        <w:top w:val="none" w:sz="0" w:space="0" w:color="auto"/>
                        <w:left w:val="none" w:sz="0" w:space="0" w:color="auto"/>
                        <w:bottom w:val="none" w:sz="0" w:space="0" w:color="auto"/>
                        <w:right w:val="none" w:sz="0" w:space="0" w:color="auto"/>
                      </w:divBdr>
                    </w:div>
                  </w:divsChild>
                </w:div>
                <w:div w:id="845242320">
                  <w:marLeft w:val="0"/>
                  <w:marRight w:val="0"/>
                  <w:marTop w:val="0"/>
                  <w:marBottom w:val="0"/>
                  <w:divBdr>
                    <w:top w:val="none" w:sz="0" w:space="0" w:color="auto"/>
                    <w:left w:val="none" w:sz="0" w:space="0" w:color="auto"/>
                    <w:bottom w:val="none" w:sz="0" w:space="0" w:color="auto"/>
                    <w:right w:val="none" w:sz="0" w:space="0" w:color="auto"/>
                  </w:divBdr>
                  <w:divsChild>
                    <w:div w:id="453715605">
                      <w:marLeft w:val="0"/>
                      <w:marRight w:val="0"/>
                      <w:marTop w:val="0"/>
                      <w:marBottom w:val="0"/>
                      <w:divBdr>
                        <w:top w:val="none" w:sz="0" w:space="0" w:color="auto"/>
                        <w:left w:val="none" w:sz="0" w:space="0" w:color="auto"/>
                        <w:bottom w:val="none" w:sz="0" w:space="0" w:color="auto"/>
                        <w:right w:val="none" w:sz="0" w:space="0" w:color="auto"/>
                      </w:divBdr>
                    </w:div>
                  </w:divsChild>
                </w:div>
                <w:div w:id="907418407">
                  <w:marLeft w:val="0"/>
                  <w:marRight w:val="0"/>
                  <w:marTop w:val="0"/>
                  <w:marBottom w:val="0"/>
                  <w:divBdr>
                    <w:top w:val="none" w:sz="0" w:space="0" w:color="auto"/>
                    <w:left w:val="none" w:sz="0" w:space="0" w:color="auto"/>
                    <w:bottom w:val="none" w:sz="0" w:space="0" w:color="auto"/>
                    <w:right w:val="none" w:sz="0" w:space="0" w:color="auto"/>
                  </w:divBdr>
                  <w:divsChild>
                    <w:div w:id="287013144">
                      <w:marLeft w:val="0"/>
                      <w:marRight w:val="0"/>
                      <w:marTop w:val="0"/>
                      <w:marBottom w:val="0"/>
                      <w:divBdr>
                        <w:top w:val="none" w:sz="0" w:space="0" w:color="auto"/>
                        <w:left w:val="none" w:sz="0" w:space="0" w:color="auto"/>
                        <w:bottom w:val="none" w:sz="0" w:space="0" w:color="auto"/>
                        <w:right w:val="none" w:sz="0" w:space="0" w:color="auto"/>
                      </w:divBdr>
                    </w:div>
                  </w:divsChild>
                </w:div>
                <w:div w:id="918901537">
                  <w:marLeft w:val="0"/>
                  <w:marRight w:val="0"/>
                  <w:marTop w:val="0"/>
                  <w:marBottom w:val="0"/>
                  <w:divBdr>
                    <w:top w:val="none" w:sz="0" w:space="0" w:color="auto"/>
                    <w:left w:val="none" w:sz="0" w:space="0" w:color="auto"/>
                    <w:bottom w:val="none" w:sz="0" w:space="0" w:color="auto"/>
                    <w:right w:val="none" w:sz="0" w:space="0" w:color="auto"/>
                  </w:divBdr>
                  <w:divsChild>
                    <w:div w:id="1203788801">
                      <w:marLeft w:val="0"/>
                      <w:marRight w:val="0"/>
                      <w:marTop w:val="0"/>
                      <w:marBottom w:val="0"/>
                      <w:divBdr>
                        <w:top w:val="none" w:sz="0" w:space="0" w:color="auto"/>
                        <w:left w:val="none" w:sz="0" w:space="0" w:color="auto"/>
                        <w:bottom w:val="none" w:sz="0" w:space="0" w:color="auto"/>
                        <w:right w:val="none" w:sz="0" w:space="0" w:color="auto"/>
                      </w:divBdr>
                    </w:div>
                  </w:divsChild>
                </w:div>
                <w:div w:id="932974677">
                  <w:marLeft w:val="0"/>
                  <w:marRight w:val="0"/>
                  <w:marTop w:val="0"/>
                  <w:marBottom w:val="0"/>
                  <w:divBdr>
                    <w:top w:val="none" w:sz="0" w:space="0" w:color="auto"/>
                    <w:left w:val="none" w:sz="0" w:space="0" w:color="auto"/>
                    <w:bottom w:val="none" w:sz="0" w:space="0" w:color="auto"/>
                    <w:right w:val="none" w:sz="0" w:space="0" w:color="auto"/>
                  </w:divBdr>
                  <w:divsChild>
                    <w:div w:id="365524101">
                      <w:marLeft w:val="0"/>
                      <w:marRight w:val="0"/>
                      <w:marTop w:val="0"/>
                      <w:marBottom w:val="0"/>
                      <w:divBdr>
                        <w:top w:val="none" w:sz="0" w:space="0" w:color="auto"/>
                        <w:left w:val="none" w:sz="0" w:space="0" w:color="auto"/>
                        <w:bottom w:val="none" w:sz="0" w:space="0" w:color="auto"/>
                        <w:right w:val="none" w:sz="0" w:space="0" w:color="auto"/>
                      </w:divBdr>
                    </w:div>
                  </w:divsChild>
                </w:div>
                <w:div w:id="1000231470">
                  <w:marLeft w:val="0"/>
                  <w:marRight w:val="0"/>
                  <w:marTop w:val="0"/>
                  <w:marBottom w:val="0"/>
                  <w:divBdr>
                    <w:top w:val="none" w:sz="0" w:space="0" w:color="auto"/>
                    <w:left w:val="none" w:sz="0" w:space="0" w:color="auto"/>
                    <w:bottom w:val="none" w:sz="0" w:space="0" w:color="auto"/>
                    <w:right w:val="none" w:sz="0" w:space="0" w:color="auto"/>
                  </w:divBdr>
                  <w:divsChild>
                    <w:div w:id="1372807306">
                      <w:marLeft w:val="0"/>
                      <w:marRight w:val="0"/>
                      <w:marTop w:val="0"/>
                      <w:marBottom w:val="0"/>
                      <w:divBdr>
                        <w:top w:val="none" w:sz="0" w:space="0" w:color="auto"/>
                        <w:left w:val="none" w:sz="0" w:space="0" w:color="auto"/>
                        <w:bottom w:val="none" w:sz="0" w:space="0" w:color="auto"/>
                        <w:right w:val="none" w:sz="0" w:space="0" w:color="auto"/>
                      </w:divBdr>
                    </w:div>
                  </w:divsChild>
                </w:div>
                <w:div w:id="1081296820">
                  <w:marLeft w:val="0"/>
                  <w:marRight w:val="0"/>
                  <w:marTop w:val="0"/>
                  <w:marBottom w:val="0"/>
                  <w:divBdr>
                    <w:top w:val="none" w:sz="0" w:space="0" w:color="auto"/>
                    <w:left w:val="none" w:sz="0" w:space="0" w:color="auto"/>
                    <w:bottom w:val="none" w:sz="0" w:space="0" w:color="auto"/>
                    <w:right w:val="none" w:sz="0" w:space="0" w:color="auto"/>
                  </w:divBdr>
                  <w:divsChild>
                    <w:div w:id="730232065">
                      <w:marLeft w:val="0"/>
                      <w:marRight w:val="0"/>
                      <w:marTop w:val="0"/>
                      <w:marBottom w:val="0"/>
                      <w:divBdr>
                        <w:top w:val="none" w:sz="0" w:space="0" w:color="auto"/>
                        <w:left w:val="none" w:sz="0" w:space="0" w:color="auto"/>
                        <w:bottom w:val="none" w:sz="0" w:space="0" w:color="auto"/>
                        <w:right w:val="none" w:sz="0" w:space="0" w:color="auto"/>
                      </w:divBdr>
                    </w:div>
                  </w:divsChild>
                </w:div>
                <w:div w:id="1138764458">
                  <w:marLeft w:val="0"/>
                  <w:marRight w:val="0"/>
                  <w:marTop w:val="0"/>
                  <w:marBottom w:val="0"/>
                  <w:divBdr>
                    <w:top w:val="none" w:sz="0" w:space="0" w:color="auto"/>
                    <w:left w:val="none" w:sz="0" w:space="0" w:color="auto"/>
                    <w:bottom w:val="none" w:sz="0" w:space="0" w:color="auto"/>
                    <w:right w:val="none" w:sz="0" w:space="0" w:color="auto"/>
                  </w:divBdr>
                  <w:divsChild>
                    <w:div w:id="62068235">
                      <w:marLeft w:val="0"/>
                      <w:marRight w:val="0"/>
                      <w:marTop w:val="0"/>
                      <w:marBottom w:val="0"/>
                      <w:divBdr>
                        <w:top w:val="none" w:sz="0" w:space="0" w:color="auto"/>
                        <w:left w:val="none" w:sz="0" w:space="0" w:color="auto"/>
                        <w:bottom w:val="none" w:sz="0" w:space="0" w:color="auto"/>
                        <w:right w:val="none" w:sz="0" w:space="0" w:color="auto"/>
                      </w:divBdr>
                    </w:div>
                  </w:divsChild>
                </w:div>
                <w:div w:id="1146237170">
                  <w:marLeft w:val="0"/>
                  <w:marRight w:val="0"/>
                  <w:marTop w:val="0"/>
                  <w:marBottom w:val="0"/>
                  <w:divBdr>
                    <w:top w:val="none" w:sz="0" w:space="0" w:color="auto"/>
                    <w:left w:val="none" w:sz="0" w:space="0" w:color="auto"/>
                    <w:bottom w:val="none" w:sz="0" w:space="0" w:color="auto"/>
                    <w:right w:val="none" w:sz="0" w:space="0" w:color="auto"/>
                  </w:divBdr>
                  <w:divsChild>
                    <w:div w:id="833108124">
                      <w:marLeft w:val="0"/>
                      <w:marRight w:val="0"/>
                      <w:marTop w:val="0"/>
                      <w:marBottom w:val="0"/>
                      <w:divBdr>
                        <w:top w:val="none" w:sz="0" w:space="0" w:color="auto"/>
                        <w:left w:val="none" w:sz="0" w:space="0" w:color="auto"/>
                        <w:bottom w:val="none" w:sz="0" w:space="0" w:color="auto"/>
                        <w:right w:val="none" w:sz="0" w:space="0" w:color="auto"/>
                      </w:divBdr>
                    </w:div>
                  </w:divsChild>
                </w:div>
                <w:div w:id="1210607899">
                  <w:marLeft w:val="0"/>
                  <w:marRight w:val="0"/>
                  <w:marTop w:val="0"/>
                  <w:marBottom w:val="0"/>
                  <w:divBdr>
                    <w:top w:val="none" w:sz="0" w:space="0" w:color="auto"/>
                    <w:left w:val="none" w:sz="0" w:space="0" w:color="auto"/>
                    <w:bottom w:val="none" w:sz="0" w:space="0" w:color="auto"/>
                    <w:right w:val="none" w:sz="0" w:space="0" w:color="auto"/>
                  </w:divBdr>
                  <w:divsChild>
                    <w:div w:id="1079062119">
                      <w:marLeft w:val="0"/>
                      <w:marRight w:val="0"/>
                      <w:marTop w:val="0"/>
                      <w:marBottom w:val="0"/>
                      <w:divBdr>
                        <w:top w:val="none" w:sz="0" w:space="0" w:color="auto"/>
                        <w:left w:val="none" w:sz="0" w:space="0" w:color="auto"/>
                        <w:bottom w:val="none" w:sz="0" w:space="0" w:color="auto"/>
                        <w:right w:val="none" w:sz="0" w:space="0" w:color="auto"/>
                      </w:divBdr>
                    </w:div>
                  </w:divsChild>
                </w:div>
                <w:div w:id="1236696820">
                  <w:marLeft w:val="0"/>
                  <w:marRight w:val="0"/>
                  <w:marTop w:val="0"/>
                  <w:marBottom w:val="0"/>
                  <w:divBdr>
                    <w:top w:val="none" w:sz="0" w:space="0" w:color="auto"/>
                    <w:left w:val="none" w:sz="0" w:space="0" w:color="auto"/>
                    <w:bottom w:val="none" w:sz="0" w:space="0" w:color="auto"/>
                    <w:right w:val="none" w:sz="0" w:space="0" w:color="auto"/>
                  </w:divBdr>
                  <w:divsChild>
                    <w:div w:id="1240023253">
                      <w:marLeft w:val="0"/>
                      <w:marRight w:val="0"/>
                      <w:marTop w:val="0"/>
                      <w:marBottom w:val="0"/>
                      <w:divBdr>
                        <w:top w:val="none" w:sz="0" w:space="0" w:color="auto"/>
                        <w:left w:val="none" w:sz="0" w:space="0" w:color="auto"/>
                        <w:bottom w:val="none" w:sz="0" w:space="0" w:color="auto"/>
                        <w:right w:val="none" w:sz="0" w:space="0" w:color="auto"/>
                      </w:divBdr>
                    </w:div>
                  </w:divsChild>
                </w:div>
                <w:div w:id="1260289448">
                  <w:marLeft w:val="0"/>
                  <w:marRight w:val="0"/>
                  <w:marTop w:val="0"/>
                  <w:marBottom w:val="0"/>
                  <w:divBdr>
                    <w:top w:val="none" w:sz="0" w:space="0" w:color="auto"/>
                    <w:left w:val="none" w:sz="0" w:space="0" w:color="auto"/>
                    <w:bottom w:val="none" w:sz="0" w:space="0" w:color="auto"/>
                    <w:right w:val="none" w:sz="0" w:space="0" w:color="auto"/>
                  </w:divBdr>
                  <w:divsChild>
                    <w:div w:id="1326594504">
                      <w:marLeft w:val="0"/>
                      <w:marRight w:val="0"/>
                      <w:marTop w:val="0"/>
                      <w:marBottom w:val="0"/>
                      <w:divBdr>
                        <w:top w:val="none" w:sz="0" w:space="0" w:color="auto"/>
                        <w:left w:val="none" w:sz="0" w:space="0" w:color="auto"/>
                        <w:bottom w:val="none" w:sz="0" w:space="0" w:color="auto"/>
                        <w:right w:val="none" w:sz="0" w:space="0" w:color="auto"/>
                      </w:divBdr>
                    </w:div>
                  </w:divsChild>
                </w:div>
                <w:div w:id="1262031732">
                  <w:marLeft w:val="0"/>
                  <w:marRight w:val="0"/>
                  <w:marTop w:val="0"/>
                  <w:marBottom w:val="0"/>
                  <w:divBdr>
                    <w:top w:val="none" w:sz="0" w:space="0" w:color="auto"/>
                    <w:left w:val="none" w:sz="0" w:space="0" w:color="auto"/>
                    <w:bottom w:val="none" w:sz="0" w:space="0" w:color="auto"/>
                    <w:right w:val="none" w:sz="0" w:space="0" w:color="auto"/>
                  </w:divBdr>
                  <w:divsChild>
                    <w:div w:id="1539509197">
                      <w:marLeft w:val="0"/>
                      <w:marRight w:val="0"/>
                      <w:marTop w:val="0"/>
                      <w:marBottom w:val="0"/>
                      <w:divBdr>
                        <w:top w:val="none" w:sz="0" w:space="0" w:color="auto"/>
                        <w:left w:val="none" w:sz="0" w:space="0" w:color="auto"/>
                        <w:bottom w:val="none" w:sz="0" w:space="0" w:color="auto"/>
                        <w:right w:val="none" w:sz="0" w:space="0" w:color="auto"/>
                      </w:divBdr>
                    </w:div>
                  </w:divsChild>
                </w:div>
                <w:div w:id="1371761477">
                  <w:marLeft w:val="0"/>
                  <w:marRight w:val="0"/>
                  <w:marTop w:val="0"/>
                  <w:marBottom w:val="0"/>
                  <w:divBdr>
                    <w:top w:val="none" w:sz="0" w:space="0" w:color="auto"/>
                    <w:left w:val="none" w:sz="0" w:space="0" w:color="auto"/>
                    <w:bottom w:val="none" w:sz="0" w:space="0" w:color="auto"/>
                    <w:right w:val="none" w:sz="0" w:space="0" w:color="auto"/>
                  </w:divBdr>
                  <w:divsChild>
                    <w:div w:id="1723676291">
                      <w:marLeft w:val="0"/>
                      <w:marRight w:val="0"/>
                      <w:marTop w:val="0"/>
                      <w:marBottom w:val="0"/>
                      <w:divBdr>
                        <w:top w:val="none" w:sz="0" w:space="0" w:color="auto"/>
                        <w:left w:val="none" w:sz="0" w:space="0" w:color="auto"/>
                        <w:bottom w:val="none" w:sz="0" w:space="0" w:color="auto"/>
                        <w:right w:val="none" w:sz="0" w:space="0" w:color="auto"/>
                      </w:divBdr>
                    </w:div>
                  </w:divsChild>
                </w:div>
                <w:div w:id="1375229784">
                  <w:marLeft w:val="0"/>
                  <w:marRight w:val="0"/>
                  <w:marTop w:val="0"/>
                  <w:marBottom w:val="0"/>
                  <w:divBdr>
                    <w:top w:val="none" w:sz="0" w:space="0" w:color="auto"/>
                    <w:left w:val="none" w:sz="0" w:space="0" w:color="auto"/>
                    <w:bottom w:val="none" w:sz="0" w:space="0" w:color="auto"/>
                    <w:right w:val="none" w:sz="0" w:space="0" w:color="auto"/>
                  </w:divBdr>
                  <w:divsChild>
                    <w:div w:id="1975325793">
                      <w:marLeft w:val="0"/>
                      <w:marRight w:val="0"/>
                      <w:marTop w:val="0"/>
                      <w:marBottom w:val="0"/>
                      <w:divBdr>
                        <w:top w:val="none" w:sz="0" w:space="0" w:color="auto"/>
                        <w:left w:val="none" w:sz="0" w:space="0" w:color="auto"/>
                        <w:bottom w:val="none" w:sz="0" w:space="0" w:color="auto"/>
                        <w:right w:val="none" w:sz="0" w:space="0" w:color="auto"/>
                      </w:divBdr>
                    </w:div>
                  </w:divsChild>
                </w:div>
                <w:div w:id="1391461245">
                  <w:marLeft w:val="0"/>
                  <w:marRight w:val="0"/>
                  <w:marTop w:val="0"/>
                  <w:marBottom w:val="0"/>
                  <w:divBdr>
                    <w:top w:val="none" w:sz="0" w:space="0" w:color="auto"/>
                    <w:left w:val="none" w:sz="0" w:space="0" w:color="auto"/>
                    <w:bottom w:val="none" w:sz="0" w:space="0" w:color="auto"/>
                    <w:right w:val="none" w:sz="0" w:space="0" w:color="auto"/>
                  </w:divBdr>
                  <w:divsChild>
                    <w:div w:id="1241871454">
                      <w:marLeft w:val="0"/>
                      <w:marRight w:val="0"/>
                      <w:marTop w:val="0"/>
                      <w:marBottom w:val="0"/>
                      <w:divBdr>
                        <w:top w:val="none" w:sz="0" w:space="0" w:color="auto"/>
                        <w:left w:val="none" w:sz="0" w:space="0" w:color="auto"/>
                        <w:bottom w:val="none" w:sz="0" w:space="0" w:color="auto"/>
                        <w:right w:val="none" w:sz="0" w:space="0" w:color="auto"/>
                      </w:divBdr>
                    </w:div>
                  </w:divsChild>
                </w:div>
                <w:div w:id="1397627446">
                  <w:marLeft w:val="0"/>
                  <w:marRight w:val="0"/>
                  <w:marTop w:val="0"/>
                  <w:marBottom w:val="0"/>
                  <w:divBdr>
                    <w:top w:val="none" w:sz="0" w:space="0" w:color="auto"/>
                    <w:left w:val="none" w:sz="0" w:space="0" w:color="auto"/>
                    <w:bottom w:val="none" w:sz="0" w:space="0" w:color="auto"/>
                    <w:right w:val="none" w:sz="0" w:space="0" w:color="auto"/>
                  </w:divBdr>
                  <w:divsChild>
                    <w:div w:id="2053338559">
                      <w:marLeft w:val="0"/>
                      <w:marRight w:val="0"/>
                      <w:marTop w:val="0"/>
                      <w:marBottom w:val="0"/>
                      <w:divBdr>
                        <w:top w:val="none" w:sz="0" w:space="0" w:color="auto"/>
                        <w:left w:val="none" w:sz="0" w:space="0" w:color="auto"/>
                        <w:bottom w:val="none" w:sz="0" w:space="0" w:color="auto"/>
                        <w:right w:val="none" w:sz="0" w:space="0" w:color="auto"/>
                      </w:divBdr>
                    </w:div>
                  </w:divsChild>
                </w:div>
                <w:div w:id="1399668199">
                  <w:marLeft w:val="0"/>
                  <w:marRight w:val="0"/>
                  <w:marTop w:val="0"/>
                  <w:marBottom w:val="0"/>
                  <w:divBdr>
                    <w:top w:val="none" w:sz="0" w:space="0" w:color="auto"/>
                    <w:left w:val="none" w:sz="0" w:space="0" w:color="auto"/>
                    <w:bottom w:val="none" w:sz="0" w:space="0" w:color="auto"/>
                    <w:right w:val="none" w:sz="0" w:space="0" w:color="auto"/>
                  </w:divBdr>
                  <w:divsChild>
                    <w:div w:id="29310115">
                      <w:marLeft w:val="0"/>
                      <w:marRight w:val="0"/>
                      <w:marTop w:val="0"/>
                      <w:marBottom w:val="0"/>
                      <w:divBdr>
                        <w:top w:val="none" w:sz="0" w:space="0" w:color="auto"/>
                        <w:left w:val="none" w:sz="0" w:space="0" w:color="auto"/>
                        <w:bottom w:val="none" w:sz="0" w:space="0" w:color="auto"/>
                        <w:right w:val="none" w:sz="0" w:space="0" w:color="auto"/>
                      </w:divBdr>
                    </w:div>
                  </w:divsChild>
                </w:div>
                <w:div w:id="1417944404">
                  <w:marLeft w:val="0"/>
                  <w:marRight w:val="0"/>
                  <w:marTop w:val="0"/>
                  <w:marBottom w:val="0"/>
                  <w:divBdr>
                    <w:top w:val="none" w:sz="0" w:space="0" w:color="auto"/>
                    <w:left w:val="none" w:sz="0" w:space="0" w:color="auto"/>
                    <w:bottom w:val="none" w:sz="0" w:space="0" w:color="auto"/>
                    <w:right w:val="none" w:sz="0" w:space="0" w:color="auto"/>
                  </w:divBdr>
                  <w:divsChild>
                    <w:div w:id="1930967169">
                      <w:marLeft w:val="0"/>
                      <w:marRight w:val="0"/>
                      <w:marTop w:val="0"/>
                      <w:marBottom w:val="0"/>
                      <w:divBdr>
                        <w:top w:val="none" w:sz="0" w:space="0" w:color="auto"/>
                        <w:left w:val="none" w:sz="0" w:space="0" w:color="auto"/>
                        <w:bottom w:val="none" w:sz="0" w:space="0" w:color="auto"/>
                        <w:right w:val="none" w:sz="0" w:space="0" w:color="auto"/>
                      </w:divBdr>
                    </w:div>
                  </w:divsChild>
                </w:div>
                <w:div w:id="1581022781">
                  <w:marLeft w:val="0"/>
                  <w:marRight w:val="0"/>
                  <w:marTop w:val="0"/>
                  <w:marBottom w:val="0"/>
                  <w:divBdr>
                    <w:top w:val="none" w:sz="0" w:space="0" w:color="auto"/>
                    <w:left w:val="none" w:sz="0" w:space="0" w:color="auto"/>
                    <w:bottom w:val="none" w:sz="0" w:space="0" w:color="auto"/>
                    <w:right w:val="none" w:sz="0" w:space="0" w:color="auto"/>
                  </w:divBdr>
                  <w:divsChild>
                    <w:div w:id="984771490">
                      <w:marLeft w:val="0"/>
                      <w:marRight w:val="0"/>
                      <w:marTop w:val="0"/>
                      <w:marBottom w:val="0"/>
                      <w:divBdr>
                        <w:top w:val="none" w:sz="0" w:space="0" w:color="auto"/>
                        <w:left w:val="none" w:sz="0" w:space="0" w:color="auto"/>
                        <w:bottom w:val="none" w:sz="0" w:space="0" w:color="auto"/>
                        <w:right w:val="none" w:sz="0" w:space="0" w:color="auto"/>
                      </w:divBdr>
                    </w:div>
                  </w:divsChild>
                </w:div>
                <w:div w:id="1593976413">
                  <w:marLeft w:val="0"/>
                  <w:marRight w:val="0"/>
                  <w:marTop w:val="0"/>
                  <w:marBottom w:val="0"/>
                  <w:divBdr>
                    <w:top w:val="none" w:sz="0" w:space="0" w:color="auto"/>
                    <w:left w:val="none" w:sz="0" w:space="0" w:color="auto"/>
                    <w:bottom w:val="none" w:sz="0" w:space="0" w:color="auto"/>
                    <w:right w:val="none" w:sz="0" w:space="0" w:color="auto"/>
                  </w:divBdr>
                  <w:divsChild>
                    <w:div w:id="528104291">
                      <w:marLeft w:val="0"/>
                      <w:marRight w:val="0"/>
                      <w:marTop w:val="0"/>
                      <w:marBottom w:val="0"/>
                      <w:divBdr>
                        <w:top w:val="none" w:sz="0" w:space="0" w:color="auto"/>
                        <w:left w:val="none" w:sz="0" w:space="0" w:color="auto"/>
                        <w:bottom w:val="none" w:sz="0" w:space="0" w:color="auto"/>
                        <w:right w:val="none" w:sz="0" w:space="0" w:color="auto"/>
                      </w:divBdr>
                    </w:div>
                  </w:divsChild>
                </w:div>
                <w:div w:id="1629780763">
                  <w:marLeft w:val="0"/>
                  <w:marRight w:val="0"/>
                  <w:marTop w:val="0"/>
                  <w:marBottom w:val="0"/>
                  <w:divBdr>
                    <w:top w:val="none" w:sz="0" w:space="0" w:color="auto"/>
                    <w:left w:val="none" w:sz="0" w:space="0" w:color="auto"/>
                    <w:bottom w:val="none" w:sz="0" w:space="0" w:color="auto"/>
                    <w:right w:val="none" w:sz="0" w:space="0" w:color="auto"/>
                  </w:divBdr>
                  <w:divsChild>
                    <w:div w:id="1889487179">
                      <w:marLeft w:val="0"/>
                      <w:marRight w:val="0"/>
                      <w:marTop w:val="0"/>
                      <w:marBottom w:val="0"/>
                      <w:divBdr>
                        <w:top w:val="none" w:sz="0" w:space="0" w:color="auto"/>
                        <w:left w:val="none" w:sz="0" w:space="0" w:color="auto"/>
                        <w:bottom w:val="none" w:sz="0" w:space="0" w:color="auto"/>
                        <w:right w:val="none" w:sz="0" w:space="0" w:color="auto"/>
                      </w:divBdr>
                    </w:div>
                  </w:divsChild>
                </w:div>
                <w:div w:id="1651179522">
                  <w:marLeft w:val="0"/>
                  <w:marRight w:val="0"/>
                  <w:marTop w:val="0"/>
                  <w:marBottom w:val="0"/>
                  <w:divBdr>
                    <w:top w:val="none" w:sz="0" w:space="0" w:color="auto"/>
                    <w:left w:val="none" w:sz="0" w:space="0" w:color="auto"/>
                    <w:bottom w:val="none" w:sz="0" w:space="0" w:color="auto"/>
                    <w:right w:val="none" w:sz="0" w:space="0" w:color="auto"/>
                  </w:divBdr>
                  <w:divsChild>
                    <w:div w:id="1337268885">
                      <w:marLeft w:val="0"/>
                      <w:marRight w:val="0"/>
                      <w:marTop w:val="0"/>
                      <w:marBottom w:val="0"/>
                      <w:divBdr>
                        <w:top w:val="none" w:sz="0" w:space="0" w:color="auto"/>
                        <w:left w:val="none" w:sz="0" w:space="0" w:color="auto"/>
                        <w:bottom w:val="none" w:sz="0" w:space="0" w:color="auto"/>
                        <w:right w:val="none" w:sz="0" w:space="0" w:color="auto"/>
                      </w:divBdr>
                    </w:div>
                  </w:divsChild>
                </w:div>
                <w:div w:id="1663003869">
                  <w:marLeft w:val="0"/>
                  <w:marRight w:val="0"/>
                  <w:marTop w:val="0"/>
                  <w:marBottom w:val="0"/>
                  <w:divBdr>
                    <w:top w:val="none" w:sz="0" w:space="0" w:color="auto"/>
                    <w:left w:val="none" w:sz="0" w:space="0" w:color="auto"/>
                    <w:bottom w:val="none" w:sz="0" w:space="0" w:color="auto"/>
                    <w:right w:val="none" w:sz="0" w:space="0" w:color="auto"/>
                  </w:divBdr>
                  <w:divsChild>
                    <w:div w:id="336884016">
                      <w:marLeft w:val="0"/>
                      <w:marRight w:val="0"/>
                      <w:marTop w:val="0"/>
                      <w:marBottom w:val="0"/>
                      <w:divBdr>
                        <w:top w:val="none" w:sz="0" w:space="0" w:color="auto"/>
                        <w:left w:val="none" w:sz="0" w:space="0" w:color="auto"/>
                        <w:bottom w:val="none" w:sz="0" w:space="0" w:color="auto"/>
                        <w:right w:val="none" w:sz="0" w:space="0" w:color="auto"/>
                      </w:divBdr>
                    </w:div>
                  </w:divsChild>
                </w:div>
                <w:div w:id="1753047161">
                  <w:marLeft w:val="0"/>
                  <w:marRight w:val="0"/>
                  <w:marTop w:val="0"/>
                  <w:marBottom w:val="0"/>
                  <w:divBdr>
                    <w:top w:val="none" w:sz="0" w:space="0" w:color="auto"/>
                    <w:left w:val="none" w:sz="0" w:space="0" w:color="auto"/>
                    <w:bottom w:val="none" w:sz="0" w:space="0" w:color="auto"/>
                    <w:right w:val="none" w:sz="0" w:space="0" w:color="auto"/>
                  </w:divBdr>
                  <w:divsChild>
                    <w:div w:id="1838880605">
                      <w:marLeft w:val="0"/>
                      <w:marRight w:val="0"/>
                      <w:marTop w:val="0"/>
                      <w:marBottom w:val="0"/>
                      <w:divBdr>
                        <w:top w:val="none" w:sz="0" w:space="0" w:color="auto"/>
                        <w:left w:val="none" w:sz="0" w:space="0" w:color="auto"/>
                        <w:bottom w:val="none" w:sz="0" w:space="0" w:color="auto"/>
                        <w:right w:val="none" w:sz="0" w:space="0" w:color="auto"/>
                      </w:divBdr>
                    </w:div>
                  </w:divsChild>
                </w:div>
                <w:div w:id="1777215904">
                  <w:marLeft w:val="0"/>
                  <w:marRight w:val="0"/>
                  <w:marTop w:val="0"/>
                  <w:marBottom w:val="0"/>
                  <w:divBdr>
                    <w:top w:val="none" w:sz="0" w:space="0" w:color="auto"/>
                    <w:left w:val="none" w:sz="0" w:space="0" w:color="auto"/>
                    <w:bottom w:val="none" w:sz="0" w:space="0" w:color="auto"/>
                    <w:right w:val="none" w:sz="0" w:space="0" w:color="auto"/>
                  </w:divBdr>
                  <w:divsChild>
                    <w:div w:id="884217383">
                      <w:marLeft w:val="0"/>
                      <w:marRight w:val="0"/>
                      <w:marTop w:val="0"/>
                      <w:marBottom w:val="0"/>
                      <w:divBdr>
                        <w:top w:val="none" w:sz="0" w:space="0" w:color="auto"/>
                        <w:left w:val="none" w:sz="0" w:space="0" w:color="auto"/>
                        <w:bottom w:val="none" w:sz="0" w:space="0" w:color="auto"/>
                        <w:right w:val="none" w:sz="0" w:space="0" w:color="auto"/>
                      </w:divBdr>
                    </w:div>
                  </w:divsChild>
                </w:div>
                <w:div w:id="1781297990">
                  <w:marLeft w:val="0"/>
                  <w:marRight w:val="0"/>
                  <w:marTop w:val="0"/>
                  <w:marBottom w:val="0"/>
                  <w:divBdr>
                    <w:top w:val="none" w:sz="0" w:space="0" w:color="auto"/>
                    <w:left w:val="none" w:sz="0" w:space="0" w:color="auto"/>
                    <w:bottom w:val="none" w:sz="0" w:space="0" w:color="auto"/>
                    <w:right w:val="none" w:sz="0" w:space="0" w:color="auto"/>
                  </w:divBdr>
                  <w:divsChild>
                    <w:div w:id="2127842419">
                      <w:marLeft w:val="0"/>
                      <w:marRight w:val="0"/>
                      <w:marTop w:val="0"/>
                      <w:marBottom w:val="0"/>
                      <w:divBdr>
                        <w:top w:val="none" w:sz="0" w:space="0" w:color="auto"/>
                        <w:left w:val="none" w:sz="0" w:space="0" w:color="auto"/>
                        <w:bottom w:val="none" w:sz="0" w:space="0" w:color="auto"/>
                        <w:right w:val="none" w:sz="0" w:space="0" w:color="auto"/>
                      </w:divBdr>
                    </w:div>
                  </w:divsChild>
                </w:div>
                <w:div w:id="1804273192">
                  <w:marLeft w:val="0"/>
                  <w:marRight w:val="0"/>
                  <w:marTop w:val="0"/>
                  <w:marBottom w:val="0"/>
                  <w:divBdr>
                    <w:top w:val="none" w:sz="0" w:space="0" w:color="auto"/>
                    <w:left w:val="none" w:sz="0" w:space="0" w:color="auto"/>
                    <w:bottom w:val="none" w:sz="0" w:space="0" w:color="auto"/>
                    <w:right w:val="none" w:sz="0" w:space="0" w:color="auto"/>
                  </w:divBdr>
                  <w:divsChild>
                    <w:div w:id="1227447135">
                      <w:marLeft w:val="0"/>
                      <w:marRight w:val="0"/>
                      <w:marTop w:val="0"/>
                      <w:marBottom w:val="0"/>
                      <w:divBdr>
                        <w:top w:val="none" w:sz="0" w:space="0" w:color="auto"/>
                        <w:left w:val="none" w:sz="0" w:space="0" w:color="auto"/>
                        <w:bottom w:val="none" w:sz="0" w:space="0" w:color="auto"/>
                        <w:right w:val="none" w:sz="0" w:space="0" w:color="auto"/>
                      </w:divBdr>
                    </w:div>
                  </w:divsChild>
                </w:div>
                <w:div w:id="1866283866">
                  <w:marLeft w:val="0"/>
                  <w:marRight w:val="0"/>
                  <w:marTop w:val="0"/>
                  <w:marBottom w:val="0"/>
                  <w:divBdr>
                    <w:top w:val="none" w:sz="0" w:space="0" w:color="auto"/>
                    <w:left w:val="none" w:sz="0" w:space="0" w:color="auto"/>
                    <w:bottom w:val="none" w:sz="0" w:space="0" w:color="auto"/>
                    <w:right w:val="none" w:sz="0" w:space="0" w:color="auto"/>
                  </w:divBdr>
                  <w:divsChild>
                    <w:div w:id="1975596933">
                      <w:marLeft w:val="0"/>
                      <w:marRight w:val="0"/>
                      <w:marTop w:val="0"/>
                      <w:marBottom w:val="0"/>
                      <w:divBdr>
                        <w:top w:val="none" w:sz="0" w:space="0" w:color="auto"/>
                        <w:left w:val="none" w:sz="0" w:space="0" w:color="auto"/>
                        <w:bottom w:val="none" w:sz="0" w:space="0" w:color="auto"/>
                        <w:right w:val="none" w:sz="0" w:space="0" w:color="auto"/>
                      </w:divBdr>
                    </w:div>
                  </w:divsChild>
                </w:div>
                <w:div w:id="1928421403">
                  <w:marLeft w:val="0"/>
                  <w:marRight w:val="0"/>
                  <w:marTop w:val="0"/>
                  <w:marBottom w:val="0"/>
                  <w:divBdr>
                    <w:top w:val="none" w:sz="0" w:space="0" w:color="auto"/>
                    <w:left w:val="none" w:sz="0" w:space="0" w:color="auto"/>
                    <w:bottom w:val="none" w:sz="0" w:space="0" w:color="auto"/>
                    <w:right w:val="none" w:sz="0" w:space="0" w:color="auto"/>
                  </w:divBdr>
                  <w:divsChild>
                    <w:div w:id="989674576">
                      <w:marLeft w:val="0"/>
                      <w:marRight w:val="0"/>
                      <w:marTop w:val="0"/>
                      <w:marBottom w:val="0"/>
                      <w:divBdr>
                        <w:top w:val="none" w:sz="0" w:space="0" w:color="auto"/>
                        <w:left w:val="none" w:sz="0" w:space="0" w:color="auto"/>
                        <w:bottom w:val="none" w:sz="0" w:space="0" w:color="auto"/>
                        <w:right w:val="none" w:sz="0" w:space="0" w:color="auto"/>
                      </w:divBdr>
                    </w:div>
                  </w:divsChild>
                </w:div>
                <w:div w:id="1948348489">
                  <w:marLeft w:val="0"/>
                  <w:marRight w:val="0"/>
                  <w:marTop w:val="0"/>
                  <w:marBottom w:val="0"/>
                  <w:divBdr>
                    <w:top w:val="none" w:sz="0" w:space="0" w:color="auto"/>
                    <w:left w:val="none" w:sz="0" w:space="0" w:color="auto"/>
                    <w:bottom w:val="none" w:sz="0" w:space="0" w:color="auto"/>
                    <w:right w:val="none" w:sz="0" w:space="0" w:color="auto"/>
                  </w:divBdr>
                  <w:divsChild>
                    <w:div w:id="50662424">
                      <w:marLeft w:val="0"/>
                      <w:marRight w:val="0"/>
                      <w:marTop w:val="0"/>
                      <w:marBottom w:val="0"/>
                      <w:divBdr>
                        <w:top w:val="none" w:sz="0" w:space="0" w:color="auto"/>
                        <w:left w:val="none" w:sz="0" w:space="0" w:color="auto"/>
                        <w:bottom w:val="none" w:sz="0" w:space="0" w:color="auto"/>
                        <w:right w:val="none" w:sz="0" w:space="0" w:color="auto"/>
                      </w:divBdr>
                    </w:div>
                  </w:divsChild>
                </w:div>
                <w:div w:id="1950892067">
                  <w:marLeft w:val="0"/>
                  <w:marRight w:val="0"/>
                  <w:marTop w:val="0"/>
                  <w:marBottom w:val="0"/>
                  <w:divBdr>
                    <w:top w:val="none" w:sz="0" w:space="0" w:color="auto"/>
                    <w:left w:val="none" w:sz="0" w:space="0" w:color="auto"/>
                    <w:bottom w:val="none" w:sz="0" w:space="0" w:color="auto"/>
                    <w:right w:val="none" w:sz="0" w:space="0" w:color="auto"/>
                  </w:divBdr>
                  <w:divsChild>
                    <w:div w:id="1150245614">
                      <w:marLeft w:val="0"/>
                      <w:marRight w:val="0"/>
                      <w:marTop w:val="0"/>
                      <w:marBottom w:val="0"/>
                      <w:divBdr>
                        <w:top w:val="none" w:sz="0" w:space="0" w:color="auto"/>
                        <w:left w:val="none" w:sz="0" w:space="0" w:color="auto"/>
                        <w:bottom w:val="none" w:sz="0" w:space="0" w:color="auto"/>
                        <w:right w:val="none" w:sz="0" w:space="0" w:color="auto"/>
                      </w:divBdr>
                    </w:div>
                  </w:divsChild>
                </w:div>
                <w:div w:id="1967008504">
                  <w:marLeft w:val="0"/>
                  <w:marRight w:val="0"/>
                  <w:marTop w:val="0"/>
                  <w:marBottom w:val="0"/>
                  <w:divBdr>
                    <w:top w:val="none" w:sz="0" w:space="0" w:color="auto"/>
                    <w:left w:val="none" w:sz="0" w:space="0" w:color="auto"/>
                    <w:bottom w:val="none" w:sz="0" w:space="0" w:color="auto"/>
                    <w:right w:val="none" w:sz="0" w:space="0" w:color="auto"/>
                  </w:divBdr>
                  <w:divsChild>
                    <w:div w:id="1611431618">
                      <w:marLeft w:val="0"/>
                      <w:marRight w:val="0"/>
                      <w:marTop w:val="0"/>
                      <w:marBottom w:val="0"/>
                      <w:divBdr>
                        <w:top w:val="none" w:sz="0" w:space="0" w:color="auto"/>
                        <w:left w:val="none" w:sz="0" w:space="0" w:color="auto"/>
                        <w:bottom w:val="none" w:sz="0" w:space="0" w:color="auto"/>
                        <w:right w:val="none" w:sz="0" w:space="0" w:color="auto"/>
                      </w:divBdr>
                    </w:div>
                  </w:divsChild>
                </w:div>
                <w:div w:id="2022776477">
                  <w:marLeft w:val="0"/>
                  <w:marRight w:val="0"/>
                  <w:marTop w:val="0"/>
                  <w:marBottom w:val="0"/>
                  <w:divBdr>
                    <w:top w:val="none" w:sz="0" w:space="0" w:color="auto"/>
                    <w:left w:val="none" w:sz="0" w:space="0" w:color="auto"/>
                    <w:bottom w:val="none" w:sz="0" w:space="0" w:color="auto"/>
                    <w:right w:val="none" w:sz="0" w:space="0" w:color="auto"/>
                  </w:divBdr>
                  <w:divsChild>
                    <w:div w:id="1098522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051380">
      <w:bodyDiv w:val="1"/>
      <w:marLeft w:val="0"/>
      <w:marRight w:val="0"/>
      <w:marTop w:val="0"/>
      <w:marBottom w:val="0"/>
      <w:divBdr>
        <w:top w:val="none" w:sz="0" w:space="0" w:color="auto"/>
        <w:left w:val="none" w:sz="0" w:space="0" w:color="auto"/>
        <w:bottom w:val="none" w:sz="0" w:space="0" w:color="auto"/>
        <w:right w:val="none" w:sz="0" w:space="0" w:color="auto"/>
      </w:divBdr>
    </w:div>
    <w:div w:id="1869370584">
      <w:bodyDiv w:val="1"/>
      <w:marLeft w:val="0"/>
      <w:marRight w:val="0"/>
      <w:marTop w:val="0"/>
      <w:marBottom w:val="0"/>
      <w:divBdr>
        <w:top w:val="none" w:sz="0" w:space="0" w:color="auto"/>
        <w:left w:val="none" w:sz="0" w:space="0" w:color="auto"/>
        <w:bottom w:val="none" w:sz="0" w:space="0" w:color="auto"/>
        <w:right w:val="none" w:sz="0" w:space="0" w:color="auto"/>
      </w:divBdr>
    </w:div>
    <w:div w:id="1871064253">
      <w:bodyDiv w:val="1"/>
      <w:marLeft w:val="0"/>
      <w:marRight w:val="0"/>
      <w:marTop w:val="0"/>
      <w:marBottom w:val="0"/>
      <w:divBdr>
        <w:top w:val="none" w:sz="0" w:space="0" w:color="auto"/>
        <w:left w:val="none" w:sz="0" w:space="0" w:color="auto"/>
        <w:bottom w:val="none" w:sz="0" w:space="0" w:color="auto"/>
        <w:right w:val="none" w:sz="0" w:space="0" w:color="auto"/>
      </w:divBdr>
    </w:div>
    <w:div w:id="1874227076">
      <w:bodyDiv w:val="1"/>
      <w:marLeft w:val="0"/>
      <w:marRight w:val="0"/>
      <w:marTop w:val="0"/>
      <w:marBottom w:val="0"/>
      <w:divBdr>
        <w:top w:val="none" w:sz="0" w:space="0" w:color="auto"/>
        <w:left w:val="none" w:sz="0" w:space="0" w:color="auto"/>
        <w:bottom w:val="none" w:sz="0" w:space="0" w:color="auto"/>
        <w:right w:val="none" w:sz="0" w:space="0" w:color="auto"/>
      </w:divBdr>
    </w:div>
    <w:div w:id="1874687849">
      <w:bodyDiv w:val="1"/>
      <w:marLeft w:val="0"/>
      <w:marRight w:val="0"/>
      <w:marTop w:val="0"/>
      <w:marBottom w:val="0"/>
      <w:divBdr>
        <w:top w:val="none" w:sz="0" w:space="0" w:color="auto"/>
        <w:left w:val="none" w:sz="0" w:space="0" w:color="auto"/>
        <w:bottom w:val="none" w:sz="0" w:space="0" w:color="auto"/>
        <w:right w:val="none" w:sz="0" w:space="0" w:color="auto"/>
      </w:divBdr>
    </w:div>
    <w:div w:id="1897427817">
      <w:bodyDiv w:val="1"/>
      <w:marLeft w:val="0"/>
      <w:marRight w:val="0"/>
      <w:marTop w:val="0"/>
      <w:marBottom w:val="0"/>
      <w:divBdr>
        <w:top w:val="none" w:sz="0" w:space="0" w:color="auto"/>
        <w:left w:val="none" w:sz="0" w:space="0" w:color="auto"/>
        <w:bottom w:val="none" w:sz="0" w:space="0" w:color="auto"/>
        <w:right w:val="none" w:sz="0" w:space="0" w:color="auto"/>
      </w:divBdr>
    </w:div>
    <w:div w:id="1912422799">
      <w:bodyDiv w:val="1"/>
      <w:marLeft w:val="0"/>
      <w:marRight w:val="0"/>
      <w:marTop w:val="0"/>
      <w:marBottom w:val="0"/>
      <w:divBdr>
        <w:top w:val="none" w:sz="0" w:space="0" w:color="auto"/>
        <w:left w:val="none" w:sz="0" w:space="0" w:color="auto"/>
        <w:bottom w:val="none" w:sz="0" w:space="0" w:color="auto"/>
        <w:right w:val="none" w:sz="0" w:space="0" w:color="auto"/>
      </w:divBdr>
    </w:div>
    <w:div w:id="1925914749">
      <w:bodyDiv w:val="1"/>
      <w:marLeft w:val="0"/>
      <w:marRight w:val="0"/>
      <w:marTop w:val="0"/>
      <w:marBottom w:val="0"/>
      <w:divBdr>
        <w:top w:val="none" w:sz="0" w:space="0" w:color="auto"/>
        <w:left w:val="none" w:sz="0" w:space="0" w:color="auto"/>
        <w:bottom w:val="none" w:sz="0" w:space="0" w:color="auto"/>
        <w:right w:val="none" w:sz="0" w:space="0" w:color="auto"/>
      </w:divBdr>
    </w:div>
    <w:div w:id="1925915475">
      <w:bodyDiv w:val="1"/>
      <w:marLeft w:val="0"/>
      <w:marRight w:val="0"/>
      <w:marTop w:val="0"/>
      <w:marBottom w:val="0"/>
      <w:divBdr>
        <w:top w:val="none" w:sz="0" w:space="0" w:color="auto"/>
        <w:left w:val="none" w:sz="0" w:space="0" w:color="auto"/>
        <w:bottom w:val="none" w:sz="0" w:space="0" w:color="auto"/>
        <w:right w:val="none" w:sz="0" w:space="0" w:color="auto"/>
      </w:divBdr>
    </w:div>
    <w:div w:id="1957324898">
      <w:bodyDiv w:val="1"/>
      <w:marLeft w:val="0"/>
      <w:marRight w:val="0"/>
      <w:marTop w:val="0"/>
      <w:marBottom w:val="0"/>
      <w:divBdr>
        <w:top w:val="none" w:sz="0" w:space="0" w:color="auto"/>
        <w:left w:val="none" w:sz="0" w:space="0" w:color="auto"/>
        <w:bottom w:val="none" w:sz="0" w:space="0" w:color="auto"/>
        <w:right w:val="none" w:sz="0" w:space="0" w:color="auto"/>
      </w:divBdr>
    </w:div>
    <w:div w:id="1968273593">
      <w:bodyDiv w:val="1"/>
      <w:marLeft w:val="0"/>
      <w:marRight w:val="0"/>
      <w:marTop w:val="0"/>
      <w:marBottom w:val="0"/>
      <w:divBdr>
        <w:top w:val="none" w:sz="0" w:space="0" w:color="auto"/>
        <w:left w:val="none" w:sz="0" w:space="0" w:color="auto"/>
        <w:bottom w:val="none" w:sz="0" w:space="0" w:color="auto"/>
        <w:right w:val="none" w:sz="0" w:space="0" w:color="auto"/>
      </w:divBdr>
      <w:divsChild>
        <w:div w:id="292056565">
          <w:marLeft w:val="274"/>
          <w:marRight w:val="0"/>
          <w:marTop w:val="0"/>
          <w:marBottom w:val="0"/>
          <w:divBdr>
            <w:top w:val="none" w:sz="0" w:space="0" w:color="auto"/>
            <w:left w:val="none" w:sz="0" w:space="0" w:color="auto"/>
            <w:bottom w:val="none" w:sz="0" w:space="0" w:color="auto"/>
            <w:right w:val="none" w:sz="0" w:space="0" w:color="auto"/>
          </w:divBdr>
        </w:div>
        <w:div w:id="666909280">
          <w:marLeft w:val="274"/>
          <w:marRight w:val="0"/>
          <w:marTop w:val="0"/>
          <w:marBottom w:val="0"/>
          <w:divBdr>
            <w:top w:val="none" w:sz="0" w:space="0" w:color="auto"/>
            <w:left w:val="none" w:sz="0" w:space="0" w:color="auto"/>
            <w:bottom w:val="none" w:sz="0" w:space="0" w:color="auto"/>
            <w:right w:val="none" w:sz="0" w:space="0" w:color="auto"/>
          </w:divBdr>
        </w:div>
        <w:div w:id="1204906921">
          <w:marLeft w:val="274"/>
          <w:marRight w:val="0"/>
          <w:marTop w:val="0"/>
          <w:marBottom w:val="0"/>
          <w:divBdr>
            <w:top w:val="none" w:sz="0" w:space="0" w:color="auto"/>
            <w:left w:val="none" w:sz="0" w:space="0" w:color="auto"/>
            <w:bottom w:val="none" w:sz="0" w:space="0" w:color="auto"/>
            <w:right w:val="none" w:sz="0" w:space="0" w:color="auto"/>
          </w:divBdr>
        </w:div>
        <w:div w:id="1298100575">
          <w:marLeft w:val="274"/>
          <w:marRight w:val="0"/>
          <w:marTop w:val="0"/>
          <w:marBottom w:val="0"/>
          <w:divBdr>
            <w:top w:val="none" w:sz="0" w:space="0" w:color="auto"/>
            <w:left w:val="none" w:sz="0" w:space="0" w:color="auto"/>
            <w:bottom w:val="none" w:sz="0" w:space="0" w:color="auto"/>
            <w:right w:val="none" w:sz="0" w:space="0" w:color="auto"/>
          </w:divBdr>
        </w:div>
        <w:div w:id="1359547043">
          <w:marLeft w:val="274"/>
          <w:marRight w:val="0"/>
          <w:marTop w:val="0"/>
          <w:marBottom w:val="0"/>
          <w:divBdr>
            <w:top w:val="none" w:sz="0" w:space="0" w:color="auto"/>
            <w:left w:val="none" w:sz="0" w:space="0" w:color="auto"/>
            <w:bottom w:val="none" w:sz="0" w:space="0" w:color="auto"/>
            <w:right w:val="none" w:sz="0" w:space="0" w:color="auto"/>
          </w:divBdr>
        </w:div>
        <w:div w:id="1707102350">
          <w:marLeft w:val="274"/>
          <w:marRight w:val="0"/>
          <w:marTop w:val="0"/>
          <w:marBottom w:val="0"/>
          <w:divBdr>
            <w:top w:val="none" w:sz="0" w:space="0" w:color="auto"/>
            <w:left w:val="none" w:sz="0" w:space="0" w:color="auto"/>
            <w:bottom w:val="none" w:sz="0" w:space="0" w:color="auto"/>
            <w:right w:val="none" w:sz="0" w:space="0" w:color="auto"/>
          </w:divBdr>
        </w:div>
        <w:div w:id="1808621660">
          <w:marLeft w:val="274"/>
          <w:marRight w:val="0"/>
          <w:marTop w:val="0"/>
          <w:marBottom w:val="0"/>
          <w:divBdr>
            <w:top w:val="none" w:sz="0" w:space="0" w:color="auto"/>
            <w:left w:val="none" w:sz="0" w:space="0" w:color="auto"/>
            <w:bottom w:val="none" w:sz="0" w:space="0" w:color="auto"/>
            <w:right w:val="none" w:sz="0" w:space="0" w:color="auto"/>
          </w:divBdr>
        </w:div>
        <w:div w:id="1861775111">
          <w:marLeft w:val="274"/>
          <w:marRight w:val="0"/>
          <w:marTop w:val="0"/>
          <w:marBottom w:val="0"/>
          <w:divBdr>
            <w:top w:val="none" w:sz="0" w:space="0" w:color="auto"/>
            <w:left w:val="none" w:sz="0" w:space="0" w:color="auto"/>
            <w:bottom w:val="none" w:sz="0" w:space="0" w:color="auto"/>
            <w:right w:val="none" w:sz="0" w:space="0" w:color="auto"/>
          </w:divBdr>
        </w:div>
      </w:divsChild>
    </w:div>
    <w:div w:id="1969621396">
      <w:bodyDiv w:val="1"/>
      <w:marLeft w:val="0"/>
      <w:marRight w:val="0"/>
      <w:marTop w:val="0"/>
      <w:marBottom w:val="0"/>
      <w:divBdr>
        <w:top w:val="none" w:sz="0" w:space="0" w:color="auto"/>
        <w:left w:val="none" w:sz="0" w:space="0" w:color="auto"/>
        <w:bottom w:val="none" w:sz="0" w:space="0" w:color="auto"/>
        <w:right w:val="none" w:sz="0" w:space="0" w:color="auto"/>
      </w:divBdr>
      <w:divsChild>
        <w:div w:id="22482240">
          <w:marLeft w:val="274"/>
          <w:marRight w:val="0"/>
          <w:marTop w:val="0"/>
          <w:marBottom w:val="0"/>
          <w:divBdr>
            <w:top w:val="none" w:sz="0" w:space="0" w:color="auto"/>
            <w:left w:val="none" w:sz="0" w:space="0" w:color="auto"/>
            <w:bottom w:val="none" w:sz="0" w:space="0" w:color="auto"/>
            <w:right w:val="none" w:sz="0" w:space="0" w:color="auto"/>
          </w:divBdr>
        </w:div>
        <w:div w:id="431751945">
          <w:marLeft w:val="274"/>
          <w:marRight w:val="0"/>
          <w:marTop w:val="0"/>
          <w:marBottom w:val="0"/>
          <w:divBdr>
            <w:top w:val="none" w:sz="0" w:space="0" w:color="auto"/>
            <w:left w:val="none" w:sz="0" w:space="0" w:color="auto"/>
            <w:bottom w:val="none" w:sz="0" w:space="0" w:color="auto"/>
            <w:right w:val="none" w:sz="0" w:space="0" w:color="auto"/>
          </w:divBdr>
        </w:div>
        <w:div w:id="438571249">
          <w:marLeft w:val="274"/>
          <w:marRight w:val="0"/>
          <w:marTop w:val="0"/>
          <w:marBottom w:val="0"/>
          <w:divBdr>
            <w:top w:val="none" w:sz="0" w:space="0" w:color="auto"/>
            <w:left w:val="none" w:sz="0" w:space="0" w:color="auto"/>
            <w:bottom w:val="none" w:sz="0" w:space="0" w:color="auto"/>
            <w:right w:val="none" w:sz="0" w:space="0" w:color="auto"/>
          </w:divBdr>
        </w:div>
        <w:div w:id="578756702">
          <w:marLeft w:val="274"/>
          <w:marRight w:val="0"/>
          <w:marTop w:val="0"/>
          <w:marBottom w:val="0"/>
          <w:divBdr>
            <w:top w:val="none" w:sz="0" w:space="0" w:color="auto"/>
            <w:left w:val="none" w:sz="0" w:space="0" w:color="auto"/>
            <w:bottom w:val="none" w:sz="0" w:space="0" w:color="auto"/>
            <w:right w:val="none" w:sz="0" w:space="0" w:color="auto"/>
          </w:divBdr>
        </w:div>
        <w:div w:id="798375958">
          <w:marLeft w:val="274"/>
          <w:marRight w:val="0"/>
          <w:marTop w:val="0"/>
          <w:marBottom w:val="0"/>
          <w:divBdr>
            <w:top w:val="none" w:sz="0" w:space="0" w:color="auto"/>
            <w:left w:val="none" w:sz="0" w:space="0" w:color="auto"/>
            <w:bottom w:val="none" w:sz="0" w:space="0" w:color="auto"/>
            <w:right w:val="none" w:sz="0" w:space="0" w:color="auto"/>
          </w:divBdr>
        </w:div>
        <w:div w:id="834033801">
          <w:marLeft w:val="274"/>
          <w:marRight w:val="0"/>
          <w:marTop w:val="0"/>
          <w:marBottom w:val="0"/>
          <w:divBdr>
            <w:top w:val="none" w:sz="0" w:space="0" w:color="auto"/>
            <w:left w:val="none" w:sz="0" w:space="0" w:color="auto"/>
            <w:bottom w:val="none" w:sz="0" w:space="0" w:color="auto"/>
            <w:right w:val="none" w:sz="0" w:space="0" w:color="auto"/>
          </w:divBdr>
        </w:div>
        <w:div w:id="1073815968">
          <w:marLeft w:val="274"/>
          <w:marRight w:val="0"/>
          <w:marTop w:val="0"/>
          <w:marBottom w:val="0"/>
          <w:divBdr>
            <w:top w:val="none" w:sz="0" w:space="0" w:color="auto"/>
            <w:left w:val="none" w:sz="0" w:space="0" w:color="auto"/>
            <w:bottom w:val="none" w:sz="0" w:space="0" w:color="auto"/>
            <w:right w:val="none" w:sz="0" w:space="0" w:color="auto"/>
          </w:divBdr>
        </w:div>
        <w:div w:id="1396733388">
          <w:marLeft w:val="274"/>
          <w:marRight w:val="0"/>
          <w:marTop w:val="0"/>
          <w:marBottom w:val="0"/>
          <w:divBdr>
            <w:top w:val="none" w:sz="0" w:space="0" w:color="auto"/>
            <w:left w:val="none" w:sz="0" w:space="0" w:color="auto"/>
            <w:bottom w:val="none" w:sz="0" w:space="0" w:color="auto"/>
            <w:right w:val="none" w:sz="0" w:space="0" w:color="auto"/>
          </w:divBdr>
        </w:div>
      </w:divsChild>
    </w:div>
    <w:div w:id="1990205155">
      <w:bodyDiv w:val="1"/>
      <w:marLeft w:val="0"/>
      <w:marRight w:val="0"/>
      <w:marTop w:val="0"/>
      <w:marBottom w:val="0"/>
      <w:divBdr>
        <w:top w:val="none" w:sz="0" w:space="0" w:color="auto"/>
        <w:left w:val="none" w:sz="0" w:space="0" w:color="auto"/>
        <w:bottom w:val="none" w:sz="0" w:space="0" w:color="auto"/>
        <w:right w:val="none" w:sz="0" w:space="0" w:color="auto"/>
      </w:divBdr>
      <w:divsChild>
        <w:div w:id="504638275">
          <w:marLeft w:val="0"/>
          <w:marRight w:val="0"/>
          <w:marTop w:val="0"/>
          <w:marBottom w:val="0"/>
          <w:divBdr>
            <w:top w:val="none" w:sz="0" w:space="0" w:color="auto"/>
            <w:left w:val="none" w:sz="0" w:space="0" w:color="auto"/>
            <w:bottom w:val="none" w:sz="0" w:space="0" w:color="auto"/>
            <w:right w:val="none" w:sz="0" w:space="0" w:color="auto"/>
          </w:divBdr>
          <w:divsChild>
            <w:div w:id="413863804">
              <w:marLeft w:val="-75"/>
              <w:marRight w:val="0"/>
              <w:marTop w:val="30"/>
              <w:marBottom w:val="30"/>
              <w:divBdr>
                <w:top w:val="none" w:sz="0" w:space="0" w:color="auto"/>
                <w:left w:val="none" w:sz="0" w:space="0" w:color="auto"/>
                <w:bottom w:val="none" w:sz="0" w:space="0" w:color="auto"/>
                <w:right w:val="none" w:sz="0" w:space="0" w:color="auto"/>
              </w:divBdr>
              <w:divsChild>
                <w:div w:id="18970252">
                  <w:marLeft w:val="0"/>
                  <w:marRight w:val="0"/>
                  <w:marTop w:val="0"/>
                  <w:marBottom w:val="0"/>
                  <w:divBdr>
                    <w:top w:val="none" w:sz="0" w:space="0" w:color="auto"/>
                    <w:left w:val="none" w:sz="0" w:space="0" w:color="auto"/>
                    <w:bottom w:val="none" w:sz="0" w:space="0" w:color="auto"/>
                    <w:right w:val="none" w:sz="0" w:space="0" w:color="auto"/>
                  </w:divBdr>
                  <w:divsChild>
                    <w:div w:id="1101529558">
                      <w:marLeft w:val="0"/>
                      <w:marRight w:val="0"/>
                      <w:marTop w:val="0"/>
                      <w:marBottom w:val="0"/>
                      <w:divBdr>
                        <w:top w:val="none" w:sz="0" w:space="0" w:color="auto"/>
                        <w:left w:val="none" w:sz="0" w:space="0" w:color="auto"/>
                        <w:bottom w:val="none" w:sz="0" w:space="0" w:color="auto"/>
                        <w:right w:val="none" w:sz="0" w:space="0" w:color="auto"/>
                      </w:divBdr>
                    </w:div>
                  </w:divsChild>
                </w:div>
                <w:div w:id="87971611">
                  <w:marLeft w:val="0"/>
                  <w:marRight w:val="0"/>
                  <w:marTop w:val="0"/>
                  <w:marBottom w:val="0"/>
                  <w:divBdr>
                    <w:top w:val="none" w:sz="0" w:space="0" w:color="auto"/>
                    <w:left w:val="none" w:sz="0" w:space="0" w:color="auto"/>
                    <w:bottom w:val="none" w:sz="0" w:space="0" w:color="auto"/>
                    <w:right w:val="none" w:sz="0" w:space="0" w:color="auto"/>
                  </w:divBdr>
                  <w:divsChild>
                    <w:div w:id="2060545635">
                      <w:marLeft w:val="0"/>
                      <w:marRight w:val="0"/>
                      <w:marTop w:val="0"/>
                      <w:marBottom w:val="0"/>
                      <w:divBdr>
                        <w:top w:val="none" w:sz="0" w:space="0" w:color="auto"/>
                        <w:left w:val="none" w:sz="0" w:space="0" w:color="auto"/>
                        <w:bottom w:val="none" w:sz="0" w:space="0" w:color="auto"/>
                        <w:right w:val="none" w:sz="0" w:space="0" w:color="auto"/>
                      </w:divBdr>
                    </w:div>
                  </w:divsChild>
                </w:div>
                <w:div w:id="134571872">
                  <w:marLeft w:val="0"/>
                  <w:marRight w:val="0"/>
                  <w:marTop w:val="0"/>
                  <w:marBottom w:val="0"/>
                  <w:divBdr>
                    <w:top w:val="none" w:sz="0" w:space="0" w:color="auto"/>
                    <w:left w:val="none" w:sz="0" w:space="0" w:color="auto"/>
                    <w:bottom w:val="none" w:sz="0" w:space="0" w:color="auto"/>
                    <w:right w:val="none" w:sz="0" w:space="0" w:color="auto"/>
                  </w:divBdr>
                  <w:divsChild>
                    <w:div w:id="294524569">
                      <w:marLeft w:val="0"/>
                      <w:marRight w:val="0"/>
                      <w:marTop w:val="0"/>
                      <w:marBottom w:val="0"/>
                      <w:divBdr>
                        <w:top w:val="none" w:sz="0" w:space="0" w:color="auto"/>
                        <w:left w:val="none" w:sz="0" w:space="0" w:color="auto"/>
                        <w:bottom w:val="none" w:sz="0" w:space="0" w:color="auto"/>
                        <w:right w:val="none" w:sz="0" w:space="0" w:color="auto"/>
                      </w:divBdr>
                    </w:div>
                  </w:divsChild>
                </w:div>
                <w:div w:id="169101725">
                  <w:marLeft w:val="0"/>
                  <w:marRight w:val="0"/>
                  <w:marTop w:val="0"/>
                  <w:marBottom w:val="0"/>
                  <w:divBdr>
                    <w:top w:val="none" w:sz="0" w:space="0" w:color="auto"/>
                    <w:left w:val="none" w:sz="0" w:space="0" w:color="auto"/>
                    <w:bottom w:val="none" w:sz="0" w:space="0" w:color="auto"/>
                    <w:right w:val="none" w:sz="0" w:space="0" w:color="auto"/>
                  </w:divBdr>
                  <w:divsChild>
                    <w:div w:id="1807043866">
                      <w:marLeft w:val="0"/>
                      <w:marRight w:val="0"/>
                      <w:marTop w:val="0"/>
                      <w:marBottom w:val="0"/>
                      <w:divBdr>
                        <w:top w:val="none" w:sz="0" w:space="0" w:color="auto"/>
                        <w:left w:val="none" w:sz="0" w:space="0" w:color="auto"/>
                        <w:bottom w:val="none" w:sz="0" w:space="0" w:color="auto"/>
                        <w:right w:val="none" w:sz="0" w:space="0" w:color="auto"/>
                      </w:divBdr>
                    </w:div>
                  </w:divsChild>
                </w:div>
                <w:div w:id="386537440">
                  <w:marLeft w:val="0"/>
                  <w:marRight w:val="0"/>
                  <w:marTop w:val="0"/>
                  <w:marBottom w:val="0"/>
                  <w:divBdr>
                    <w:top w:val="none" w:sz="0" w:space="0" w:color="auto"/>
                    <w:left w:val="none" w:sz="0" w:space="0" w:color="auto"/>
                    <w:bottom w:val="none" w:sz="0" w:space="0" w:color="auto"/>
                    <w:right w:val="none" w:sz="0" w:space="0" w:color="auto"/>
                  </w:divBdr>
                  <w:divsChild>
                    <w:div w:id="600723812">
                      <w:marLeft w:val="0"/>
                      <w:marRight w:val="0"/>
                      <w:marTop w:val="0"/>
                      <w:marBottom w:val="0"/>
                      <w:divBdr>
                        <w:top w:val="none" w:sz="0" w:space="0" w:color="auto"/>
                        <w:left w:val="none" w:sz="0" w:space="0" w:color="auto"/>
                        <w:bottom w:val="none" w:sz="0" w:space="0" w:color="auto"/>
                        <w:right w:val="none" w:sz="0" w:space="0" w:color="auto"/>
                      </w:divBdr>
                    </w:div>
                  </w:divsChild>
                </w:div>
                <w:div w:id="454295972">
                  <w:marLeft w:val="0"/>
                  <w:marRight w:val="0"/>
                  <w:marTop w:val="0"/>
                  <w:marBottom w:val="0"/>
                  <w:divBdr>
                    <w:top w:val="none" w:sz="0" w:space="0" w:color="auto"/>
                    <w:left w:val="none" w:sz="0" w:space="0" w:color="auto"/>
                    <w:bottom w:val="none" w:sz="0" w:space="0" w:color="auto"/>
                    <w:right w:val="none" w:sz="0" w:space="0" w:color="auto"/>
                  </w:divBdr>
                  <w:divsChild>
                    <w:div w:id="1454834715">
                      <w:marLeft w:val="0"/>
                      <w:marRight w:val="0"/>
                      <w:marTop w:val="0"/>
                      <w:marBottom w:val="0"/>
                      <w:divBdr>
                        <w:top w:val="none" w:sz="0" w:space="0" w:color="auto"/>
                        <w:left w:val="none" w:sz="0" w:space="0" w:color="auto"/>
                        <w:bottom w:val="none" w:sz="0" w:space="0" w:color="auto"/>
                        <w:right w:val="none" w:sz="0" w:space="0" w:color="auto"/>
                      </w:divBdr>
                    </w:div>
                  </w:divsChild>
                </w:div>
                <w:div w:id="657921019">
                  <w:marLeft w:val="0"/>
                  <w:marRight w:val="0"/>
                  <w:marTop w:val="0"/>
                  <w:marBottom w:val="0"/>
                  <w:divBdr>
                    <w:top w:val="none" w:sz="0" w:space="0" w:color="auto"/>
                    <w:left w:val="none" w:sz="0" w:space="0" w:color="auto"/>
                    <w:bottom w:val="none" w:sz="0" w:space="0" w:color="auto"/>
                    <w:right w:val="none" w:sz="0" w:space="0" w:color="auto"/>
                  </w:divBdr>
                  <w:divsChild>
                    <w:div w:id="316960370">
                      <w:marLeft w:val="0"/>
                      <w:marRight w:val="0"/>
                      <w:marTop w:val="0"/>
                      <w:marBottom w:val="0"/>
                      <w:divBdr>
                        <w:top w:val="none" w:sz="0" w:space="0" w:color="auto"/>
                        <w:left w:val="none" w:sz="0" w:space="0" w:color="auto"/>
                        <w:bottom w:val="none" w:sz="0" w:space="0" w:color="auto"/>
                        <w:right w:val="none" w:sz="0" w:space="0" w:color="auto"/>
                      </w:divBdr>
                    </w:div>
                  </w:divsChild>
                </w:div>
                <w:div w:id="895625733">
                  <w:marLeft w:val="0"/>
                  <w:marRight w:val="0"/>
                  <w:marTop w:val="0"/>
                  <w:marBottom w:val="0"/>
                  <w:divBdr>
                    <w:top w:val="none" w:sz="0" w:space="0" w:color="auto"/>
                    <w:left w:val="none" w:sz="0" w:space="0" w:color="auto"/>
                    <w:bottom w:val="none" w:sz="0" w:space="0" w:color="auto"/>
                    <w:right w:val="none" w:sz="0" w:space="0" w:color="auto"/>
                  </w:divBdr>
                  <w:divsChild>
                    <w:div w:id="275333429">
                      <w:marLeft w:val="0"/>
                      <w:marRight w:val="0"/>
                      <w:marTop w:val="0"/>
                      <w:marBottom w:val="0"/>
                      <w:divBdr>
                        <w:top w:val="none" w:sz="0" w:space="0" w:color="auto"/>
                        <w:left w:val="none" w:sz="0" w:space="0" w:color="auto"/>
                        <w:bottom w:val="none" w:sz="0" w:space="0" w:color="auto"/>
                        <w:right w:val="none" w:sz="0" w:space="0" w:color="auto"/>
                      </w:divBdr>
                    </w:div>
                  </w:divsChild>
                </w:div>
                <w:div w:id="962879099">
                  <w:marLeft w:val="0"/>
                  <w:marRight w:val="0"/>
                  <w:marTop w:val="0"/>
                  <w:marBottom w:val="0"/>
                  <w:divBdr>
                    <w:top w:val="none" w:sz="0" w:space="0" w:color="auto"/>
                    <w:left w:val="none" w:sz="0" w:space="0" w:color="auto"/>
                    <w:bottom w:val="none" w:sz="0" w:space="0" w:color="auto"/>
                    <w:right w:val="none" w:sz="0" w:space="0" w:color="auto"/>
                  </w:divBdr>
                  <w:divsChild>
                    <w:div w:id="1786148910">
                      <w:marLeft w:val="0"/>
                      <w:marRight w:val="0"/>
                      <w:marTop w:val="0"/>
                      <w:marBottom w:val="0"/>
                      <w:divBdr>
                        <w:top w:val="none" w:sz="0" w:space="0" w:color="auto"/>
                        <w:left w:val="none" w:sz="0" w:space="0" w:color="auto"/>
                        <w:bottom w:val="none" w:sz="0" w:space="0" w:color="auto"/>
                        <w:right w:val="none" w:sz="0" w:space="0" w:color="auto"/>
                      </w:divBdr>
                    </w:div>
                  </w:divsChild>
                </w:div>
                <w:div w:id="981737105">
                  <w:marLeft w:val="0"/>
                  <w:marRight w:val="0"/>
                  <w:marTop w:val="0"/>
                  <w:marBottom w:val="0"/>
                  <w:divBdr>
                    <w:top w:val="none" w:sz="0" w:space="0" w:color="auto"/>
                    <w:left w:val="none" w:sz="0" w:space="0" w:color="auto"/>
                    <w:bottom w:val="none" w:sz="0" w:space="0" w:color="auto"/>
                    <w:right w:val="none" w:sz="0" w:space="0" w:color="auto"/>
                  </w:divBdr>
                  <w:divsChild>
                    <w:div w:id="1419911338">
                      <w:marLeft w:val="0"/>
                      <w:marRight w:val="0"/>
                      <w:marTop w:val="0"/>
                      <w:marBottom w:val="0"/>
                      <w:divBdr>
                        <w:top w:val="none" w:sz="0" w:space="0" w:color="auto"/>
                        <w:left w:val="none" w:sz="0" w:space="0" w:color="auto"/>
                        <w:bottom w:val="none" w:sz="0" w:space="0" w:color="auto"/>
                        <w:right w:val="none" w:sz="0" w:space="0" w:color="auto"/>
                      </w:divBdr>
                    </w:div>
                  </w:divsChild>
                </w:div>
                <w:div w:id="1002509692">
                  <w:marLeft w:val="0"/>
                  <w:marRight w:val="0"/>
                  <w:marTop w:val="0"/>
                  <w:marBottom w:val="0"/>
                  <w:divBdr>
                    <w:top w:val="none" w:sz="0" w:space="0" w:color="auto"/>
                    <w:left w:val="none" w:sz="0" w:space="0" w:color="auto"/>
                    <w:bottom w:val="none" w:sz="0" w:space="0" w:color="auto"/>
                    <w:right w:val="none" w:sz="0" w:space="0" w:color="auto"/>
                  </w:divBdr>
                  <w:divsChild>
                    <w:div w:id="1039160858">
                      <w:marLeft w:val="0"/>
                      <w:marRight w:val="0"/>
                      <w:marTop w:val="0"/>
                      <w:marBottom w:val="0"/>
                      <w:divBdr>
                        <w:top w:val="none" w:sz="0" w:space="0" w:color="auto"/>
                        <w:left w:val="none" w:sz="0" w:space="0" w:color="auto"/>
                        <w:bottom w:val="none" w:sz="0" w:space="0" w:color="auto"/>
                        <w:right w:val="none" w:sz="0" w:space="0" w:color="auto"/>
                      </w:divBdr>
                    </w:div>
                  </w:divsChild>
                </w:div>
                <w:div w:id="1088967448">
                  <w:marLeft w:val="0"/>
                  <w:marRight w:val="0"/>
                  <w:marTop w:val="0"/>
                  <w:marBottom w:val="0"/>
                  <w:divBdr>
                    <w:top w:val="none" w:sz="0" w:space="0" w:color="auto"/>
                    <w:left w:val="none" w:sz="0" w:space="0" w:color="auto"/>
                    <w:bottom w:val="none" w:sz="0" w:space="0" w:color="auto"/>
                    <w:right w:val="none" w:sz="0" w:space="0" w:color="auto"/>
                  </w:divBdr>
                  <w:divsChild>
                    <w:div w:id="863438650">
                      <w:marLeft w:val="0"/>
                      <w:marRight w:val="0"/>
                      <w:marTop w:val="0"/>
                      <w:marBottom w:val="0"/>
                      <w:divBdr>
                        <w:top w:val="none" w:sz="0" w:space="0" w:color="auto"/>
                        <w:left w:val="none" w:sz="0" w:space="0" w:color="auto"/>
                        <w:bottom w:val="none" w:sz="0" w:space="0" w:color="auto"/>
                        <w:right w:val="none" w:sz="0" w:space="0" w:color="auto"/>
                      </w:divBdr>
                    </w:div>
                  </w:divsChild>
                </w:div>
                <w:div w:id="1115514624">
                  <w:marLeft w:val="0"/>
                  <w:marRight w:val="0"/>
                  <w:marTop w:val="0"/>
                  <w:marBottom w:val="0"/>
                  <w:divBdr>
                    <w:top w:val="none" w:sz="0" w:space="0" w:color="auto"/>
                    <w:left w:val="none" w:sz="0" w:space="0" w:color="auto"/>
                    <w:bottom w:val="none" w:sz="0" w:space="0" w:color="auto"/>
                    <w:right w:val="none" w:sz="0" w:space="0" w:color="auto"/>
                  </w:divBdr>
                  <w:divsChild>
                    <w:div w:id="2076929747">
                      <w:marLeft w:val="0"/>
                      <w:marRight w:val="0"/>
                      <w:marTop w:val="0"/>
                      <w:marBottom w:val="0"/>
                      <w:divBdr>
                        <w:top w:val="none" w:sz="0" w:space="0" w:color="auto"/>
                        <w:left w:val="none" w:sz="0" w:space="0" w:color="auto"/>
                        <w:bottom w:val="none" w:sz="0" w:space="0" w:color="auto"/>
                        <w:right w:val="none" w:sz="0" w:space="0" w:color="auto"/>
                      </w:divBdr>
                    </w:div>
                  </w:divsChild>
                </w:div>
                <w:div w:id="1167600378">
                  <w:marLeft w:val="0"/>
                  <w:marRight w:val="0"/>
                  <w:marTop w:val="0"/>
                  <w:marBottom w:val="0"/>
                  <w:divBdr>
                    <w:top w:val="none" w:sz="0" w:space="0" w:color="auto"/>
                    <w:left w:val="none" w:sz="0" w:space="0" w:color="auto"/>
                    <w:bottom w:val="none" w:sz="0" w:space="0" w:color="auto"/>
                    <w:right w:val="none" w:sz="0" w:space="0" w:color="auto"/>
                  </w:divBdr>
                  <w:divsChild>
                    <w:div w:id="446243881">
                      <w:marLeft w:val="0"/>
                      <w:marRight w:val="0"/>
                      <w:marTop w:val="0"/>
                      <w:marBottom w:val="0"/>
                      <w:divBdr>
                        <w:top w:val="none" w:sz="0" w:space="0" w:color="auto"/>
                        <w:left w:val="none" w:sz="0" w:space="0" w:color="auto"/>
                        <w:bottom w:val="none" w:sz="0" w:space="0" w:color="auto"/>
                        <w:right w:val="none" w:sz="0" w:space="0" w:color="auto"/>
                      </w:divBdr>
                    </w:div>
                  </w:divsChild>
                </w:div>
                <w:div w:id="1219585257">
                  <w:marLeft w:val="0"/>
                  <w:marRight w:val="0"/>
                  <w:marTop w:val="0"/>
                  <w:marBottom w:val="0"/>
                  <w:divBdr>
                    <w:top w:val="none" w:sz="0" w:space="0" w:color="auto"/>
                    <w:left w:val="none" w:sz="0" w:space="0" w:color="auto"/>
                    <w:bottom w:val="none" w:sz="0" w:space="0" w:color="auto"/>
                    <w:right w:val="none" w:sz="0" w:space="0" w:color="auto"/>
                  </w:divBdr>
                  <w:divsChild>
                    <w:div w:id="1093667012">
                      <w:marLeft w:val="0"/>
                      <w:marRight w:val="0"/>
                      <w:marTop w:val="0"/>
                      <w:marBottom w:val="0"/>
                      <w:divBdr>
                        <w:top w:val="none" w:sz="0" w:space="0" w:color="auto"/>
                        <w:left w:val="none" w:sz="0" w:space="0" w:color="auto"/>
                        <w:bottom w:val="none" w:sz="0" w:space="0" w:color="auto"/>
                        <w:right w:val="none" w:sz="0" w:space="0" w:color="auto"/>
                      </w:divBdr>
                    </w:div>
                  </w:divsChild>
                </w:div>
                <w:div w:id="1326475875">
                  <w:marLeft w:val="0"/>
                  <w:marRight w:val="0"/>
                  <w:marTop w:val="0"/>
                  <w:marBottom w:val="0"/>
                  <w:divBdr>
                    <w:top w:val="none" w:sz="0" w:space="0" w:color="auto"/>
                    <w:left w:val="none" w:sz="0" w:space="0" w:color="auto"/>
                    <w:bottom w:val="none" w:sz="0" w:space="0" w:color="auto"/>
                    <w:right w:val="none" w:sz="0" w:space="0" w:color="auto"/>
                  </w:divBdr>
                  <w:divsChild>
                    <w:div w:id="434981155">
                      <w:marLeft w:val="0"/>
                      <w:marRight w:val="0"/>
                      <w:marTop w:val="0"/>
                      <w:marBottom w:val="0"/>
                      <w:divBdr>
                        <w:top w:val="none" w:sz="0" w:space="0" w:color="auto"/>
                        <w:left w:val="none" w:sz="0" w:space="0" w:color="auto"/>
                        <w:bottom w:val="none" w:sz="0" w:space="0" w:color="auto"/>
                        <w:right w:val="none" w:sz="0" w:space="0" w:color="auto"/>
                      </w:divBdr>
                    </w:div>
                  </w:divsChild>
                </w:div>
                <w:div w:id="1406417985">
                  <w:marLeft w:val="0"/>
                  <w:marRight w:val="0"/>
                  <w:marTop w:val="0"/>
                  <w:marBottom w:val="0"/>
                  <w:divBdr>
                    <w:top w:val="none" w:sz="0" w:space="0" w:color="auto"/>
                    <w:left w:val="none" w:sz="0" w:space="0" w:color="auto"/>
                    <w:bottom w:val="none" w:sz="0" w:space="0" w:color="auto"/>
                    <w:right w:val="none" w:sz="0" w:space="0" w:color="auto"/>
                  </w:divBdr>
                  <w:divsChild>
                    <w:div w:id="207496784">
                      <w:marLeft w:val="0"/>
                      <w:marRight w:val="0"/>
                      <w:marTop w:val="0"/>
                      <w:marBottom w:val="0"/>
                      <w:divBdr>
                        <w:top w:val="none" w:sz="0" w:space="0" w:color="auto"/>
                        <w:left w:val="none" w:sz="0" w:space="0" w:color="auto"/>
                        <w:bottom w:val="none" w:sz="0" w:space="0" w:color="auto"/>
                        <w:right w:val="none" w:sz="0" w:space="0" w:color="auto"/>
                      </w:divBdr>
                    </w:div>
                  </w:divsChild>
                </w:div>
                <w:div w:id="1432897909">
                  <w:marLeft w:val="0"/>
                  <w:marRight w:val="0"/>
                  <w:marTop w:val="0"/>
                  <w:marBottom w:val="0"/>
                  <w:divBdr>
                    <w:top w:val="none" w:sz="0" w:space="0" w:color="auto"/>
                    <w:left w:val="none" w:sz="0" w:space="0" w:color="auto"/>
                    <w:bottom w:val="none" w:sz="0" w:space="0" w:color="auto"/>
                    <w:right w:val="none" w:sz="0" w:space="0" w:color="auto"/>
                  </w:divBdr>
                  <w:divsChild>
                    <w:div w:id="1006909593">
                      <w:marLeft w:val="0"/>
                      <w:marRight w:val="0"/>
                      <w:marTop w:val="0"/>
                      <w:marBottom w:val="0"/>
                      <w:divBdr>
                        <w:top w:val="none" w:sz="0" w:space="0" w:color="auto"/>
                        <w:left w:val="none" w:sz="0" w:space="0" w:color="auto"/>
                        <w:bottom w:val="none" w:sz="0" w:space="0" w:color="auto"/>
                        <w:right w:val="none" w:sz="0" w:space="0" w:color="auto"/>
                      </w:divBdr>
                    </w:div>
                  </w:divsChild>
                </w:div>
                <w:div w:id="1459185669">
                  <w:marLeft w:val="0"/>
                  <w:marRight w:val="0"/>
                  <w:marTop w:val="0"/>
                  <w:marBottom w:val="0"/>
                  <w:divBdr>
                    <w:top w:val="none" w:sz="0" w:space="0" w:color="auto"/>
                    <w:left w:val="none" w:sz="0" w:space="0" w:color="auto"/>
                    <w:bottom w:val="none" w:sz="0" w:space="0" w:color="auto"/>
                    <w:right w:val="none" w:sz="0" w:space="0" w:color="auto"/>
                  </w:divBdr>
                  <w:divsChild>
                    <w:div w:id="682047821">
                      <w:marLeft w:val="0"/>
                      <w:marRight w:val="0"/>
                      <w:marTop w:val="0"/>
                      <w:marBottom w:val="0"/>
                      <w:divBdr>
                        <w:top w:val="none" w:sz="0" w:space="0" w:color="auto"/>
                        <w:left w:val="none" w:sz="0" w:space="0" w:color="auto"/>
                        <w:bottom w:val="none" w:sz="0" w:space="0" w:color="auto"/>
                        <w:right w:val="none" w:sz="0" w:space="0" w:color="auto"/>
                      </w:divBdr>
                    </w:div>
                  </w:divsChild>
                </w:div>
                <w:div w:id="1473212284">
                  <w:marLeft w:val="0"/>
                  <w:marRight w:val="0"/>
                  <w:marTop w:val="0"/>
                  <w:marBottom w:val="0"/>
                  <w:divBdr>
                    <w:top w:val="none" w:sz="0" w:space="0" w:color="auto"/>
                    <w:left w:val="none" w:sz="0" w:space="0" w:color="auto"/>
                    <w:bottom w:val="none" w:sz="0" w:space="0" w:color="auto"/>
                    <w:right w:val="none" w:sz="0" w:space="0" w:color="auto"/>
                  </w:divBdr>
                  <w:divsChild>
                    <w:div w:id="1621911932">
                      <w:marLeft w:val="0"/>
                      <w:marRight w:val="0"/>
                      <w:marTop w:val="0"/>
                      <w:marBottom w:val="0"/>
                      <w:divBdr>
                        <w:top w:val="none" w:sz="0" w:space="0" w:color="auto"/>
                        <w:left w:val="none" w:sz="0" w:space="0" w:color="auto"/>
                        <w:bottom w:val="none" w:sz="0" w:space="0" w:color="auto"/>
                        <w:right w:val="none" w:sz="0" w:space="0" w:color="auto"/>
                      </w:divBdr>
                    </w:div>
                  </w:divsChild>
                </w:div>
                <w:div w:id="1521967684">
                  <w:marLeft w:val="0"/>
                  <w:marRight w:val="0"/>
                  <w:marTop w:val="0"/>
                  <w:marBottom w:val="0"/>
                  <w:divBdr>
                    <w:top w:val="none" w:sz="0" w:space="0" w:color="auto"/>
                    <w:left w:val="none" w:sz="0" w:space="0" w:color="auto"/>
                    <w:bottom w:val="none" w:sz="0" w:space="0" w:color="auto"/>
                    <w:right w:val="none" w:sz="0" w:space="0" w:color="auto"/>
                  </w:divBdr>
                  <w:divsChild>
                    <w:div w:id="1447702026">
                      <w:marLeft w:val="0"/>
                      <w:marRight w:val="0"/>
                      <w:marTop w:val="0"/>
                      <w:marBottom w:val="0"/>
                      <w:divBdr>
                        <w:top w:val="none" w:sz="0" w:space="0" w:color="auto"/>
                        <w:left w:val="none" w:sz="0" w:space="0" w:color="auto"/>
                        <w:bottom w:val="none" w:sz="0" w:space="0" w:color="auto"/>
                        <w:right w:val="none" w:sz="0" w:space="0" w:color="auto"/>
                      </w:divBdr>
                    </w:div>
                  </w:divsChild>
                </w:div>
                <w:div w:id="1526406608">
                  <w:marLeft w:val="0"/>
                  <w:marRight w:val="0"/>
                  <w:marTop w:val="0"/>
                  <w:marBottom w:val="0"/>
                  <w:divBdr>
                    <w:top w:val="none" w:sz="0" w:space="0" w:color="auto"/>
                    <w:left w:val="none" w:sz="0" w:space="0" w:color="auto"/>
                    <w:bottom w:val="none" w:sz="0" w:space="0" w:color="auto"/>
                    <w:right w:val="none" w:sz="0" w:space="0" w:color="auto"/>
                  </w:divBdr>
                  <w:divsChild>
                    <w:div w:id="1135565596">
                      <w:marLeft w:val="0"/>
                      <w:marRight w:val="0"/>
                      <w:marTop w:val="0"/>
                      <w:marBottom w:val="0"/>
                      <w:divBdr>
                        <w:top w:val="none" w:sz="0" w:space="0" w:color="auto"/>
                        <w:left w:val="none" w:sz="0" w:space="0" w:color="auto"/>
                        <w:bottom w:val="none" w:sz="0" w:space="0" w:color="auto"/>
                        <w:right w:val="none" w:sz="0" w:space="0" w:color="auto"/>
                      </w:divBdr>
                    </w:div>
                  </w:divsChild>
                </w:div>
                <w:div w:id="1556694778">
                  <w:marLeft w:val="0"/>
                  <w:marRight w:val="0"/>
                  <w:marTop w:val="0"/>
                  <w:marBottom w:val="0"/>
                  <w:divBdr>
                    <w:top w:val="none" w:sz="0" w:space="0" w:color="auto"/>
                    <w:left w:val="none" w:sz="0" w:space="0" w:color="auto"/>
                    <w:bottom w:val="none" w:sz="0" w:space="0" w:color="auto"/>
                    <w:right w:val="none" w:sz="0" w:space="0" w:color="auto"/>
                  </w:divBdr>
                  <w:divsChild>
                    <w:div w:id="918950412">
                      <w:marLeft w:val="0"/>
                      <w:marRight w:val="0"/>
                      <w:marTop w:val="0"/>
                      <w:marBottom w:val="0"/>
                      <w:divBdr>
                        <w:top w:val="none" w:sz="0" w:space="0" w:color="auto"/>
                        <w:left w:val="none" w:sz="0" w:space="0" w:color="auto"/>
                        <w:bottom w:val="none" w:sz="0" w:space="0" w:color="auto"/>
                        <w:right w:val="none" w:sz="0" w:space="0" w:color="auto"/>
                      </w:divBdr>
                    </w:div>
                  </w:divsChild>
                </w:div>
                <w:div w:id="1640725296">
                  <w:marLeft w:val="0"/>
                  <w:marRight w:val="0"/>
                  <w:marTop w:val="0"/>
                  <w:marBottom w:val="0"/>
                  <w:divBdr>
                    <w:top w:val="none" w:sz="0" w:space="0" w:color="auto"/>
                    <w:left w:val="none" w:sz="0" w:space="0" w:color="auto"/>
                    <w:bottom w:val="none" w:sz="0" w:space="0" w:color="auto"/>
                    <w:right w:val="none" w:sz="0" w:space="0" w:color="auto"/>
                  </w:divBdr>
                  <w:divsChild>
                    <w:div w:id="303513864">
                      <w:marLeft w:val="0"/>
                      <w:marRight w:val="0"/>
                      <w:marTop w:val="0"/>
                      <w:marBottom w:val="0"/>
                      <w:divBdr>
                        <w:top w:val="none" w:sz="0" w:space="0" w:color="auto"/>
                        <w:left w:val="none" w:sz="0" w:space="0" w:color="auto"/>
                        <w:bottom w:val="none" w:sz="0" w:space="0" w:color="auto"/>
                        <w:right w:val="none" w:sz="0" w:space="0" w:color="auto"/>
                      </w:divBdr>
                    </w:div>
                  </w:divsChild>
                </w:div>
                <w:div w:id="1662077020">
                  <w:marLeft w:val="0"/>
                  <w:marRight w:val="0"/>
                  <w:marTop w:val="0"/>
                  <w:marBottom w:val="0"/>
                  <w:divBdr>
                    <w:top w:val="none" w:sz="0" w:space="0" w:color="auto"/>
                    <w:left w:val="none" w:sz="0" w:space="0" w:color="auto"/>
                    <w:bottom w:val="none" w:sz="0" w:space="0" w:color="auto"/>
                    <w:right w:val="none" w:sz="0" w:space="0" w:color="auto"/>
                  </w:divBdr>
                  <w:divsChild>
                    <w:div w:id="1437866188">
                      <w:marLeft w:val="0"/>
                      <w:marRight w:val="0"/>
                      <w:marTop w:val="0"/>
                      <w:marBottom w:val="0"/>
                      <w:divBdr>
                        <w:top w:val="none" w:sz="0" w:space="0" w:color="auto"/>
                        <w:left w:val="none" w:sz="0" w:space="0" w:color="auto"/>
                        <w:bottom w:val="none" w:sz="0" w:space="0" w:color="auto"/>
                        <w:right w:val="none" w:sz="0" w:space="0" w:color="auto"/>
                      </w:divBdr>
                    </w:div>
                  </w:divsChild>
                </w:div>
                <w:div w:id="1710950365">
                  <w:marLeft w:val="0"/>
                  <w:marRight w:val="0"/>
                  <w:marTop w:val="0"/>
                  <w:marBottom w:val="0"/>
                  <w:divBdr>
                    <w:top w:val="none" w:sz="0" w:space="0" w:color="auto"/>
                    <w:left w:val="none" w:sz="0" w:space="0" w:color="auto"/>
                    <w:bottom w:val="none" w:sz="0" w:space="0" w:color="auto"/>
                    <w:right w:val="none" w:sz="0" w:space="0" w:color="auto"/>
                  </w:divBdr>
                  <w:divsChild>
                    <w:div w:id="1043090857">
                      <w:marLeft w:val="0"/>
                      <w:marRight w:val="0"/>
                      <w:marTop w:val="0"/>
                      <w:marBottom w:val="0"/>
                      <w:divBdr>
                        <w:top w:val="none" w:sz="0" w:space="0" w:color="auto"/>
                        <w:left w:val="none" w:sz="0" w:space="0" w:color="auto"/>
                        <w:bottom w:val="none" w:sz="0" w:space="0" w:color="auto"/>
                        <w:right w:val="none" w:sz="0" w:space="0" w:color="auto"/>
                      </w:divBdr>
                    </w:div>
                  </w:divsChild>
                </w:div>
                <w:div w:id="1760635683">
                  <w:marLeft w:val="0"/>
                  <w:marRight w:val="0"/>
                  <w:marTop w:val="0"/>
                  <w:marBottom w:val="0"/>
                  <w:divBdr>
                    <w:top w:val="none" w:sz="0" w:space="0" w:color="auto"/>
                    <w:left w:val="none" w:sz="0" w:space="0" w:color="auto"/>
                    <w:bottom w:val="none" w:sz="0" w:space="0" w:color="auto"/>
                    <w:right w:val="none" w:sz="0" w:space="0" w:color="auto"/>
                  </w:divBdr>
                  <w:divsChild>
                    <w:div w:id="1346253490">
                      <w:marLeft w:val="0"/>
                      <w:marRight w:val="0"/>
                      <w:marTop w:val="0"/>
                      <w:marBottom w:val="0"/>
                      <w:divBdr>
                        <w:top w:val="none" w:sz="0" w:space="0" w:color="auto"/>
                        <w:left w:val="none" w:sz="0" w:space="0" w:color="auto"/>
                        <w:bottom w:val="none" w:sz="0" w:space="0" w:color="auto"/>
                        <w:right w:val="none" w:sz="0" w:space="0" w:color="auto"/>
                      </w:divBdr>
                    </w:div>
                  </w:divsChild>
                </w:div>
                <w:div w:id="1813323751">
                  <w:marLeft w:val="0"/>
                  <w:marRight w:val="0"/>
                  <w:marTop w:val="0"/>
                  <w:marBottom w:val="0"/>
                  <w:divBdr>
                    <w:top w:val="none" w:sz="0" w:space="0" w:color="auto"/>
                    <w:left w:val="none" w:sz="0" w:space="0" w:color="auto"/>
                    <w:bottom w:val="none" w:sz="0" w:space="0" w:color="auto"/>
                    <w:right w:val="none" w:sz="0" w:space="0" w:color="auto"/>
                  </w:divBdr>
                  <w:divsChild>
                    <w:div w:id="608322404">
                      <w:marLeft w:val="0"/>
                      <w:marRight w:val="0"/>
                      <w:marTop w:val="0"/>
                      <w:marBottom w:val="0"/>
                      <w:divBdr>
                        <w:top w:val="none" w:sz="0" w:space="0" w:color="auto"/>
                        <w:left w:val="none" w:sz="0" w:space="0" w:color="auto"/>
                        <w:bottom w:val="none" w:sz="0" w:space="0" w:color="auto"/>
                        <w:right w:val="none" w:sz="0" w:space="0" w:color="auto"/>
                      </w:divBdr>
                    </w:div>
                  </w:divsChild>
                </w:div>
                <w:div w:id="1872496030">
                  <w:marLeft w:val="0"/>
                  <w:marRight w:val="0"/>
                  <w:marTop w:val="0"/>
                  <w:marBottom w:val="0"/>
                  <w:divBdr>
                    <w:top w:val="none" w:sz="0" w:space="0" w:color="auto"/>
                    <w:left w:val="none" w:sz="0" w:space="0" w:color="auto"/>
                    <w:bottom w:val="none" w:sz="0" w:space="0" w:color="auto"/>
                    <w:right w:val="none" w:sz="0" w:space="0" w:color="auto"/>
                  </w:divBdr>
                  <w:divsChild>
                    <w:div w:id="1981156943">
                      <w:marLeft w:val="0"/>
                      <w:marRight w:val="0"/>
                      <w:marTop w:val="0"/>
                      <w:marBottom w:val="0"/>
                      <w:divBdr>
                        <w:top w:val="none" w:sz="0" w:space="0" w:color="auto"/>
                        <w:left w:val="none" w:sz="0" w:space="0" w:color="auto"/>
                        <w:bottom w:val="none" w:sz="0" w:space="0" w:color="auto"/>
                        <w:right w:val="none" w:sz="0" w:space="0" w:color="auto"/>
                      </w:divBdr>
                    </w:div>
                  </w:divsChild>
                </w:div>
                <w:div w:id="1892569268">
                  <w:marLeft w:val="0"/>
                  <w:marRight w:val="0"/>
                  <w:marTop w:val="0"/>
                  <w:marBottom w:val="0"/>
                  <w:divBdr>
                    <w:top w:val="none" w:sz="0" w:space="0" w:color="auto"/>
                    <w:left w:val="none" w:sz="0" w:space="0" w:color="auto"/>
                    <w:bottom w:val="none" w:sz="0" w:space="0" w:color="auto"/>
                    <w:right w:val="none" w:sz="0" w:space="0" w:color="auto"/>
                  </w:divBdr>
                  <w:divsChild>
                    <w:div w:id="2107649844">
                      <w:marLeft w:val="0"/>
                      <w:marRight w:val="0"/>
                      <w:marTop w:val="0"/>
                      <w:marBottom w:val="0"/>
                      <w:divBdr>
                        <w:top w:val="none" w:sz="0" w:space="0" w:color="auto"/>
                        <w:left w:val="none" w:sz="0" w:space="0" w:color="auto"/>
                        <w:bottom w:val="none" w:sz="0" w:space="0" w:color="auto"/>
                        <w:right w:val="none" w:sz="0" w:space="0" w:color="auto"/>
                      </w:divBdr>
                    </w:div>
                  </w:divsChild>
                </w:div>
                <w:div w:id="1904441515">
                  <w:marLeft w:val="0"/>
                  <w:marRight w:val="0"/>
                  <w:marTop w:val="0"/>
                  <w:marBottom w:val="0"/>
                  <w:divBdr>
                    <w:top w:val="none" w:sz="0" w:space="0" w:color="auto"/>
                    <w:left w:val="none" w:sz="0" w:space="0" w:color="auto"/>
                    <w:bottom w:val="none" w:sz="0" w:space="0" w:color="auto"/>
                    <w:right w:val="none" w:sz="0" w:space="0" w:color="auto"/>
                  </w:divBdr>
                  <w:divsChild>
                    <w:div w:id="1851991686">
                      <w:marLeft w:val="0"/>
                      <w:marRight w:val="0"/>
                      <w:marTop w:val="0"/>
                      <w:marBottom w:val="0"/>
                      <w:divBdr>
                        <w:top w:val="none" w:sz="0" w:space="0" w:color="auto"/>
                        <w:left w:val="none" w:sz="0" w:space="0" w:color="auto"/>
                        <w:bottom w:val="none" w:sz="0" w:space="0" w:color="auto"/>
                        <w:right w:val="none" w:sz="0" w:space="0" w:color="auto"/>
                      </w:divBdr>
                    </w:div>
                  </w:divsChild>
                </w:div>
                <w:div w:id="2003117960">
                  <w:marLeft w:val="0"/>
                  <w:marRight w:val="0"/>
                  <w:marTop w:val="0"/>
                  <w:marBottom w:val="0"/>
                  <w:divBdr>
                    <w:top w:val="none" w:sz="0" w:space="0" w:color="auto"/>
                    <w:left w:val="none" w:sz="0" w:space="0" w:color="auto"/>
                    <w:bottom w:val="none" w:sz="0" w:space="0" w:color="auto"/>
                    <w:right w:val="none" w:sz="0" w:space="0" w:color="auto"/>
                  </w:divBdr>
                  <w:divsChild>
                    <w:div w:id="46224119">
                      <w:marLeft w:val="0"/>
                      <w:marRight w:val="0"/>
                      <w:marTop w:val="0"/>
                      <w:marBottom w:val="0"/>
                      <w:divBdr>
                        <w:top w:val="none" w:sz="0" w:space="0" w:color="auto"/>
                        <w:left w:val="none" w:sz="0" w:space="0" w:color="auto"/>
                        <w:bottom w:val="none" w:sz="0" w:space="0" w:color="auto"/>
                        <w:right w:val="none" w:sz="0" w:space="0" w:color="auto"/>
                      </w:divBdr>
                    </w:div>
                  </w:divsChild>
                </w:div>
                <w:div w:id="2097165461">
                  <w:marLeft w:val="0"/>
                  <w:marRight w:val="0"/>
                  <w:marTop w:val="0"/>
                  <w:marBottom w:val="0"/>
                  <w:divBdr>
                    <w:top w:val="none" w:sz="0" w:space="0" w:color="auto"/>
                    <w:left w:val="none" w:sz="0" w:space="0" w:color="auto"/>
                    <w:bottom w:val="none" w:sz="0" w:space="0" w:color="auto"/>
                    <w:right w:val="none" w:sz="0" w:space="0" w:color="auto"/>
                  </w:divBdr>
                  <w:divsChild>
                    <w:div w:id="162670301">
                      <w:marLeft w:val="0"/>
                      <w:marRight w:val="0"/>
                      <w:marTop w:val="0"/>
                      <w:marBottom w:val="0"/>
                      <w:divBdr>
                        <w:top w:val="none" w:sz="0" w:space="0" w:color="auto"/>
                        <w:left w:val="none" w:sz="0" w:space="0" w:color="auto"/>
                        <w:bottom w:val="none" w:sz="0" w:space="0" w:color="auto"/>
                        <w:right w:val="none" w:sz="0" w:space="0" w:color="auto"/>
                      </w:divBdr>
                    </w:div>
                  </w:divsChild>
                </w:div>
                <w:div w:id="2100448038">
                  <w:marLeft w:val="0"/>
                  <w:marRight w:val="0"/>
                  <w:marTop w:val="0"/>
                  <w:marBottom w:val="0"/>
                  <w:divBdr>
                    <w:top w:val="none" w:sz="0" w:space="0" w:color="auto"/>
                    <w:left w:val="none" w:sz="0" w:space="0" w:color="auto"/>
                    <w:bottom w:val="none" w:sz="0" w:space="0" w:color="auto"/>
                    <w:right w:val="none" w:sz="0" w:space="0" w:color="auto"/>
                  </w:divBdr>
                  <w:divsChild>
                    <w:div w:id="1592591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809211">
          <w:marLeft w:val="0"/>
          <w:marRight w:val="0"/>
          <w:marTop w:val="0"/>
          <w:marBottom w:val="0"/>
          <w:divBdr>
            <w:top w:val="none" w:sz="0" w:space="0" w:color="auto"/>
            <w:left w:val="none" w:sz="0" w:space="0" w:color="auto"/>
            <w:bottom w:val="none" w:sz="0" w:space="0" w:color="auto"/>
            <w:right w:val="none" w:sz="0" w:space="0" w:color="auto"/>
          </w:divBdr>
        </w:div>
        <w:div w:id="1089152492">
          <w:marLeft w:val="0"/>
          <w:marRight w:val="0"/>
          <w:marTop w:val="0"/>
          <w:marBottom w:val="0"/>
          <w:divBdr>
            <w:top w:val="none" w:sz="0" w:space="0" w:color="auto"/>
            <w:left w:val="none" w:sz="0" w:space="0" w:color="auto"/>
            <w:bottom w:val="none" w:sz="0" w:space="0" w:color="auto"/>
            <w:right w:val="none" w:sz="0" w:space="0" w:color="auto"/>
          </w:divBdr>
        </w:div>
      </w:divsChild>
    </w:div>
    <w:div w:id="1992589233">
      <w:bodyDiv w:val="1"/>
      <w:marLeft w:val="0"/>
      <w:marRight w:val="0"/>
      <w:marTop w:val="0"/>
      <w:marBottom w:val="0"/>
      <w:divBdr>
        <w:top w:val="none" w:sz="0" w:space="0" w:color="auto"/>
        <w:left w:val="none" w:sz="0" w:space="0" w:color="auto"/>
        <w:bottom w:val="none" w:sz="0" w:space="0" w:color="auto"/>
        <w:right w:val="none" w:sz="0" w:space="0" w:color="auto"/>
      </w:divBdr>
    </w:div>
    <w:div w:id="2014213119">
      <w:bodyDiv w:val="1"/>
      <w:marLeft w:val="0"/>
      <w:marRight w:val="0"/>
      <w:marTop w:val="0"/>
      <w:marBottom w:val="0"/>
      <w:divBdr>
        <w:top w:val="none" w:sz="0" w:space="0" w:color="auto"/>
        <w:left w:val="none" w:sz="0" w:space="0" w:color="auto"/>
        <w:bottom w:val="none" w:sz="0" w:space="0" w:color="auto"/>
        <w:right w:val="none" w:sz="0" w:space="0" w:color="auto"/>
      </w:divBdr>
    </w:div>
    <w:div w:id="2063480167">
      <w:bodyDiv w:val="1"/>
      <w:marLeft w:val="0"/>
      <w:marRight w:val="0"/>
      <w:marTop w:val="0"/>
      <w:marBottom w:val="0"/>
      <w:divBdr>
        <w:top w:val="none" w:sz="0" w:space="0" w:color="auto"/>
        <w:left w:val="none" w:sz="0" w:space="0" w:color="auto"/>
        <w:bottom w:val="none" w:sz="0" w:space="0" w:color="auto"/>
        <w:right w:val="none" w:sz="0" w:space="0" w:color="auto"/>
      </w:divBdr>
    </w:div>
    <w:div w:id="2065637383">
      <w:bodyDiv w:val="1"/>
      <w:marLeft w:val="0"/>
      <w:marRight w:val="0"/>
      <w:marTop w:val="0"/>
      <w:marBottom w:val="0"/>
      <w:divBdr>
        <w:top w:val="none" w:sz="0" w:space="0" w:color="auto"/>
        <w:left w:val="none" w:sz="0" w:space="0" w:color="auto"/>
        <w:bottom w:val="none" w:sz="0" w:space="0" w:color="auto"/>
        <w:right w:val="none" w:sz="0" w:space="0" w:color="auto"/>
      </w:divBdr>
    </w:div>
    <w:div w:id="2066709911">
      <w:bodyDiv w:val="1"/>
      <w:marLeft w:val="0"/>
      <w:marRight w:val="0"/>
      <w:marTop w:val="0"/>
      <w:marBottom w:val="0"/>
      <w:divBdr>
        <w:top w:val="none" w:sz="0" w:space="0" w:color="auto"/>
        <w:left w:val="none" w:sz="0" w:space="0" w:color="auto"/>
        <w:bottom w:val="none" w:sz="0" w:space="0" w:color="auto"/>
        <w:right w:val="none" w:sz="0" w:space="0" w:color="auto"/>
      </w:divBdr>
    </w:div>
    <w:div w:id="2076270581">
      <w:bodyDiv w:val="1"/>
      <w:marLeft w:val="0"/>
      <w:marRight w:val="0"/>
      <w:marTop w:val="0"/>
      <w:marBottom w:val="0"/>
      <w:divBdr>
        <w:top w:val="none" w:sz="0" w:space="0" w:color="auto"/>
        <w:left w:val="none" w:sz="0" w:space="0" w:color="auto"/>
        <w:bottom w:val="none" w:sz="0" w:space="0" w:color="auto"/>
        <w:right w:val="none" w:sz="0" w:space="0" w:color="auto"/>
      </w:divBdr>
    </w:div>
    <w:div w:id="2076850077">
      <w:bodyDiv w:val="1"/>
      <w:marLeft w:val="0"/>
      <w:marRight w:val="0"/>
      <w:marTop w:val="0"/>
      <w:marBottom w:val="0"/>
      <w:divBdr>
        <w:top w:val="none" w:sz="0" w:space="0" w:color="auto"/>
        <w:left w:val="none" w:sz="0" w:space="0" w:color="auto"/>
        <w:bottom w:val="none" w:sz="0" w:space="0" w:color="auto"/>
        <w:right w:val="none" w:sz="0" w:space="0" w:color="auto"/>
      </w:divBdr>
    </w:div>
    <w:div w:id="2084402568">
      <w:bodyDiv w:val="1"/>
      <w:marLeft w:val="0"/>
      <w:marRight w:val="0"/>
      <w:marTop w:val="0"/>
      <w:marBottom w:val="0"/>
      <w:divBdr>
        <w:top w:val="none" w:sz="0" w:space="0" w:color="auto"/>
        <w:left w:val="none" w:sz="0" w:space="0" w:color="auto"/>
        <w:bottom w:val="none" w:sz="0" w:space="0" w:color="auto"/>
        <w:right w:val="none" w:sz="0" w:space="0" w:color="auto"/>
      </w:divBdr>
      <w:divsChild>
        <w:div w:id="1235503752">
          <w:marLeft w:val="1714"/>
          <w:marRight w:val="0"/>
          <w:marTop w:val="0"/>
          <w:marBottom w:val="0"/>
          <w:divBdr>
            <w:top w:val="none" w:sz="0" w:space="0" w:color="auto"/>
            <w:left w:val="none" w:sz="0" w:space="0" w:color="auto"/>
            <w:bottom w:val="none" w:sz="0" w:space="0" w:color="auto"/>
            <w:right w:val="none" w:sz="0" w:space="0" w:color="auto"/>
          </w:divBdr>
        </w:div>
        <w:div w:id="1529559911">
          <w:marLeft w:val="1714"/>
          <w:marRight w:val="0"/>
          <w:marTop w:val="0"/>
          <w:marBottom w:val="0"/>
          <w:divBdr>
            <w:top w:val="none" w:sz="0" w:space="0" w:color="auto"/>
            <w:left w:val="none" w:sz="0" w:space="0" w:color="auto"/>
            <w:bottom w:val="none" w:sz="0" w:space="0" w:color="auto"/>
            <w:right w:val="none" w:sz="0" w:space="0" w:color="auto"/>
          </w:divBdr>
        </w:div>
        <w:div w:id="1947536924">
          <w:marLeft w:val="1714"/>
          <w:marRight w:val="0"/>
          <w:marTop w:val="0"/>
          <w:marBottom w:val="0"/>
          <w:divBdr>
            <w:top w:val="none" w:sz="0" w:space="0" w:color="auto"/>
            <w:left w:val="none" w:sz="0" w:space="0" w:color="auto"/>
            <w:bottom w:val="none" w:sz="0" w:space="0" w:color="auto"/>
            <w:right w:val="none" w:sz="0" w:space="0" w:color="auto"/>
          </w:divBdr>
        </w:div>
        <w:div w:id="1999772118">
          <w:marLeft w:val="994"/>
          <w:marRight w:val="0"/>
          <w:marTop w:val="0"/>
          <w:marBottom w:val="0"/>
          <w:divBdr>
            <w:top w:val="none" w:sz="0" w:space="0" w:color="auto"/>
            <w:left w:val="none" w:sz="0" w:space="0" w:color="auto"/>
            <w:bottom w:val="none" w:sz="0" w:space="0" w:color="auto"/>
            <w:right w:val="none" w:sz="0" w:space="0" w:color="auto"/>
          </w:divBdr>
        </w:div>
      </w:divsChild>
    </w:div>
    <w:div w:id="2107263785">
      <w:bodyDiv w:val="1"/>
      <w:marLeft w:val="0"/>
      <w:marRight w:val="0"/>
      <w:marTop w:val="0"/>
      <w:marBottom w:val="0"/>
      <w:divBdr>
        <w:top w:val="none" w:sz="0" w:space="0" w:color="auto"/>
        <w:left w:val="none" w:sz="0" w:space="0" w:color="auto"/>
        <w:bottom w:val="none" w:sz="0" w:space="0" w:color="auto"/>
        <w:right w:val="none" w:sz="0" w:space="0" w:color="auto"/>
      </w:divBdr>
    </w:div>
    <w:div w:id="2114354777">
      <w:bodyDiv w:val="1"/>
      <w:marLeft w:val="0"/>
      <w:marRight w:val="0"/>
      <w:marTop w:val="0"/>
      <w:marBottom w:val="0"/>
      <w:divBdr>
        <w:top w:val="none" w:sz="0" w:space="0" w:color="auto"/>
        <w:left w:val="none" w:sz="0" w:space="0" w:color="auto"/>
        <w:bottom w:val="none" w:sz="0" w:space="0" w:color="auto"/>
        <w:right w:val="none" w:sz="0" w:space="0" w:color="auto"/>
      </w:divBdr>
    </w:div>
    <w:div w:id="2137209552">
      <w:bodyDiv w:val="1"/>
      <w:marLeft w:val="0"/>
      <w:marRight w:val="0"/>
      <w:marTop w:val="0"/>
      <w:marBottom w:val="0"/>
      <w:divBdr>
        <w:top w:val="none" w:sz="0" w:space="0" w:color="auto"/>
        <w:left w:val="none" w:sz="0" w:space="0" w:color="auto"/>
        <w:bottom w:val="none" w:sz="0" w:space="0" w:color="auto"/>
        <w:right w:val="none" w:sz="0" w:space="0" w:color="auto"/>
      </w:divBdr>
      <w:divsChild>
        <w:div w:id="1078978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16" Type="http://schemas.openxmlformats.org/officeDocument/2006/relationships/image" Target="media/image5.png"/><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header" Target="header6.xml"/><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header" Target="header3.xml"/><Relationship Id="rId77"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9.png"/><Relationship Id="rId72" Type="http://schemas.openxmlformats.org/officeDocument/2006/relationships/image" Target="media/image57.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footer" Target="footer3.xml"/><Relationship Id="rId75"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eader" Target="header2.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header" Target="header5.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hyperlink" Target="https://www.ncver.edu.au/research-and-statistics/data/databuilder" TargetMode="External"/><Relationship Id="rId39" Type="http://schemas.openxmlformats.org/officeDocument/2006/relationships/image" Target="media/image27.pn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4.xml"/><Relationship Id="rId2" Type="http://schemas.openxmlformats.org/officeDocument/2006/relationships/numbering" Target="numbering.xml"/><Relationship Id="rId29" Type="http://schemas.openxmlformats.org/officeDocument/2006/relationships/image" Target="media/image17.png"/></Relationships>
</file>

<file path=word/_rels/endnotes.xml.rels><?xml version="1.0" encoding="UTF-8" standalone="yes"?>
<Relationships xmlns="http://schemas.openxmlformats.org/package/2006/relationships"><Relationship Id="rId26" Type="http://schemas.openxmlformats.org/officeDocument/2006/relationships/hyperlink" Target="https://link.springer.com/chapter/10.1007/978-981-16-6474-8_26" TargetMode="External"/><Relationship Id="rId21" Type="http://schemas.openxmlformats.org/officeDocument/2006/relationships/hyperlink" Target="https://training.gov.au/Training/Details/FSK" TargetMode="External"/><Relationship Id="rId34" Type="http://schemas.openxmlformats.org/officeDocument/2006/relationships/hyperlink" Target="https://www.ncver.edu.au/__data/assets/pdf_file/0033/9662271/Building_capability_quality_VET_teaching_Revision.pdf" TargetMode="External"/><Relationship Id="rId42" Type="http://schemas.openxmlformats.org/officeDocument/2006/relationships/hyperlink" Target="https://www.dewr.gov.au/review-national-vocational-education-and-training-regulator-act-2011/resources/all-eyes-quality-review-national-vocational-education-and-training-regulator-act-2011-report" TargetMode="External"/><Relationship Id="rId47" Type="http://schemas.openxmlformats.org/officeDocument/2006/relationships/hyperlink" Target="https://www.readingwritinghotline.edu.au/adult-literacy-specialists-still-an-endangered-species/" TargetMode="External"/><Relationship Id="rId50" Type="http://schemas.openxmlformats.org/officeDocument/2006/relationships/hyperlink" Target="https://www.ncver.edu.au/__data/assets/file/0021/4971/nr0005.pdf" TargetMode="External"/><Relationship Id="rId55" Type="http://schemas.openxmlformats.org/officeDocument/2006/relationships/hyperlink" Target="https://www.jobsandskills.gov.au/data/employment-projections" TargetMode="External"/><Relationship Id="rId63" Type="http://schemas.openxmlformats.org/officeDocument/2006/relationships/hyperlink" Target="https://www.deafconnected.com.au/2020/05/certificate-iv-in-training-and-assessment-in-auslan/" TargetMode="External"/><Relationship Id="rId68" Type="http://schemas.openxmlformats.org/officeDocument/2006/relationships/hyperlink" Target="https://www.swinburne.edu.au/news/2022/11/swinburne-staff-vote-in-landmark-vet-enterprise-agreement/" TargetMode="External"/><Relationship Id="rId7" Type="http://schemas.openxmlformats.org/officeDocument/2006/relationships/hyperlink" Target="https://www.ncver.edu.au/research-and-statistics/publications/all-publications/an-analysis-of-micro-credentials-in-vet" TargetMode="External"/><Relationship Id="rId2" Type="http://schemas.openxmlformats.org/officeDocument/2006/relationships/hyperlink" Target="https://www.ncver.edu.au/research-and-statistics/publications/all-publications/understanding-the-australian-vocational-education-and-training-workforce" TargetMode="External"/><Relationship Id="rId16" Type="http://schemas.openxmlformats.org/officeDocument/2006/relationships/hyperlink" Target="https://www.ncver.edu.au/research-and-statistics/publications/all-publications/understanding-the-australian-vocational-education-and-training-workforce" TargetMode="External"/><Relationship Id="rId29" Type="http://schemas.openxmlformats.org/officeDocument/2006/relationships/hyperlink" Target="file:///\\PRODAPP.APPLICATION.ENET\!Design%20Team%20JSA\WIP_JSA\JSA24-0061_VET%20Workforce%20study\1.%20Current%20Art\Tyler%20M%20and%20Dymock%20D%20(2021)%20Attracting%20industry%20experts%20to%20become%20VET%20practitioners:%20a%20journey,%20not%20a%20destination,%20NCVER,%20accessed%2017%20November%202023." TargetMode="External"/><Relationship Id="rId11" Type="http://schemas.openxmlformats.org/officeDocument/2006/relationships/hyperlink" Target="https://www.ncver.edu.au/research-and-statistics/publications/all-publications/understanding-the-australian-vocational-education-and-training-workforce" TargetMode="External"/><Relationship Id="rId24" Type="http://schemas.openxmlformats.org/officeDocument/2006/relationships/hyperlink" Target="https://www.dewr.gov.au/skills-reform/quality-reforms/early-changes-current-standards-rtos" TargetMode="External"/><Relationship Id="rId32" Type="http://schemas.openxmlformats.org/officeDocument/2006/relationships/hyperlink" Target="https://www.cdu.edu.au/files/2019-06/vet_capability_framework_handbook.pdf" TargetMode="External"/><Relationship Id="rId37" Type="http://schemas.openxmlformats.org/officeDocument/2006/relationships/hyperlink" Target="https://www.fwc.gov.au/document-search/view/3/aHR0cHM6Ly9zYXNyY2RhdGFwcmRhdWVhYS5ibG9iLmNvcmUud2luZG93cy5uZXQvZW50ZXJwcmlzZWFncmVlbWVudHMvMjAyMi8xMS9BRTUxODM0NC5wZGY1?sid=&amp;q=Swinburne%24%24Vocational%24%24Agreement%24%242022" TargetMode="External"/><Relationship Id="rId40" Type="http://schemas.openxmlformats.org/officeDocument/2006/relationships/hyperlink" Target="https://www.ncver.edu.au/__data/assets/file/0021/4971/nr0005.pdf" TargetMode="External"/><Relationship Id="rId45" Type="http://schemas.openxmlformats.org/officeDocument/2006/relationships/hyperlink" Target="https://www.ncver.edu.au/research-and-statistics/publications/all-publications/journeying-through-vet-a-case-study-of-foundation-skills-learners" TargetMode="External"/><Relationship Id="rId53" Type="http://schemas.openxmlformats.org/officeDocument/2006/relationships/hyperlink" Target="https://www.tandfonline.com/doi/abs/10.1080/0309877X.2012.684042" TargetMode="External"/><Relationship Id="rId58" Type="http://schemas.openxmlformats.org/officeDocument/2006/relationships/hyperlink" Target="https://statements.qld.gov.au/statements/99611" TargetMode="External"/><Relationship Id="rId66" Type="http://schemas.openxmlformats.org/officeDocument/2006/relationships/hyperlink" Target="https://www.ncver.edu.au/research-and-statistics/publications/all-publications/understanding-the-australian-vocational-education-and-training-workforce" TargetMode="External"/><Relationship Id="rId5" Type="http://schemas.openxmlformats.org/officeDocument/2006/relationships/hyperlink" Target="https://www.ncver.edu.au/research-and-statistics/publications/all-publications/understanding-the-australian-vocational-education-and-training-workforce" TargetMode="External"/><Relationship Id="rId61" Type="http://schemas.openxmlformats.org/officeDocument/2006/relationships/hyperlink" Target="https://education.nsw.gov.au/content/dam/main-education/about-us/strategies-and-reports/diversity-inclusion-belonging/NSW_Education_PeopleBench_Workforce_Literature_Review_April_2023.pdf" TargetMode="External"/><Relationship Id="rId19" Type="http://schemas.openxmlformats.org/officeDocument/2006/relationships/hyperlink" Target="https://www.abs.gov.au/statistics/microdata-tablebuilder/available-microdata-tablebuilder/employee-earnings-and-hours-australia" TargetMode="External"/><Relationship Id="rId14" Type="http://schemas.openxmlformats.org/officeDocument/2006/relationships/hyperlink" Target="https://www.pc.gov.au/inquiries/completed/education-workforce-vocational/report" TargetMode="External"/><Relationship Id="rId22" Type="http://schemas.openxmlformats.org/officeDocument/2006/relationships/hyperlink" Target="https://parlinfo.aph.gov.au/parlInfo/download/committees/reportrep/024806/toc_pdf/Don'ttakeitasread.pdf;fileType=application%2Fpdf" TargetMode="External"/><Relationship Id="rId27" Type="http://schemas.openxmlformats.org/officeDocument/2006/relationships/hyperlink" Target="https://www.ncver.edu.au/research-and-statistics/publications/all-publications/a-short-history-of-initial-vet-teacher-training" TargetMode="External"/><Relationship Id="rId30" Type="http://schemas.openxmlformats.org/officeDocument/2006/relationships/hyperlink" Target="https://fdlgrades.federation.edu.au/outlines/IEAC/EDTAS1206%20DEVELOPING%20VET%20CURRICULUM%20FOR%20TRAINING%20PROVIDERS%20AND%20INDUSTRY.pdf?_gl=1*13cjdyr*_gcl_au*MTQ1Mzg4MTQxNy4xNjk3MDY0ODM3&amp;_ga=2.47863908.277571369.1703131047-468354832.1697064837" TargetMode="External"/><Relationship Id="rId35" Type="http://schemas.openxmlformats.org/officeDocument/2006/relationships/hyperlink" Target="https://www.ncver.edu.au/__data/assets/pdf_file/0033/9662271/Building_capability_quality_VET_teaching_Revision.pdf" TargetMode="External"/><Relationship Id="rId43" Type="http://schemas.openxmlformats.org/officeDocument/2006/relationships/hyperlink" Target="https://www.ncver.edu.au/__data/assets/file/0021/4971/nr0005.pdf" TargetMode="External"/><Relationship Id="rId48" Type="http://schemas.openxmlformats.org/officeDocument/2006/relationships/hyperlink" Target="https://www.readingwritinghotline.edu.au/wp-content/uploads/2022/10/RWH-Report-Insights-from-the-Classroom-Survey-of-Adult-Literacy-Providers.pdf" TargetMode="External"/><Relationship Id="rId56" Type="http://schemas.openxmlformats.org/officeDocument/2006/relationships/hyperlink" Target="https://www.jobsandskills.gov.au/publications/the-clean-energy-generation" TargetMode="External"/><Relationship Id="rId64" Type="http://schemas.openxmlformats.org/officeDocument/2006/relationships/hyperlink" Target="https://www.ncver.edu.au/research-and-statistics/publications/all-publications/vet-student-outcomes-2023" TargetMode="External"/><Relationship Id="rId8" Type="http://schemas.openxmlformats.org/officeDocument/2006/relationships/hyperlink" Target="https://www.jobsandskills.gov.au/data/employment-projections" TargetMode="External"/><Relationship Id="rId51" Type="http://schemas.openxmlformats.org/officeDocument/2006/relationships/hyperlink" Target="https://www.ncver.edu.au/__data/assets/pdf_file/0039/9667812/The-online-delivery-of-VET-during-COVID-19_part-1.pdf" TargetMode="External"/><Relationship Id="rId3" Type="http://schemas.openxmlformats.org/officeDocument/2006/relationships/hyperlink" Target="https://consult.abs.gov.au/standards-and-classifications/anzsco-comprehensive-review-round-1/results/educationandtraining-preliminaryproposedchanges.pdf" TargetMode="External"/><Relationship Id="rId12" Type="http://schemas.openxmlformats.org/officeDocument/2006/relationships/hyperlink" Target="https://www.pc.gov.au/inquiries/completed/education-workforce-vocational/report" TargetMode="External"/><Relationship Id="rId17" Type="http://schemas.openxmlformats.org/officeDocument/2006/relationships/hyperlink" Target="https://www.ncver.edu.au/research-and-statistics/publications/all-publications/vet-student-outcomes-2023" TargetMode="External"/><Relationship Id="rId25" Type="http://schemas.openxmlformats.org/officeDocument/2006/relationships/hyperlink" Target="https://www.ncver.edu.au/research-and-statistics/publications/all-publications/a-short-history-of-initial-vet-teacher-training" TargetMode="External"/><Relationship Id="rId33" Type="http://schemas.openxmlformats.org/officeDocument/2006/relationships/hyperlink" Target="https://www.aitsl.edu.au/" TargetMode="External"/><Relationship Id="rId38" Type="http://schemas.openxmlformats.org/officeDocument/2006/relationships/hyperlink" Target="https://www.fwc.gov.au/document-search/view/3/aHR0cHM6Ly9zYXNyY2RhdGFwcmRhdWVhYS5ibG9iLmNvcmUud2luZG93cy5uZXQvZW50ZXJwcmlzZWFncmVlbWVudHMvMjAyMy80L2FlNTE5ODM1LnBkZg2?sid=&amp;q=TAFE%24%24Commission%24%24NSW%24%24Teachers%24%24Related%24%24Employees%24%24Enterprise%24%24Agreement%24%242023" TargetMode="External"/><Relationship Id="rId46" Type="http://schemas.openxmlformats.org/officeDocument/2006/relationships/hyperlink" Target="https://www.ncver.edu.au/research-and-statistics/publications/all-publications/provision-of-foundation-skills-training-by-community-education-providers-in-regional-australia" TargetMode="External"/><Relationship Id="rId59" Type="http://schemas.openxmlformats.org/officeDocument/2006/relationships/hyperlink" Target="https://www.jobsandskills.gov.au/publications/the-clean-energy-generation" TargetMode="External"/><Relationship Id="rId67" Type="http://schemas.openxmlformats.org/officeDocument/2006/relationships/hyperlink" Target="https://www.education.gov.au/australian-universities-accord/consultations/australian-universities-accord-panel-discussion-paper-consultation/submission/15879" TargetMode="External"/><Relationship Id="rId20" Type="http://schemas.openxmlformats.org/officeDocument/2006/relationships/hyperlink" Target="file:///\\PRODAPP.APPLICATION.ENET\!Design%20Team%20JSA\WIP_JSA\JSA24-0061_VET%20Workforce%20study\1.%20Current%20Art\Tyler%20M%20and%20Dymock%20D%20(2021)%20Attracting%20industry%20experts%20to%20become%20VET%20practitioners:%20a%20journey,%20not%20a%20destination,%20NCVER,%20accessed%2017%20November%202023." TargetMode="External"/><Relationship Id="rId41" Type="http://schemas.openxmlformats.org/officeDocument/2006/relationships/hyperlink" Target="https://www.ncver.edu.au/__data/assets/file/0021/4971/nr0005.pdf" TargetMode="External"/><Relationship Id="rId54" Type="http://schemas.openxmlformats.org/officeDocument/2006/relationships/hyperlink" Target="https://www.researchgate.net/publication/296282792_Pedagogic_Leadership_creating_cultures_and_practices_for_outstanding_vocational_learning" TargetMode="External"/><Relationship Id="rId62" Type="http://schemas.openxmlformats.org/officeDocument/2006/relationships/hyperlink" Target="https://www.vic.gov.au/deafConnectEd" TargetMode="External"/><Relationship Id="rId1" Type="http://schemas.openxmlformats.org/officeDocument/2006/relationships/hyperlink" Target="https://www.pc.gov.au/inquiries/completed/education-workforce-vocational/report" TargetMode="External"/><Relationship Id="rId6" Type="http://schemas.openxmlformats.org/officeDocument/2006/relationships/hyperlink" Target="https://www.ncver.edu.au/research-and-statistics/data/databuilder" TargetMode="External"/><Relationship Id="rId15" Type="http://schemas.openxmlformats.org/officeDocument/2006/relationships/hyperlink" Target="https://www.voced.edu.au/content/ngv%3A86747" TargetMode="External"/><Relationship Id="rId23" Type="http://schemas.openxmlformats.org/officeDocument/2006/relationships/hyperlink" Target="https://www.asqa.gov.au/sites/default/files/quality_in_the_vet_system_-_a_shared_responsibility.pdf" TargetMode="External"/><Relationship Id="rId28" Type="http://schemas.openxmlformats.org/officeDocument/2006/relationships/hyperlink" Target="https://www.bwpat.de/ausgabe/spezial19/li-hodge-knight" TargetMode="External"/><Relationship Id="rId36" Type="http://schemas.openxmlformats.org/officeDocument/2006/relationships/hyperlink" Target="https://www.voced.edu.au/content/ngv%3A45772" TargetMode="External"/><Relationship Id="rId49" Type="http://schemas.openxmlformats.org/officeDocument/2006/relationships/hyperlink" Target="https://www.ncver.edu.au/__data/assets/file/0023/3659/2279.pdf" TargetMode="External"/><Relationship Id="rId57" Type="http://schemas.openxmlformats.org/officeDocument/2006/relationships/hyperlink" Target="https://www.jobsandskills.gov.au/data/employment-projections" TargetMode="External"/><Relationship Id="rId10" Type="http://schemas.openxmlformats.org/officeDocument/2006/relationships/hyperlink" Target="https://education.nsw.gov.au/news/latest-news/nsw-budget-a-boost-to-tafe-nsw-with-record-investment" TargetMode="External"/><Relationship Id="rId31" Type="http://schemas.openxmlformats.org/officeDocument/2006/relationships/hyperlink" Target="https://www.voced.edu.au/content/ngv%3A59802" TargetMode="External"/><Relationship Id="rId44" Type="http://schemas.openxmlformats.org/officeDocument/2006/relationships/hyperlink" Target="https://www.education.gov.au/school-work-transitions/resources/trade-training-centres-schools-program-independent-review-2014" TargetMode="External"/><Relationship Id="rId52" Type="http://schemas.openxmlformats.org/officeDocument/2006/relationships/hyperlink" Target="https://www.ncver.edu.au/research-and-statistics/publications/all-publications/delivery-of-vet-emerging-trends-in-response-to-the-covid-19-pandemic" TargetMode="External"/><Relationship Id="rId60" Type="http://schemas.openxmlformats.org/officeDocument/2006/relationships/hyperlink" Target="https://www.education.gov.au/higher-education-statistics/resources/2022-section-8-special-courses" TargetMode="External"/><Relationship Id="rId65" Type="http://schemas.openxmlformats.org/officeDocument/2006/relationships/hyperlink" Target="https://www.jobsandskills.gov.au/publications/data-occupation-mobility-unpacking-workers-movements" TargetMode="External"/><Relationship Id="rId4" Type="http://schemas.openxmlformats.org/officeDocument/2006/relationships/hyperlink" Target="https://www.pc.gov.au/inquiries/completed/education-workforce-vocational/report" TargetMode="External"/><Relationship Id="rId9" Type="http://schemas.openxmlformats.org/officeDocument/2006/relationships/hyperlink" Target="https://library.fairwork.gov.au/award/?krn=MA000075" TargetMode="External"/><Relationship Id="rId13" Type="http://schemas.openxmlformats.org/officeDocument/2006/relationships/hyperlink" Target="https://www.aitsl.edu.au/research/spotlights/australia-s-teacher-workforce-today" TargetMode="External"/><Relationship Id="rId18" Type="http://schemas.openxmlformats.org/officeDocument/2006/relationships/hyperlink" Target="https://www.abs.gov.au/statistics/microdata-tablebuilder/available-microdata-tablebuilder/employee-earnings-and-hours-australia" TargetMode="External"/><Relationship Id="rId39" Type="http://schemas.openxmlformats.org/officeDocument/2006/relationships/hyperlink" Target="https://www.avetra.org.au/resources/Documents/Conference%20Archives/Conference%20Archives%202019/Hodge_Guthrie_Final.pdf"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ncver.edu.au/research-and-statistics/data/databuilder" TargetMode="External"/><Relationship Id="rId1" Type="http://schemas.openxmlformats.org/officeDocument/2006/relationships/hyperlink" Target="https://www.abs.gov.au/statistics/microdata-tablebuilder/available-microdata-tablebuilder/employee-earnings-and-hours-australia" TargetMode="External"/></Relationships>
</file>

<file path=word/theme/theme1.xml><?xml version="1.0" encoding="utf-8"?>
<a:theme xmlns:a="http://schemas.openxmlformats.org/drawingml/2006/main" name="Office Theme">
  <a:themeElements>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AA40930D-F22C-4577-8606-0764DA221E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155</Pages>
  <Words>45400</Words>
  <Characters>258786</Characters>
  <Application>Microsoft Office Word</Application>
  <DocSecurity>2</DocSecurity>
  <Lines>2156</Lines>
  <Paragraphs>607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303579</CharactersWithSpaces>
  <SharedDoc>false</SharedDoc>
  <HLinks>
    <vt:vector size="636" baseType="variant">
      <vt:variant>
        <vt:i4>1572951</vt:i4>
      </vt:variant>
      <vt:variant>
        <vt:i4>207</vt:i4>
      </vt:variant>
      <vt:variant>
        <vt:i4>0</vt:i4>
      </vt:variant>
      <vt:variant>
        <vt:i4>5</vt:i4>
      </vt:variant>
      <vt:variant>
        <vt:lpwstr>https://www.ncver.edu.au/research-and-statistics/data/databuilder</vt:lpwstr>
      </vt:variant>
      <vt:variant>
        <vt:lpwstr/>
      </vt:variant>
      <vt:variant>
        <vt:i4>1245245</vt:i4>
      </vt:variant>
      <vt:variant>
        <vt:i4>158</vt:i4>
      </vt:variant>
      <vt:variant>
        <vt:i4>0</vt:i4>
      </vt:variant>
      <vt:variant>
        <vt:i4>5</vt:i4>
      </vt:variant>
      <vt:variant>
        <vt:lpwstr/>
      </vt:variant>
      <vt:variant>
        <vt:lpwstr>_Toc859392500</vt:lpwstr>
      </vt:variant>
      <vt:variant>
        <vt:i4>2621450</vt:i4>
      </vt:variant>
      <vt:variant>
        <vt:i4>152</vt:i4>
      </vt:variant>
      <vt:variant>
        <vt:i4>0</vt:i4>
      </vt:variant>
      <vt:variant>
        <vt:i4>5</vt:i4>
      </vt:variant>
      <vt:variant>
        <vt:lpwstr/>
      </vt:variant>
      <vt:variant>
        <vt:lpwstr>_Toc1200351890</vt:lpwstr>
      </vt:variant>
      <vt:variant>
        <vt:i4>1441849</vt:i4>
      </vt:variant>
      <vt:variant>
        <vt:i4>146</vt:i4>
      </vt:variant>
      <vt:variant>
        <vt:i4>0</vt:i4>
      </vt:variant>
      <vt:variant>
        <vt:i4>5</vt:i4>
      </vt:variant>
      <vt:variant>
        <vt:lpwstr/>
      </vt:variant>
      <vt:variant>
        <vt:lpwstr>_Toc333597009</vt:lpwstr>
      </vt:variant>
      <vt:variant>
        <vt:i4>1376304</vt:i4>
      </vt:variant>
      <vt:variant>
        <vt:i4>140</vt:i4>
      </vt:variant>
      <vt:variant>
        <vt:i4>0</vt:i4>
      </vt:variant>
      <vt:variant>
        <vt:i4>5</vt:i4>
      </vt:variant>
      <vt:variant>
        <vt:lpwstr/>
      </vt:variant>
      <vt:variant>
        <vt:lpwstr>_Toc34334441</vt:lpwstr>
      </vt:variant>
      <vt:variant>
        <vt:i4>1703994</vt:i4>
      </vt:variant>
      <vt:variant>
        <vt:i4>134</vt:i4>
      </vt:variant>
      <vt:variant>
        <vt:i4>0</vt:i4>
      </vt:variant>
      <vt:variant>
        <vt:i4>5</vt:i4>
      </vt:variant>
      <vt:variant>
        <vt:lpwstr/>
      </vt:variant>
      <vt:variant>
        <vt:lpwstr>_Toc964351291</vt:lpwstr>
      </vt:variant>
      <vt:variant>
        <vt:i4>2752516</vt:i4>
      </vt:variant>
      <vt:variant>
        <vt:i4>128</vt:i4>
      </vt:variant>
      <vt:variant>
        <vt:i4>0</vt:i4>
      </vt:variant>
      <vt:variant>
        <vt:i4>5</vt:i4>
      </vt:variant>
      <vt:variant>
        <vt:lpwstr/>
      </vt:variant>
      <vt:variant>
        <vt:lpwstr>_Toc1896398379</vt:lpwstr>
      </vt:variant>
      <vt:variant>
        <vt:i4>1441852</vt:i4>
      </vt:variant>
      <vt:variant>
        <vt:i4>122</vt:i4>
      </vt:variant>
      <vt:variant>
        <vt:i4>0</vt:i4>
      </vt:variant>
      <vt:variant>
        <vt:i4>5</vt:i4>
      </vt:variant>
      <vt:variant>
        <vt:lpwstr/>
      </vt:variant>
      <vt:variant>
        <vt:lpwstr>_Toc960073244</vt:lpwstr>
      </vt:variant>
      <vt:variant>
        <vt:i4>2752525</vt:i4>
      </vt:variant>
      <vt:variant>
        <vt:i4>116</vt:i4>
      </vt:variant>
      <vt:variant>
        <vt:i4>0</vt:i4>
      </vt:variant>
      <vt:variant>
        <vt:i4>5</vt:i4>
      </vt:variant>
      <vt:variant>
        <vt:lpwstr/>
      </vt:variant>
      <vt:variant>
        <vt:lpwstr>_Toc1822215294</vt:lpwstr>
      </vt:variant>
      <vt:variant>
        <vt:i4>2359298</vt:i4>
      </vt:variant>
      <vt:variant>
        <vt:i4>110</vt:i4>
      </vt:variant>
      <vt:variant>
        <vt:i4>0</vt:i4>
      </vt:variant>
      <vt:variant>
        <vt:i4>5</vt:i4>
      </vt:variant>
      <vt:variant>
        <vt:lpwstr/>
      </vt:variant>
      <vt:variant>
        <vt:lpwstr>_Toc2063500131</vt:lpwstr>
      </vt:variant>
      <vt:variant>
        <vt:i4>1572927</vt:i4>
      </vt:variant>
      <vt:variant>
        <vt:i4>104</vt:i4>
      </vt:variant>
      <vt:variant>
        <vt:i4>0</vt:i4>
      </vt:variant>
      <vt:variant>
        <vt:i4>5</vt:i4>
      </vt:variant>
      <vt:variant>
        <vt:lpwstr/>
      </vt:variant>
      <vt:variant>
        <vt:lpwstr>_Toc381383572</vt:lpwstr>
      </vt:variant>
      <vt:variant>
        <vt:i4>2097159</vt:i4>
      </vt:variant>
      <vt:variant>
        <vt:i4>98</vt:i4>
      </vt:variant>
      <vt:variant>
        <vt:i4>0</vt:i4>
      </vt:variant>
      <vt:variant>
        <vt:i4>5</vt:i4>
      </vt:variant>
      <vt:variant>
        <vt:lpwstr/>
      </vt:variant>
      <vt:variant>
        <vt:lpwstr>_Toc1801031578</vt:lpwstr>
      </vt:variant>
      <vt:variant>
        <vt:i4>1048627</vt:i4>
      </vt:variant>
      <vt:variant>
        <vt:i4>92</vt:i4>
      </vt:variant>
      <vt:variant>
        <vt:i4>0</vt:i4>
      </vt:variant>
      <vt:variant>
        <vt:i4>5</vt:i4>
      </vt:variant>
      <vt:variant>
        <vt:lpwstr/>
      </vt:variant>
      <vt:variant>
        <vt:lpwstr>_Toc461362006</vt:lpwstr>
      </vt:variant>
      <vt:variant>
        <vt:i4>3080192</vt:i4>
      </vt:variant>
      <vt:variant>
        <vt:i4>86</vt:i4>
      </vt:variant>
      <vt:variant>
        <vt:i4>0</vt:i4>
      </vt:variant>
      <vt:variant>
        <vt:i4>5</vt:i4>
      </vt:variant>
      <vt:variant>
        <vt:lpwstr/>
      </vt:variant>
      <vt:variant>
        <vt:lpwstr>_Toc1610026864</vt:lpwstr>
      </vt:variant>
      <vt:variant>
        <vt:i4>1376305</vt:i4>
      </vt:variant>
      <vt:variant>
        <vt:i4>80</vt:i4>
      </vt:variant>
      <vt:variant>
        <vt:i4>0</vt:i4>
      </vt:variant>
      <vt:variant>
        <vt:i4>5</vt:i4>
      </vt:variant>
      <vt:variant>
        <vt:lpwstr/>
      </vt:variant>
      <vt:variant>
        <vt:lpwstr>_Toc620466122</vt:lpwstr>
      </vt:variant>
      <vt:variant>
        <vt:i4>1376318</vt:i4>
      </vt:variant>
      <vt:variant>
        <vt:i4>74</vt:i4>
      </vt:variant>
      <vt:variant>
        <vt:i4>0</vt:i4>
      </vt:variant>
      <vt:variant>
        <vt:i4>5</vt:i4>
      </vt:variant>
      <vt:variant>
        <vt:lpwstr/>
      </vt:variant>
      <vt:variant>
        <vt:lpwstr>_Toc510192203</vt:lpwstr>
      </vt:variant>
      <vt:variant>
        <vt:i4>2621453</vt:i4>
      </vt:variant>
      <vt:variant>
        <vt:i4>68</vt:i4>
      </vt:variant>
      <vt:variant>
        <vt:i4>0</vt:i4>
      </vt:variant>
      <vt:variant>
        <vt:i4>5</vt:i4>
      </vt:variant>
      <vt:variant>
        <vt:lpwstr/>
      </vt:variant>
      <vt:variant>
        <vt:lpwstr>_Toc1433801068</vt:lpwstr>
      </vt:variant>
      <vt:variant>
        <vt:i4>2752515</vt:i4>
      </vt:variant>
      <vt:variant>
        <vt:i4>62</vt:i4>
      </vt:variant>
      <vt:variant>
        <vt:i4>0</vt:i4>
      </vt:variant>
      <vt:variant>
        <vt:i4>5</vt:i4>
      </vt:variant>
      <vt:variant>
        <vt:lpwstr/>
      </vt:variant>
      <vt:variant>
        <vt:lpwstr>_Toc1705972098</vt:lpwstr>
      </vt:variant>
      <vt:variant>
        <vt:i4>1245235</vt:i4>
      </vt:variant>
      <vt:variant>
        <vt:i4>56</vt:i4>
      </vt:variant>
      <vt:variant>
        <vt:i4>0</vt:i4>
      </vt:variant>
      <vt:variant>
        <vt:i4>5</vt:i4>
      </vt:variant>
      <vt:variant>
        <vt:lpwstr/>
      </vt:variant>
      <vt:variant>
        <vt:lpwstr>_Toc409295734</vt:lpwstr>
      </vt:variant>
      <vt:variant>
        <vt:i4>2359306</vt:i4>
      </vt:variant>
      <vt:variant>
        <vt:i4>50</vt:i4>
      </vt:variant>
      <vt:variant>
        <vt:i4>0</vt:i4>
      </vt:variant>
      <vt:variant>
        <vt:i4>5</vt:i4>
      </vt:variant>
      <vt:variant>
        <vt:lpwstr/>
      </vt:variant>
      <vt:variant>
        <vt:lpwstr>_Toc1677763783</vt:lpwstr>
      </vt:variant>
      <vt:variant>
        <vt:i4>1441853</vt:i4>
      </vt:variant>
      <vt:variant>
        <vt:i4>44</vt:i4>
      </vt:variant>
      <vt:variant>
        <vt:i4>0</vt:i4>
      </vt:variant>
      <vt:variant>
        <vt:i4>5</vt:i4>
      </vt:variant>
      <vt:variant>
        <vt:lpwstr/>
      </vt:variant>
      <vt:variant>
        <vt:lpwstr>_Toc250682707</vt:lpwstr>
      </vt:variant>
      <vt:variant>
        <vt:i4>1114165</vt:i4>
      </vt:variant>
      <vt:variant>
        <vt:i4>38</vt:i4>
      </vt:variant>
      <vt:variant>
        <vt:i4>0</vt:i4>
      </vt:variant>
      <vt:variant>
        <vt:i4>5</vt:i4>
      </vt:variant>
      <vt:variant>
        <vt:lpwstr/>
      </vt:variant>
      <vt:variant>
        <vt:lpwstr>_Toc824819852</vt:lpwstr>
      </vt:variant>
      <vt:variant>
        <vt:i4>1966138</vt:i4>
      </vt:variant>
      <vt:variant>
        <vt:i4>32</vt:i4>
      </vt:variant>
      <vt:variant>
        <vt:i4>0</vt:i4>
      </vt:variant>
      <vt:variant>
        <vt:i4>5</vt:i4>
      </vt:variant>
      <vt:variant>
        <vt:lpwstr/>
      </vt:variant>
      <vt:variant>
        <vt:lpwstr>_Toc88374355</vt:lpwstr>
      </vt:variant>
      <vt:variant>
        <vt:i4>2097154</vt:i4>
      </vt:variant>
      <vt:variant>
        <vt:i4>26</vt:i4>
      </vt:variant>
      <vt:variant>
        <vt:i4>0</vt:i4>
      </vt:variant>
      <vt:variant>
        <vt:i4>5</vt:i4>
      </vt:variant>
      <vt:variant>
        <vt:lpwstr/>
      </vt:variant>
      <vt:variant>
        <vt:lpwstr>_Toc1200338482</vt:lpwstr>
      </vt:variant>
      <vt:variant>
        <vt:i4>2031676</vt:i4>
      </vt:variant>
      <vt:variant>
        <vt:i4>20</vt:i4>
      </vt:variant>
      <vt:variant>
        <vt:i4>0</vt:i4>
      </vt:variant>
      <vt:variant>
        <vt:i4>5</vt:i4>
      </vt:variant>
      <vt:variant>
        <vt:lpwstr/>
      </vt:variant>
      <vt:variant>
        <vt:lpwstr>_Toc331566886</vt:lpwstr>
      </vt:variant>
      <vt:variant>
        <vt:i4>1703987</vt:i4>
      </vt:variant>
      <vt:variant>
        <vt:i4>14</vt:i4>
      </vt:variant>
      <vt:variant>
        <vt:i4>0</vt:i4>
      </vt:variant>
      <vt:variant>
        <vt:i4>5</vt:i4>
      </vt:variant>
      <vt:variant>
        <vt:lpwstr/>
      </vt:variant>
      <vt:variant>
        <vt:lpwstr>_Toc415307283</vt:lpwstr>
      </vt:variant>
      <vt:variant>
        <vt:i4>2555912</vt:i4>
      </vt:variant>
      <vt:variant>
        <vt:i4>8</vt:i4>
      </vt:variant>
      <vt:variant>
        <vt:i4>0</vt:i4>
      </vt:variant>
      <vt:variant>
        <vt:i4>5</vt:i4>
      </vt:variant>
      <vt:variant>
        <vt:lpwstr/>
      </vt:variant>
      <vt:variant>
        <vt:lpwstr>_Toc2116506285</vt:lpwstr>
      </vt:variant>
      <vt:variant>
        <vt:i4>2031664</vt:i4>
      </vt:variant>
      <vt:variant>
        <vt:i4>2</vt:i4>
      </vt:variant>
      <vt:variant>
        <vt:i4>0</vt:i4>
      </vt:variant>
      <vt:variant>
        <vt:i4>5</vt:i4>
      </vt:variant>
      <vt:variant>
        <vt:lpwstr/>
      </vt:variant>
      <vt:variant>
        <vt:lpwstr>_Toc437279409</vt:lpwstr>
      </vt:variant>
      <vt:variant>
        <vt:i4>1572951</vt:i4>
      </vt:variant>
      <vt:variant>
        <vt:i4>3</vt:i4>
      </vt:variant>
      <vt:variant>
        <vt:i4>0</vt:i4>
      </vt:variant>
      <vt:variant>
        <vt:i4>5</vt:i4>
      </vt:variant>
      <vt:variant>
        <vt:lpwstr>https://www.ncver.edu.au/research-and-statistics/data/databuilder</vt:lpwstr>
      </vt:variant>
      <vt:variant>
        <vt:lpwstr/>
      </vt:variant>
      <vt:variant>
        <vt:i4>3932267</vt:i4>
      </vt:variant>
      <vt:variant>
        <vt:i4>0</vt:i4>
      </vt:variant>
      <vt:variant>
        <vt:i4>0</vt:i4>
      </vt:variant>
      <vt:variant>
        <vt:i4>5</vt:i4>
      </vt:variant>
      <vt:variant>
        <vt:lpwstr>https://www.abs.gov.au/statistics/microdata-tablebuilder/available-microdata-tablebuilder/employee-earnings-and-hours-australia</vt:lpwstr>
      </vt:variant>
      <vt:variant>
        <vt:lpwstr/>
      </vt:variant>
      <vt:variant>
        <vt:i4>4522084</vt:i4>
      </vt:variant>
      <vt:variant>
        <vt:i4>24</vt:i4>
      </vt:variant>
      <vt:variant>
        <vt:i4>0</vt:i4>
      </vt:variant>
      <vt:variant>
        <vt:i4>5</vt:i4>
      </vt:variant>
      <vt:variant>
        <vt:lpwstr>mailto:Damian.Oliver@jobsandskills.gov.au</vt:lpwstr>
      </vt:variant>
      <vt:variant>
        <vt:lpwstr/>
      </vt:variant>
      <vt:variant>
        <vt:i4>2883589</vt:i4>
      </vt:variant>
      <vt:variant>
        <vt:i4>21</vt:i4>
      </vt:variant>
      <vt:variant>
        <vt:i4>0</vt:i4>
      </vt:variant>
      <vt:variant>
        <vt:i4>5</vt:i4>
      </vt:variant>
      <vt:variant>
        <vt:lpwstr>mailto:Emma.Cannen@jobsandskills.gov.au</vt:lpwstr>
      </vt:variant>
      <vt:variant>
        <vt:lpwstr/>
      </vt:variant>
      <vt:variant>
        <vt:i4>4522084</vt:i4>
      </vt:variant>
      <vt:variant>
        <vt:i4>18</vt:i4>
      </vt:variant>
      <vt:variant>
        <vt:i4>0</vt:i4>
      </vt:variant>
      <vt:variant>
        <vt:i4>5</vt:i4>
      </vt:variant>
      <vt:variant>
        <vt:lpwstr>mailto:Damian.Oliver@jobsandskills.gov.au</vt:lpwstr>
      </vt:variant>
      <vt:variant>
        <vt:lpwstr/>
      </vt:variant>
      <vt:variant>
        <vt:i4>4522084</vt:i4>
      </vt:variant>
      <vt:variant>
        <vt:i4>15</vt:i4>
      </vt:variant>
      <vt:variant>
        <vt:i4>0</vt:i4>
      </vt:variant>
      <vt:variant>
        <vt:i4>5</vt:i4>
      </vt:variant>
      <vt:variant>
        <vt:lpwstr>mailto:Damian.Oliver@jobsandskills.gov.au</vt:lpwstr>
      </vt:variant>
      <vt:variant>
        <vt:lpwstr/>
      </vt:variant>
      <vt:variant>
        <vt:i4>4522084</vt:i4>
      </vt:variant>
      <vt:variant>
        <vt:i4>12</vt:i4>
      </vt:variant>
      <vt:variant>
        <vt:i4>0</vt:i4>
      </vt:variant>
      <vt:variant>
        <vt:i4>5</vt:i4>
      </vt:variant>
      <vt:variant>
        <vt:lpwstr>mailto:Damian.Oliver@jobsandskills.gov.au</vt:lpwstr>
      </vt:variant>
      <vt:variant>
        <vt:lpwstr/>
      </vt:variant>
      <vt:variant>
        <vt:i4>4522084</vt:i4>
      </vt:variant>
      <vt:variant>
        <vt:i4>9</vt:i4>
      </vt:variant>
      <vt:variant>
        <vt:i4>0</vt:i4>
      </vt:variant>
      <vt:variant>
        <vt:i4>5</vt:i4>
      </vt:variant>
      <vt:variant>
        <vt:lpwstr>mailto:Damian.Oliver@jobsandskills.gov.au</vt:lpwstr>
      </vt:variant>
      <vt:variant>
        <vt:lpwstr/>
      </vt:variant>
      <vt:variant>
        <vt:i4>2883589</vt:i4>
      </vt:variant>
      <vt:variant>
        <vt:i4>6</vt:i4>
      </vt:variant>
      <vt:variant>
        <vt:i4>0</vt:i4>
      </vt:variant>
      <vt:variant>
        <vt:i4>5</vt:i4>
      </vt:variant>
      <vt:variant>
        <vt:lpwstr>mailto:Emma.Cannen@jobsandskills.gov.au</vt:lpwstr>
      </vt:variant>
      <vt:variant>
        <vt:lpwstr/>
      </vt:variant>
      <vt:variant>
        <vt:i4>2883589</vt:i4>
      </vt:variant>
      <vt:variant>
        <vt:i4>3</vt:i4>
      </vt:variant>
      <vt:variant>
        <vt:i4>0</vt:i4>
      </vt:variant>
      <vt:variant>
        <vt:i4>5</vt:i4>
      </vt:variant>
      <vt:variant>
        <vt:lpwstr>mailto:Emma.Cannen@jobsandskills.gov.au</vt:lpwstr>
      </vt:variant>
      <vt:variant>
        <vt:lpwstr/>
      </vt:variant>
      <vt:variant>
        <vt:i4>2883589</vt:i4>
      </vt:variant>
      <vt:variant>
        <vt:i4>0</vt:i4>
      </vt:variant>
      <vt:variant>
        <vt:i4>0</vt:i4>
      </vt:variant>
      <vt:variant>
        <vt:i4>5</vt:i4>
      </vt:variant>
      <vt:variant>
        <vt:lpwstr>mailto:Emma.Cannen@jobsandskills.gov.au</vt:lpwstr>
      </vt:variant>
      <vt:variant>
        <vt:lpwstr/>
      </vt:variant>
      <vt:variant>
        <vt:i4>2621540</vt:i4>
      </vt:variant>
      <vt:variant>
        <vt:i4>198</vt:i4>
      </vt:variant>
      <vt:variant>
        <vt:i4>0</vt:i4>
      </vt:variant>
      <vt:variant>
        <vt:i4>5</vt:i4>
      </vt:variant>
      <vt:variant>
        <vt:lpwstr>https://www.jobsandskills.gov.au/publications/data-occupation-mobility-unpacking-workers-movements</vt:lpwstr>
      </vt:variant>
      <vt:variant>
        <vt:lpwstr/>
      </vt:variant>
      <vt:variant>
        <vt:i4>1048598</vt:i4>
      </vt:variant>
      <vt:variant>
        <vt:i4>195</vt:i4>
      </vt:variant>
      <vt:variant>
        <vt:i4>0</vt:i4>
      </vt:variant>
      <vt:variant>
        <vt:i4>5</vt:i4>
      </vt:variant>
      <vt:variant>
        <vt:lpwstr>https://www.ncver.edu.au/research-and-statistics/publications/all-publications/vet-student-outcomes-2023</vt:lpwstr>
      </vt:variant>
      <vt:variant>
        <vt:lpwstr/>
      </vt:variant>
      <vt:variant>
        <vt:i4>5177439</vt:i4>
      </vt:variant>
      <vt:variant>
        <vt:i4>192</vt:i4>
      </vt:variant>
      <vt:variant>
        <vt:i4>0</vt:i4>
      </vt:variant>
      <vt:variant>
        <vt:i4>5</vt:i4>
      </vt:variant>
      <vt:variant>
        <vt:lpwstr>https://www.deafconnected.com.au/2020/05/certificate-iv-in-training-and-assessment-in-auslan/</vt:lpwstr>
      </vt:variant>
      <vt:variant>
        <vt:lpwstr/>
      </vt:variant>
      <vt:variant>
        <vt:i4>4587534</vt:i4>
      </vt:variant>
      <vt:variant>
        <vt:i4>189</vt:i4>
      </vt:variant>
      <vt:variant>
        <vt:i4>0</vt:i4>
      </vt:variant>
      <vt:variant>
        <vt:i4>5</vt:i4>
      </vt:variant>
      <vt:variant>
        <vt:lpwstr>https://www.vic.gov.au/deafConnectEd</vt:lpwstr>
      </vt:variant>
      <vt:variant>
        <vt:lpwstr/>
      </vt:variant>
      <vt:variant>
        <vt:i4>8126534</vt:i4>
      </vt:variant>
      <vt:variant>
        <vt:i4>186</vt:i4>
      </vt:variant>
      <vt:variant>
        <vt:i4>0</vt:i4>
      </vt:variant>
      <vt:variant>
        <vt:i4>5</vt:i4>
      </vt:variant>
      <vt:variant>
        <vt:lpwstr>https://education.nsw.gov.au/content/dam/main-education/about-us/strategies-and-reports/diversity-inclusion-belonging/NSW_Education_PeopleBench_Workforce_Literature_Review_April_2023.pdf</vt:lpwstr>
      </vt:variant>
      <vt:variant>
        <vt:lpwstr/>
      </vt:variant>
      <vt:variant>
        <vt:i4>4259910</vt:i4>
      </vt:variant>
      <vt:variant>
        <vt:i4>183</vt:i4>
      </vt:variant>
      <vt:variant>
        <vt:i4>0</vt:i4>
      </vt:variant>
      <vt:variant>
        <vt:i4>5</vt:i4>
      </vt:variant>
      <vt:variant>
        <vt:lpwstr>https://www.education.gov.au/higher-education-statistics/resources/2022-section-8-special-courses</vt:lpwstr>
      </vt:variant>
      <vt:variant>
        <vt:lpwstr/>
      </vt:variant>
      <vt:variant>
        <vt:i4>262223</vt:i4>
      </vt:variant>
      <vt:variant>
        <vt:i4>180</vt:i4>
      </vt:variant>
      <vt:variant>
        <vt:i4>0</vt:i4>
      </vt:variant>
      <vt:variant>
        <vt:i4>5</vt:i4>
      </vt:variant>
      <vt:variant>
        <vt:lpwstr>https://www.jobsandskills.gov.au/publications/the-clean-energy-generation</vt:lpwstr>
      </vt:variant>
      <vt:variant>
        <vt:lpwstr/>
      </vt:variant>
      <vt:variant>
        <vt:i4>6619199</vt:i4>
      </vt:variant>
      <vt:variant>
        <vt:i4>177</vt:i4>
      </vt:variant>
      <vt:variant>
        <vt:i4>0</vt:i4>
      </vt:variant>
      <vt:variant>
        <vt:i4>5</vt:i4>
      </vt:variant>
      <vt:variant>
        <vt:lpwstr>https://statements.qld.gov.au/statements/99611</vt:lpwstr>
      </vt:variant>
      <vt:variant>
        <vt:lpwstr/>
      </vt:variant>
      <vt:variant>
        <vt:i4>1179726</vt:i4>
      </vt:variant>
      <vt:variant>
        <vt:i4>174</vt:i4>
      </vt:variant>
      <vt:variant>
        <vt:i4>0</vt:i4>
      </vt:variant>
      <vt:variant>
        <vt:i4>5</vt:i4>
      </vt:variant>
      <vt:variant>
        <vt:lpwstr>https://www.jobsandskills.gov.au/data/employment-projections</vt:lpwstr>
      </vt:variant>
      <vt:variant>
        <vt:lpwstr/>
      </vt:variant>
      <vt:variant>
        <vt:i4>262223</vt:i4>
      </vt:variant>
      <vt:variant>
        <vt:i4>171</vt:i4>
      </vt:variant>
      <vt:variant>
        <vt:i4>0</vt:i4>
      </vt:variant>
      <vt:variant>
        <vt:i4>5</vt:i4>
      </vt:variant>
      <vt:variant>
        <vt:lpwstr>https://www.jobsandskills.gov.au/publications/the-clean-energy-generation</vt:lpwstr>
      </vt:variant>
      <vt:variant>
        <vt:lpwstr/>
      </vt:variant>
      <vt:variant>
        <vt:i4>7733365</vt:i4>
      </vt:variant>
      <vt:variant>
        <vt:i4>168</vt:i4>
      </vt:variant>
      <vt:variant>
        <vt:i4>0</vt:i4>
      </vt:variant>
      <vt:variant>
        <vt:i4>5</vt:i4>
      </vt:variant>
      <vt:variant>
        <vt:lpwstr>https://www.researchgate.net/publication/296282792_Pedagogic_Leadership_creating_cultures_and_practices_for_outstanding_vocational_learning</vt:lpwstr>
      </vt:variant>
      <vt:variant>
        <vt:lpwstr/>
      </vt:variant>
      <vt:variant>
        <vt:i4>458821</vt:i4>
      </vt:variant>
      <vt:variant>
        <vt:i4>165</vt:i4>
      </vt:variant>
      <vt:variant>
        <vt:i4>0</vt:i4>
      </vt:variant>
      <vt:variant>
        <vt:i4>5</vt:i4>
      </vt:variant>
      <vt:variant>
        <vt:lpwstr>https://www.tandfonline.com/doi/abs/10.1080/0309877X.2012.684042</vt:lpwstr>
      </vt:variant>
      <vt:variant>
        <vt:lpwstr/>
      </vt:variant>
      <vt:variant>
        <vt:i4>131089</vt:i4>
      </vt:variant>
      <vt:variant>
        <vt:i4>162</vt:i4>
      </vt:variant>
      <vt:variant>
        <vt:i4>0</vt:i4>
      </vt:variant>
      <vt:variant>
        <vt:i4>5</vt:i4>
      </vt:variant>
      <vt:variant>
        <vt:lpwstr>https://www.ncver.edu.au/research-and-statistics/publications/all-publications/delivery-of-vet-emerging-trends-in-response-to-the-covid-19-pandemic</vt:lpwstr>
      </vt:variant>
      <vt:variant>
        <vt:lpwstr>:~:text=How%20has%20delivery%20mode%20changed,just%20over%2029%25%20in%202021.</vt:lpwstr>
      </vt:variant>
      <vt:variant>
        <vt:i4>7864358</vt:i4>
      </vt:variant>
      <vt:variant>
        <vt:i4>159</vt:i4>
      </vt:variant>
      <vt:variant>
        <vt:i4>0</vt:i4>
      </vt:variant>
      <vt:variant>
        <vt:i4>5</vt:i4>
      </vt:variant>
      <vt:variant>
        <vt:lpwstr>https://www.ncver.edu.au/__data/assets/pdf_file/0039/9667812/The-online-delivery-of-VET-during-COVID-19_part-1.pdf</vt:lpwstr>
      </vt:variant>
      <vt:variant>
        <vt:lpwstr/>
      </vt:variant>
      <vt:variant>
        <vt:i4>3342447</vt:i4>
      </vt:variant>
      <vt:variant>
        <vt:i4>156</vt:i4>
      </vt:variant>
      <vt:variant>
        <vt:i4>0</vt:i4>
      </vt:variant>
      <vt:variant>
        <vt:i4>5</vt:i4>
      </vt:variant>
      <vt:variant>
        <vt:lpwstr>https://www.ncver.edu.au/__data/assets/file/0021/4971/nr0005.pdf</vt:lpwstr>
      </vt:variant>
      <vt:variant>
        <vt:lpwstr/>
      </vt:variant>
      <vt:variant>
        <vt:i4>4718595</vt:i4>
      </vt:variant>
      <vt:variant>
        <vt:i4>153</vt:i4>
      </vt:variant>
      <vt:variant>
        <vt:i4>0</vt:i4>
      </vt:variant>
      <vt:variant>
        <vt:i4>5</vt:i4>
      </vt:variant>
      <vt:variant>
        <vt:lpwstr>https://www.ncver.edu.au/__data/assets/file/0023/3659/2279.pdf</vt:lpwstr>
      </vt:variant>
      <vt:variant>
        <vt:lpwstr/>
      </vt:variant>
      <vt:variant>
        <vt:i4>5046287</vt:i4>
      </vt:variant>
      <vt:variant>
        <vt:i4>150</vt:i4>
      </vt:variant>
      <vt:variant>
        <vt:i4>0</vt:i4>
      </vt:variant>
      <vt:variant>
        <vt:i4>5</vt:i4>
      </vt:variant>
      <vt:variant>
        <vt:lpwstr>https://www.readingwritinghotline.edu.au/wp-content/uploads/2022/10/RWH-Report-Insights-from-the-Classroom-Survey-of-Adult-Literacy-Providers.pdf</vt:lpwstr>
      </vt:variant>
      <vt:variant>
        <vt:lpwstr/>
      </vt:variant>
      <vt:variant>
        <vt:i4>851985</vt:i4>
      </vt:variant>
      <vt:variant>
        <vt:i4>147</vt:i4>
      </vt:variant>
      <vt:variant>
        <vt:i4>0</vt:i4>
      </vt:variant>
      <vt:variant>
        <vt:i4>5</vt:i4>
      </vt:variant>
      <vt:variant>
        <vt:lpwstr>https://www.readingwritinghotline.edu.au/adult-literacy-specialists-still-an-endangered-species/</vt:lpwstr>
      </vt:variant>
      <vt:variant>
        <vt:lpwstr/>
      </vt:variant>
      <vt:variant>
        <vt:i4>327705</vt:i4>
      </vt:variant>
      <vt:variant>
        <vt:i4>144</vt:i4>
      </vt:variant>
      <vt:variant>
        <vt:i4>0</vt:i4>
      </vt:variant>
      <vt:variant>
        <vt:i4>5</vt:i4>
      </vt:variant>
      <vt:variant>
        <vt:lpwstr>https://www.ncver.edu.au/research-and-statistics/publications/all-publications/provision-of-foundation-skills-training-by-community-education-providers-in-regional-australia</vt:lpwstr>
      </vt:variant>
      <vt:variant>
        <vt:lpwstr/>
      </vt:variant>
      <vt:variant>
        <vt:i4>6094921</vt:i4>
      </vt:variant>
      <vt:variant>
        <vt:i4>141</vt:i4>
      </vt:variant>
      <vt:variant>
        <vt:i4>0</vt:i4>
      </vt:variant>
      <vt:variant>
        <vt:i4>5</vt:i4>
      </vt:variant>
      <vt:variant>
        <vt:lpwstr>https://www.ncver.edu.au/research-and-statistics/publications/all-publications/journeying-through-vet-a-case-study-of-foundation-skills-learners</vt:lpwstr>
      </vt:variant>
      <vt:variant>
        <vt:lpwstr/>
      </vt:variant>
      <vt:variant>
        <vt:i4>5046293</vt:i4>
      </vt:variant>
      <vt:variant>
        <vt:i4>138</vt:i4>
      </vt:variant>
      <vt:variant>
        <vt:i4>0</vt:i4>
      </vt:variant>
      <vt:variant>
        <vt:i4>5</vt:i4>
      </vt:variant>
      <vt:variant>
        <vt:lpwstr>https://www.education.gov.au/school-work-transitions/resources/trade-training-centres-schools-program-independent-review-2014</vt:lpwstr>
      </vt:variant>
      <vt:variant>
        <vt:lpwstr/>
      </vt:variant>
      <vt:variant>
        <vt:i4>3342447</vt:i4>
      </vt:variant>
      <vt:variant>
        <vt:i4>135</vt:i4>
      </vt:variant>
      <vt:variant>
        <vt:i4>0</vt:i4>
      </vt:variant>
      <vt:variant>
        <vt:i4>5</vt:i4>
      </vt:variant>
      <vt:variant>
        <vt:lpwstr>https://www.ncver.edu.au/__data/assets/file/0021/4971/nr0005.pdf</vt:lpwstr>
      </vt:variant>
      <vt:variant>
        <vt:lpwstr/>
      </vt:variant>
      <vt:variant>
        <vt:i4>7602232</vt:i4>
      </vt:variant>
      <vt:variant>
        <vt:i4>132</vt:i4>
      </vt:variant>
      <vt:variant>
        <vt:i4>0</vt:i4>
      </vt:variant>
      <vt:variant>
        <vt:i4>5</vt:i4>
      </vt:variant>
      <vt:variant>
        <vt:lpwstr>https://www.dewr.gov.au/review-national-vocational-education-and-training-regulator-act-2011/resources/all-eyes-quality-review-national-vocational-education-and-training-regulator-act-2011-report</vt:lpwstr>
      </vt:variant>
      <vt:variant>
        <vt:lpwstr/>
      </vt:variant>
      <vt:variant>
        <vt:i4>3342447</vt:i4>
      </vt:variant>
      <vt:variant>
        <vt:i4>129</vt:i4>
      </vt:variant>
      <vt:variant>
        <vt:i4>0</vt:i4>
      </vt:variant>
      <vt:variant>
        <vt:i4>5</vt:i4>
      </vt:variant>
      <vt:variant>
        <vt:lpwstr>https://www.ncver.edu.au/__data/assets/file/0021/4971/nr0005.pdf</vt:lpwstr>
      </vt:variant>
      <vt:variant>
        <vt:lpwstr/>
      </vt:variant>
      <vt:variant>
        <vt:i4>3342447</vt:i4>
      </vt:variant>
      <vt:variant>
        <vt:i4>126</vt:i4>
      </vt:variant>
      <vt:variant>
        <vt:i4>0</vt:i4>
      </vt:variant>
      <vt:variant>
        <vt:i4>5</vt:i4>
      </vt:variant>
      <vt:variant>
        <vt:lpwstr>https://www.ncver.edu.au/__data/assets/file/0021/4971/nr0005.pdf</vt:lpwstr>
      </vt:variant>
      <vt:variant>
        <vt:lpwstr/>
      </vt:variant>
      <vt:variant>
        <vt:i4>6422576</vt:i4>
      </vt:variant>
      <vt:variant>
        <vt:i4>123</vt:i4>
      </vt:variant>
      <vt:variant>
        <vt:i4>0</vt:i4>
      </vt:variant>
      <vt:variant>
        <vt:i4>5</vt:i4>
      </vt:variant>
      <vt:variant>
        <vt:lpwstr>https://www.avetra.org.au/resources/Documents/Conference Archives/Conference Archives 2019/Hodge_Guthrie_Final.pdf</vt:lpwstr>
      </vt:variant>
      <vt:variant>
        <vt:lpwstr/>
      </vt:variant>
      <vt:variant>
        <vt:i4>6750330</vt:i4>
      </vt:variant>
      <vt:variant>
        <vt:i4>120</vt:i4>
      </vt:variant>
      <vt:variant>
        <vt:i4>0</vt:i4>
      </vt:variant>
      <vt:variant>
        <vt:i4>5</vt:i4>
      </vt:variant>
      <vt:variant>
        <vt:lpwstr>https://www.fwc.gov.au/document-search/view/3/aHR0cHM6Ly9zYXNyY2RhdGFwcmRhdWVhYS5ibG9iLmNvcmUud2luZG93cy5uZXQvZW50ZXJwcmlzZWFncmVlbWVudHMvMjAyMy80L2FlNTE5ODM1LnBkZg2?sid=&amp;q=TAFE%24%24Commission%24%24NSW%24%24Teachers%24%24Related%24%24Employees%24%24Enterprise%24%24Agreement%24%242023</vt:lpwstr>
      </vt:variant>
      <vt:variant>
        <vt:lpwstr/>
      </vt:variant>
      <vt:variant>
        <vt:i4>4653060</vt:i4>
      </vt:variant>
      <vt:variant>
        <vt:i4>117</vt:i4>
      </vt:variant>
      <vt:variant>
        <vt:i4>0</vt:i4>
      </vt:variant>
      <vt:variant>
        <vt:i4>5</vt:i4>
      </vt:variant>
      <vt:variant>
        <vt:lpwstr>https://www.fwc.gov.au/document-search/view/3/aHR0cHM6Ly9zYXNyY2RhdGFwcmRhdWVhYS5ibG9iLmNvcmUud2luZG93cy5uZXQvZW50ZXJwcmlzZWFncmVlbWVudHMvMjAyMi8xMS9BRTUxODM0NC5wZGY1?sid=&amp;q=Swinburne%24%24Vocational%24%24Agreement%24%242022</vt:lpwstr>
      </vt:variant>
      <vt:variant>
        <vt:lpwstr/>
      </vt:variant>
      <vt:variant>
        <vt:i4>5570580</vt:i4>
      </vt:variant>
      <vt:variant>
        <vt:i4>114</vt:i4>
      </vt:variant>
      <vt:variant>
        <vt:i4>0</vt:i4>
      </vt:variant>
      <vt:variant>
        <vt:i4>5</vt:i4>
      </vt:variant>
      <vt:variant>
        <vt:lpwstr>https://www.voced.edu.au/content/ngv%3A45772</vt:lpwstr>
      </vt:variant>
      <vt:variant>
        <vt:lpwstr/>
      </vt:variant>
      <vt:variant>
        <vt:i4>1179670</vt:i4>
      </vt:variant>
      <vt:variant>
        <vt:i4>111</vt:i4>
      </vt:variant>
      <vt:variant>
        <vt:i4>0</vt:i4>
      </vt:variant>
      <vt:variant>
        <vt:i4>5</vt:i4>
      </vt:variant>
      <vt:variant>
        <vt:lpwstr>https://www.ncver.edu.au/__data/assets/pdf_file/0033/9662271/Building_capability_quality_VET_teaching_Revision.pdf</vt:lpwstr>
      </vt:variant>
      <vt:variant>
        <vt:lpwstr/>
      </vt:variant>
      <vt:variant>
        <vt:i4>1179670</vt:i4>
      </vt:variant>
      <vt:variant>
        <vt:i4>108</vt:i4>
      </vt:variant>
      <vt:variant>
        <vt:i4>0</vt:i4>
      </vt:variant>
      <vt:variant>
        <vt:i4>5</vt:i4>
      </vt:variant>
      <vt:variant>
        <vt:lpwstr>https://www.ncver.edu.au/__data/assets/pdf_file/0033/9662271/Building_capability_quality_VET_teaching_Revision.pdf</vt:lpwstr>
      </vt:variant>
      <vt:variant>
        <vt:lpwstr/>
      </vt:variant>
      <vt:variant>
        <vt:i4>4390984</vt:i4>
      </vt:variant>
      <vt:variant>
        <vt:i4>105</vt:i4>
      </vt:variant>
      <vt:variant>
        <vt:i4>0</vt:i4>
      </vt:variant>
      <vt:variant>
        <vt:i4>5</vt:i4>
      </vt:variant>
      <vt:variant>
        <vt:lpwstr>https://www.aitsl.edu.au/</vt:lpwstr>
      </vt:variant>
      <vt:variant>
        <vt:lpwstr/>
      </vt:variant>
      <vt:variant>
        <vt:i4>3801177</vt:i4>
      </vt:variant>
      <vt:variant>
        <vt:i4>102</vt:i4>
      </vt:variant>
      <vt:variant>
        <vt:i4>0</vt:i4>
      </vt:variant>
      <vt:variant>
        <vt:i4>5</vt:i4>
      </vt:variant>
      <vt:variant>
        <vt:lpwstr>https://www.cdu.edu.au/files/2019-06/vet_capability_framework_handbook.pdf</vt:lpwstr>
      </vt:variant>
      <vt:variant>
        <vt:lpwstr/>
      </vt:variant>
      <vt:variant>
        <vt:i4>5963807</vt:i4>
      </vt:variant>
      <vt:variant>
        <vt:i4>99</vt:i4>
      </vt:variant>
      <vt:variant>
        <vt:i4>0</vt:i4>
      </vt:variant>
      <vt:variant>
        <vt:i4>5</vt:i4>
      </vt:variant>
      <vt:variant>
        <vt:lpwstr>https://www.voced.edu.au/content/ngv%3A59802</vt:lpwstr>
      </vt:variant>
      <vt:variant>
        <vt:lpwstr/>
      </vt:variant>
      <vt:variant>
        <vt:i4>2490482</vt:i4>
      </vt:variant>
      <vt:variant>
        <vt:i4>96</vt:i4>
      </vt:variant>
      <vt:variant>
        <vt:i4>0</vt:i4>
      </vt:variant>
      <vt:variant>
        <vt:i4>5</vt:i4>
      </vt:variant>
      <vt:variant>
        <vt:lpwstr>https://fdlgrades.federation.edu.au/outlines/IEAC/EDTAS1206 DEVELOPING VET CURRICULUM FOR TRAINING PROVIDERS AND INDUSTRY.pdf?_gl=1*13cjdyr*_gcl_au*MTQ1Mzg4MTQxNy4xNjk3MDY0ODM3&amp;_ga=2.47863908.277571369.1703131047-468354832.1697064837</vt:lpwstr>
      </vt:variant>
      <vt:variant>
        <vt:lpwstr/>
      </vt:variant>
      <vt:variant>
        <vt:i4>917571</vt:i4>
      </vt:variant>
      <vt:variant>
        <vt:i4>93</vt:i4>
      </vt:variant>
      <vt:variant>
        <vt:i4>0</vt:i4>
      </vt:variant>
      <vt:variant>
        <vt:i4>5</vt:i4>
      </vt:variant>
      <vt:variant>
        <vt:lpwstr>https://doi.org/10.1080/13596748.2023.2166690</vt:lpwstr>
      </vt:variant>
      <vt:variant>
        <vt:lpwstr/>
      </vt:variant>
      <vt:variant>
        <vt:i4>2162811</vt:i4>
      </vt:variant>
      <vt:variant>
        <vt:i4>90</vt:i4>
      </vt:variant>
      <vt:variant>
        <vt:i4>0</vt:i4>
      </vt:variant>
      <vt:variant>
        <vt:i4>5</vt:i4>
      </vt:variant>
      <vt:variant>
        <vt:lpwstr>https://www.tandfonline.com/doi/full/10.1080/13596748.2023.2166690</vt:lpwstr>
      </vt:variant>
      <vt:variant>
        <vt:lpwstr/>
      </vt:variant>
      <vt:variant>
        <vt:i4>5570580</vt:i4>
      </vt:variant>
      <vt:variant>
        <vt:i4>87</vt:i4>
      </vt:variant>
      <vt:variant>
        <vt:i4>0</vt:i4>
      </vt:variant>
      <vt:variant>
        <vt:i4>5</vt:i4>
      </vt:variant>
      <vt:variant>
        <vt:lpwstr>https://www.voced.edu.au/content/ngv%3A96941</vt:lpwstr>
      </vt:variant>
      <vt:variant>
        <vt:lpwstr/>
      </vt:variant>
      <vt:variant>
        <vt:i4>2949182</vt:i4>
      </vt:variant>
      <vt:variant>
        <vt:i4>84</vt:i4>
      </vt:variant>
      <vt:variant>
        <vt:i4>0</vt:i4>
      </vt:variant>
      <vt:variant>
        <vt:i4>5</vt:i4>
      </vt:variant>
      <vt:variant>
        <vt:lpwstr>https://www.ncver.edu.au/research-and-statistics/publications/all-publications/attracting-industry-experts-to-become-vet-practitioners-a-journey-not-a-destination</vt:lpwstr>
      </vt:variant>
      <vt:variant>
        <vt:lpwstr/>
      </vt:variant>
      <vt:variant>
        <vt:i4>3145773</vt:i4>
      </vt:variant>
      <vt:variant>
        <vt:i4>81</vt:i4>
      </vt:variant>
      <vt:variant>
        <vt:i4>0</vt:i4>
      </vt:variant>
      <vt:variant>
        <vt:i4>5</vt:i4>
      </vt:variant>
      <vt:variant>
        <vt:lpwstr>https://www.bwpat.de/ausgabe/spezial19/li-hodge-knight</vt:lpwstr>
      </vt:variant>
      <vt:variant>
        <vt:lpwstr/>
      </vt:variant>
      <vt:variant>
        <vt:i4>3735590</vt:i4>
      </vt:variant>
      <vt:variant>
        <vt:i4>78</vt:i4>
      </vt:variant>
      <vt:variant>
        <vt:i4>0</vt:i4>
      </vt:variant>
      <vt:variant>
        <vt:i4>5</vt:i4>
      </vt:variant>
      <vt:variant>
        <vt:lpwstr>https://www.ncver.edu.au/research-and-statistics/publications/all-publications/a-short-history-of-initial-vet-teacher-training</vt:lpwstr>
      </vt:variant>
      <vt:variant>
        <vt:lpwstr/>
      </vt:variant>
      <vt:variant>
        <vt:i4>4653165</vt:i4>
      </vt:variant>
      <vt:variant>
        <vt:i4>75</vt:i4>
      </vt:variant>
      <vt:variant>
        <vt:i4>0</vt:i4>
      </vt:variant>
      <vt:variant>
        <vt:i4>5</vt:i4>
      </vt:variant>
      <vt:variant>
        <vt:lpwstr>https://link.springer.com/chapter/10.1007/978-981-16-6474-8_26</vt:lpwstr>
      </vt:variant>
      <vt:variant>
        <vt:lpwstr/>
      </vt:variant>
      <vt:variant>
        <vt:i4>3735590</vt:i4>
      </vt:variant>
      <vt:variant>
        <vt:i4>72</vt:i4>
      </vt:variant>
      <vt:variant>
        <vt:i4>0</vt:i4>
      </vt:variant>
      <vt:variant>
        <vt:i4>5</vt:i4>
      </vt:variant>
      <vt:variant>
        <vt:lpwstr>https://www.ncver.edu.au/research-and-statistics/publications/all-publications/a-short-history-of-initial-vet-teacher-training</vt:lpwstr>
      </vt:variant>
      <vt:variant>
        <vt:lpwstr/>
      </vt:variant>
      <vt:variant>
        <vt:i4>2752626</vt:i4>
      </vt:variant>
      <vt:variant>
        <vt:i4>69</vt:i4>
      </vt:variant>
      <vt:variant>
        <vt:i4>0</vt:i4>
      </vt:variant>
      <vt:variant>
        <vt:i4>5</vt:i4>
      </vt:variant>
      <vt:variant>
        <vt:lpwstr>https://www.dewr.gov.au/skills-reform/quality-reforms/early-changes-current-standards-rtos</vt:lpwstr>
      </vt:variant>
      <vt:variant>
        <vt:lpwstr/>
      </vt:variant>
      <vt:variant>
        <vt:i4>6553696</vt:i4>
      </vt:variant>
      <vt:variant>
        <vt:i4>66</vt:i4>
      </vt:variant>
      <vt:variant>
        <vt:i4>0</vt:i4>
      </vt:variant>
      <vt:variant>
        <vt:i4>5</vt:i4>
      </vt:variant>
      <vt:variant>
        <vt:lpwstr>https://www.asqa.gov.au/sites/default/files/quality_in_the_vet_system_-_a_shared_responsibility.pdf</vt:lpwstr>
      </vt:variant>
      <vt:variant>
        <vt:lpwstr/>
      </vt:variant>
      <vt:variant>
        <vt:i4>1245291</vt:i4>
      </vt:variant>
      <vt:variant>
        <vt:i4>63</vt:i4>
      </vt:variant>
      <vt:variant>
        <vt:i4>0</vt:i4>
      </vt:variant>
      <vt:variant>
        <vt:i4>5</vt:i4>
      </vt:variant>
      <vt:variant>
        <vt:lpwstr>https://parlinfo.aph.gov.au/parlInfo/download/committees/reportrep/024806/toc_pdf/Don'ttakeitasread.pdf;fileType=application%2Fpdf</vt:lpwstr>
      </vt:variant>
      <vt:variant>
        <vt:lpwstr/>
      </vt:variant>
      <vt:variant>
        <vt:i4>4784193</vt:i4>
      </vt:variant>
      <vt:variant>
        <vt:i4>60</vt:i4>
      </vt:variant>
      <vt:variant>
        <vt:i4>0</vt:i4>
      </vt:variant>
      <vt:variant>
        <vt:i4>5</vt:i4>
      </vt:variant>
      <vt:variant>
        <vt:lpwstr>https://training.gov.au/Training/Details/FSK</vt:lpwstr>
      </vt:variant>
      <vt:variant>
        <vt:lpwstr/>
      </vt:variant>
      <vt:variant>
        <vt:i4>3932267</vt:i4>
      </vt:variant>
      <vt:variant>
        <vt:i4>57</vt:i4>
      </vt:variant>
      <vt:variant>
        <vt:i4>0</vt:i4>
      </vt:variant>
      <vt:variant>
        <vt:i4>5</vt:i4>
      </vt:variant>
      <vt:variant>
        <vt:lpwstr>https://www.abs.gov.au/statistics/microdata-tablebuilder/available-microdata-tablebuilder/employee-earnings-and-hours-australia</vt:lpwstr>
      </vt:variant>
      <vt:variant>
        <vt:lpwstr/>
      </vt:variant>
      <vt:variant>
        <vt:i4>3932267</vt:i4>
      </vt:variant>
      <vt:variant>
        <vt:i4>54</vt:i4>
      </vt:variant>
      <vt:variant>
        <vt:i4>0</vt:i4>
      </vt:variant>
      <vt:variant>
        <vt:i4>5</vt:i4>
      </vt:variant>
      <vt:variant>
        <vt:lpwstr>https://www.abs.gov.au/statistics/microdata-tablebuilder/available-microdata-tablebuilder/employee-earnings-and-hours-australia</vt:lpwstr>
      </vt:variant>
      <vt:variant>
        <vt:lpwstr/>
      </vt:variant>
      <vt:variant>
        <vt:i4>1048598</vt:i4>
      </vt:variant>
      <vt:variant>
        <vt:i4>51</vt:i4>
      </vt:variant>
      <vt:variant>
        <vt:i4>0</vt:i4>
      </vt:variant>
      <vt:variant>
        <vt:i4>5</vt:i4>
      </vt:variant>
      <vt:variant>
        <vt:lpwstr>https://www.ncver.edu.au/research-and-statistics/publications/all-publications/vet-student-outcomes-2023</vt:lpwstr>
      </vt:variant>
      <vt:variant>
        <vt:lpwstr/>
      </vt:variant>
      <vt:variant>
        <vt:i4>3801133</vt:i4>
      </vt:variant>
      <vt:variant>
        <vt:i4>48</vt:i4>
      </vt:variant>
      <vt:variant>
        <vt:i4>0</vt:i4>
      </vt:variant>
      <vt:variant>
        <vt:i4>5</vt:i4>
      </vt:variant>
      <vt:variant>
        <vt:lpwstr>https://www.ncver.edu.au/research-and-statistics/publications/all-publications/understanding-the-australian-vocational-education-and-training-workforce</vt:lpwstr>
      </vt:variant>
      <vt:variant>
        <vt:lpwstr/>
      </vt:variant>
      <vt:variant>
        <vt:i4>6029332</vt:i4>
      </vt:variant>
      <vt:variant>
        <vt:i4>45</vt:i4>
      </vt:variant>
      <vt:variant>
        <vt:i4>0</vt:i4>
      </vt:variant>
      <vt:variant>
        <vt:i4>5</vt:i4>
      </vt:variant>
      <vt:variant>
        <vt:lpwstr>https://www.voced.edu.au/content/ngv%3A86747</vt:lpwstr>
      </vt:variant>
      <vt:variant>
        <vt:lpwstr/>
      </vt:variant>
      <vt:variant>
        <vt:i4>6684795</vt:i4>
      </vt:variant>
      <vt:variant>
        <vt:i4>42</vt:i4>
      </vt:variant>
      <vt:variant>
        <vt:i4>0</vt:i4>
      </vt:variant>
      <vt:variant>
        <vt:i4>5</vt:i4>
      </vt:variant>
      <vt:variant>
        <vt:lpwstr>https://www.pc.gov.au/inquiries/completed/education-workforce-vocational/report</vt:lpwstr>
      </vt:variant>
      <vt:variant>
        <vt:lpwstr/>
      </vt:variant>
      <vt:variant>
        <vt:i4>1376349</vt:i4>
      </vt:variant>
      <vt:variant>
        <vt:i4>39</vt:i4>
      </vt:variant>
      <vt:variant>
        <vt:i4>0</vt:i4>
      </vt:variant>
      <vt:variant>
        <vt:i4>5</vt:i4>
      </vt:variant>
      <vt:variant>
        <vt:lpwstr>https://www.aitsl.edu.au/research/spotlights/australia-s-teacher-workforce-today</vt:lpwstr>
      </vt:variant>
      <vt:variant>
        <vt:lpwstr/>
      </vt:variant>
      <vt:variant>
        <vt:i4>6684795</vt:i4>
      </vt:variant>
      <vt:variant>
        <vt:i4>36</vt:i4>
      </vt:variant>
      <vt:variant>
        <vt:i4>0</vt:i4>
      </vt:variant>
      <vt:variant>
        <vt:i4>5</vt:i4>
      </vt:variant>
      <vt:variant>
        <vt:lpwstr>https://www.pc.gov.au/inquiries/completed/education-workforce-vocational/report</vt:lpwstr>
      </vt:variant>
      <vt:variant>
        <vt:lpwstr/>
      </vt:variant>
      <vt:variant>
        <vt:i4>3801133</vt:i4>
      </vt:variant>
      <vt:variant>
        <vt:i4>33</vt:i4>
      </vt:variant>
      <vt:variant>
        <vt:i4>0</vt:i4>
      </vt:variant>
      <vt:variant>
        <vt:i4>5</vt:i4>
      </vt:variant>
      <vt:variant>
        <vt:lpwstr>https://www.ncver.edu.au/research-and-statistics/publications/all-publications/understanding-the-australian-vocational-education-and-training-workforce</vt:lpwstr>
      </vt:variant>
      <vt:variant>
        <vt:lpwstr/>
      </vt:variant>
      <vt:variant>
        <vt:i4>7405606</vt:i4>
      </vt:variant>
      <vt:variant>
        <vt:i4>30</vt:i4>
      </vt:variant>
      <vt:variant>
        <vt:i4>0</vt:i4>
      </vt:variant>
      <vt:variant>
        <vt:i4>5</vt:i4>
      </vt:variant>
      <vt:variant>
        <vt:lpwstr>https://education.nsw.gov.au/news/latest-news/nsw-budget-a-boost-to-tafe-nsw-with-record-investment</vt:lpwstr>
      </vt:variant>
      <vt:variant>
        <vt:lpwstr/>
      </vt:variant>
      <vt:variant>
        <vt:i4>7012403</vt:i4>
      </vt:variant>
      <vt:variant>
        <vt:i4>27</vt:i4>
      </vt:variant>
      <vt:variant>
        <vt:i4>0</vt:i4>
      </vt:variant>
      <vt:variant>
        <vt:i4>5</vt:i4>
      </vt:variant>
      <vt:variant>
        <vt:lpwstr>https://library.fairwork.gov.au/award/?krn=MA000075</vt:lpwstr>
      </vt:variant>
      <vt:variant>
        <vt:lpwstr/>
      </vt:variant>
      <vt:variant>
        <vt:i4>1179726</vt:i4>
      </vt:variant>
      <vt:variant>
        <vt:i4>24</vt:i4>
      </vt:variant>
      <vt:variant>
        <vt:i4>0</vt:i4>
      </vt:variant>
      <vt:variant>
        <vt:i4>5</vt:i4>
      </vt:variant>
      <vt:variant>
        <vt:lpwstr>https://www.jobsandskills.gov.au/data/employment-projections</vt:lpwstr>
      </vt:variant>
      <vt:variant>
        <vt:lpwstr/>
      </vt:variant>
      <vt:variant>
        <vt:i4>3932277</vt:i4>
      </vt:variant>
      <vt:variant>
        <vt:i4>21</vt:i4>
      </vt:variant>
      <vt:variant>
        <vt:i4>0</vt:i4>
      </vt:variant>
      <vt:variant>
        <vt:i4>5</vt:i4>
      </vt:variant>
      <vt:variant>
        <vt:lpwstr>https://www.ncver.edu.au/research-and-statistics/publications/all-publications/an-analysis-of-micro-credentials-in-vet</vt:lpwstr>
      </vt:variant>
      <vt:variant>
        <vt:lpwstr/>
      </vt:variant>
      <vt:variant>
        <vt:i4>1572951</vt:i4>
      </vt:variant>
      <vt:variant>
        <vt:i4>18</vt:i4>
      </vt:variant>
      <vt:variant>
        <vt:i4>0</vt:i4>
      </vt:variant>
      <vt:variant>
        <vt:i4>5</vt:i4>
      </vt:variant>
      <vt:variant>
        <vt:lpwstr>https://www.ncver.edu.au/research-and-statistics/data/databuilder</vt:lpwstr>
      </vt:variant>
      <vt:variant>
        <vt:lpwstr/>
      </vt:variant>
      <vt:variant>
        <vt:i4>3801133</vt:i4>
      </vt:variant>
      <vt:variant>
        <vt:i4>15</vt:i4>
      </vt:variant>
      <vt:variant>
        <vt:i4>0</vt:i4>
      </vt:variant>
      <vt:variant>
        <vt:i4>5</vt:i4>
      </vt:variant>
      <vt:variant>
        <vt:lpwstr>https://www.ncver.edu.au/research-and-statistics/publications/all-publications/understanding-the-australian-vocational-education-and-training-workforce</vt:lpwstr>
      </vt:variant>
      <vt:variant>
        <vt:lpwstr/>
      </vt:variant>
      <vt:variant>
        <vt:i4>6684795</vt:i4>
      </vt:variant>
      <vt:variant>
        <vt:i4>12</vt:i4>
      </vt:variant>
      <vt:variant>
        <vt:i4>0</vt:i4>
      </vt:variant>
      <vt:variant>
        <vt:i4>5</vt:i4>
      </vt:variant>
      <vt:variant>
        <vt:lpwstr>https://www.pc.gov.au/inquiries/completed/education-workforce-vocational/report</vt:lpwstr>
      </vt:variant>
      <vt:variant>
        <vt:lpwstr/>
      </vt:variant>
      <vt:variant>
        <vt:i4>5570580</vt:i4>
      </vt:variant>
      <vt:variant>
        <vt:i4>9</vt:i4>
      </vt:variant>
      <vt:variant>
        <vt:i4>0</vt:i4>
      </vt:variant>
      <vt:variant>
        <vt:i4>5</vt:i4>
      </vt:variant>
      <vt:variant>
        <vt:lpwstr>https://www.voced.edu.au/content/ngv%3A45772</vt:lpwstr>
      </vt:variant>
      <vt:variant>
        <vt:lpwstr/>
      </vt:variant>
      <vt:variant>
        <vt:i4>5636123</vt:i4>
      </vt:variant>
      <vt:variant>
        <vt:i4>6</vt:i4>
      </vt:variant>
      <vt:variant>
        <vt:i4>0</vt:i4>
      </vt:variant>
      <vt:variant>
        <vt:i4>5</vt:i4>
      </vt:variant>
      <vt:variant>
        <vt:lpwstr>https://consult.abs.gov.au/standards-and-classifications/anzsco-comprehensive-review-round-1/results/educationandtraining-preliminaryproposedchanges.pdf</vt:lpwstr>
      </vt:variant>
      <vt:variant>
        <vt:lpwstr/>
      </vt:variant>
      <vt:variant>
        <vt:i4>3801133</vt:i4>
      </vt:variant>
      <vt:variant>
        <vt:i4>3</vt:i4>
      </vt:variant>
      <vt:variant>
        <vt:i4>0</vt:i4>
      </vt:variant>
      <vt:variant>
        <vt:i4>5</vt:i4>
      </vt:variant>
      <vt:variant>
        <vt:lpwstr>https://www.ncver.edu.au/research-and-statistics/publications/all-publications/understanding-the-australian-vocational-education-and-training-workforce</vt:lpwstr>
      </vt:variant>
      <vt:variant>
        <vt:lpwstr/>
      </vt:variant>
      <vt:variant>
        <vt:i4>6684795</vt:i4>
      </vt:variant>
      <vt:variant>
        <vt:i4>0</vt:i4>
      </vt:variant>
      <vt:variant>
        <vt:i4>0</vt:i4>
      </vt:variant>
      <vt:variant>
        <vt:i4>5</vt:i4>
      </vt:variant>
      <vt:variant>
        <vt:lpwstr>https://www.pc.gov.au/inquiries/completed/education-workforce-vocational/report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2024-09-27T03:54:00Z</dcterms:created>
  <dcterms:modified xsi:type="dcterms:W3CDTF">2024-09-27T03:58:00Z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2024-09-27T03:55:56Z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c165348b-f7d2-437f-ba6b-47488471eaef</vt:lpwstr>
  </property>
  <property fmtid="{D5CDD505-2E9C-101B-9397-08002B2CF9AE}" pid="8" name="MSIP_Label_79d889eb-932f-4752-8739-64d25806ef64_ContentBits">
    <vt:lpwstr>0</vt:lpwstr>
  </property>
</Properties>
</file>