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3F9D3303" w:rsidR="00EE49FB" w:rsidRDefault="00093F7D" w:rsidP="006C282B">
      <w:pPr>
        <w:sectPr w:rsidR="00EE49FB" w:rsidSect="00CB5919">
          <w:footerReference w:type="default" r:id="rId11"/>
          <w:headerReference w:type="first" r:id="rId12"/>
          <w:footerReference w:type="first" r:id="rId13"/>
          <w:type w:val="continuous"/>
          <w:pgSz w:w="11906" w:h="16838"/>
          <w:pgMar w:top="2124" w:right="1440" w:bottom="1134" w:left="1440" w:header="0" w:footer="539" w:gutter="0"/>
          <w:pgNumType w:start="1"/>
          <w:cols w:space="708"/>
          <w:titlePg/>
          <w:docGrid w:linePitch="360"/>
        </w:sectPr>
      </w:pPr>
      <w:bookmarkStart w:id="0" w:name="_Toc118443202"/>
      <w:bookmarkStart w:id="1" w:name="_Toc119418020"/>
      <w:r>
        <w:rPr>
          <w:noProof/>
        </w:rPr>
        <w:drawing>
          <wp:anchor distT="0" distB="0" distL="114300" distR="114300" simplePos="0" relativeHeight="251657216" behindDoc="0" locked="0" layoutInCell="1" allowOverlap="1" wp14:anchorId="0CBAD37C" wp14:editId="70F2BF3C">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4BCC52F1" w14:textId="6830D55B" w:rsidR="003E0B70" w:rsidRPr="00B11937" w:rsidRDefault="003E0B70" w:rsidP="00B11937"/>
    <w:p w14:paraId="65CE7F50" w14:textId="4CC98301" w:rsidR="004F2369" w:rsidRPr="00233A75" w:rsidRDefault="000D2208" w:rsidP="00F16142">
      <w:pPr>
        <w:pStyle w:val="Heading1"/>
      </w:pPr>
      <w:sdt>
        <w:sdt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4471FF">
            <w:t>2024 Occupation Shortage List</w:t>
          </w:r>
        </w:sdtContent>
      </w:sdt>
    </w:p>
    <w:p w14:paraId="41949E01" w14:textId="77777777" w:rsidR="00AB2592" w:rsidRDefault="00AB2592" w:rsidP="00BB5F94">
      <w:pPr>
        <w:pStyle w:val="Sub"/>
      </w:pPr>
      <w:bookmarkStart w:id="2" w:name="_Toc147406530"/>
      <w:r w:rsidRPr="00AB2592">
        <w:t>Snapshot of the 2024 Occupation Shortage List Stakeholder Survey results</w:t>
      </w:r>
    </w:p>
    <w:p w14:paraId="3104324A" w14:textId="561D68D6" w:rsidR="00C23B40" w:rsidRDefault="00C23B40" w:rsidP="00C23B40">
      <w:r>
        <w:t xml:space="preserve">In this snapshot report, Jobs and </w:t>
      </w:r>
      <w:r w:rsidR="002C494D">
        <w:t>S</w:t>
      </w:r>
      <w:r>
        <w:t xml:space="preserve">kills Australia summarises the results from the </w:t>
      </w:r>
      <w:r w:rsidRPr="00AA1D47">
        <w:t>2024</w:t>
      </w:r>
      <w:r w:rsidRPr="00645FF3">
        <w:rPr>
          <w:i/>
          <w:iCs/>
        </w:rPr>
        <w:t xml:space="preserve"> Occupation Shortage List (OSL) Stakeholder Survey</w:t>
      </w:r>
      <w:r>
        <w:t>.</w:t>
      </w:r>
    </w:p>
    <w:p w14:paraId="090A1F25" w14:textId="77777777" w:rsidR="00C23B40" w:rsidRDefault="00C23B40" w:rsidP="00C23B40">
      <w:r>
        <w:t xml:space="preserve">The </w:t>
      </w:r>
      <w:r w:rsidRPr="00192B87">
        <w:rPr>
          <w:i/>
          <w:iCs/>
        </w:rPr>
        <w:t>OSL Stakeholder Survey (stakeholder survey)</w:t>
      </w:r>
      <w:r>
        <w:t xml:space="preserve"> is an annual survey that is opened to the public, generally, in November of each year and closes in February the following year. It primarily targets peak bodies, industry groups, professional associations, unions, regional representative bodies, and education and training advisory bodies. However, government agencies, recruitment agencies/labour hire firms, employers and Jobs and Skills Councils are welcome to complete the survey. </w:t>
      </w:r>
    </w:p>
    <w:p w14:paraId="6459953F" w14:textId="77777777" w:rsidR="00C23B40" w:rsidRDefault="00C23B40" w:rsidP="00C23B40">
      <w:r>
        <w:t xml:space="preserve">Please note </w:t>
      </w:r>
      <w:r w:rsidRPr="00A0498D">
        <w:t xml:space="preserve">that the stakeholder survey is different to the </w:t>
      </w:r>
      <w:r w:rsidRPr="00FF6BE6">
        <w:rPr>
          <w:i/>
          <w:iCs/>
        </w:rPr>
        <w:t>Survey of Employers who have Recently Advertised</w:t>
      </w:r>
      <w:r>
        <w:t xml:space="preserve"> (SERA). SERA is a monthly survey of employers operating in the labour market with advertised vacancies. SERA is a structured telephone-based survey. Employers are asked detailed questions about their experiences in recruiting specific advertised vacancies in particular occupations. There is information on about 350 occupations and on average, per year, about 9,000 employers respond to the survey. More information on SERA is in the </w:t>
      </w:r>
      <w:r w:rsidRPr="00102DE9">
        <w:rPr>
          <w:i/>
          <w:iCs/>
        </w:rPr>
        <w:t>2024 OSL Methodology</w:t>
      </w:r>
      <w:r>
        <w:t xml:space="preserve"> paper. </w:t>
      </w:r>
    </w:p>
    <w:p w14:paraId="5BBF84AD" w14:textId="77777777" w:rsidR="00C23B40" w:rsidRDefault="00C23B40" w:rsidP="00C23B40">
      <w:r>
        <w:t xml:space="preserve">Through the stakeholder survey, Jobs and Skills Australia focuses on collecting more high-level and more qualitative information on 3 key areas. These are as follows: </w:t>
      </w:r>
    </w:p>
    <w:p w14:paraId="5D51C52D" w14:textId="77777777" w:rsidR="00C23B40" w:rsidRDefault="00C23B40" w:rsidP="00E80AED">
      <w:pPr>
        <w:pStyle w:val="ListBullet"/>
      </w:pPr>
      <w:r>
        <w:t>Whether the proportion of vacancies filled is low, moderate, or high, by national level, state or territory, and regionality (metropolitan or regional area or both).</w:t>
      </w:r>
    </w:p>
    <w:p w14:paraId="25063181" w14:textId="75E29F0C" w:rsidR="00C23B40" w:rsidRDefault="00C23B40" w:rsidP="00CE7202">
      <w:pPr>
        <w:pStyle w:val="ListBullet"/>
      </w:pPr>
      <w:r>
        <w:t>Where possible, the number of vacancies advertised, vacancies filled, applicants and reasons vacancies were not filled.</w:t>
      </w:r>
    </w:p>
    <w:p w14:paraId="79A5F9C0" w14:textId="11FC8A78" w:rsidR="00C23B40" w:rsidRDefault="00C23B40" w:rsidP="00CE7202">
      <w:pPr>
        <w:pStyle w:val="ListBullet"/>
      </w:pPr>
      <w:r>
        <w:t xml:space="preserve">The evidence supporting the above. </w:t>
      </w:r>
    </w:p>
    <w:p w14:paraId="6F6B3D6C" w14:textId="7EB9C550" w:rsidR="00C23B40" w:rsidRDefault="00C23B40" w:rsidP="00C23B40">
      <w:r>
        <w:t xml:space="preserve">Participants are asked to provide information </w:t>
      </w:r>
      <w:r w:rsidR="00A2435C">
        <w:t xml:space="preserve">at the </w:t>
      </w:r>
      <w:r>
        <w:t>occupation</w:t>
      </w:r>
      <w:r w:rsidR="00A2435C">
        <w:t xml:space="preserve"> level, which is </w:t>
      </w:r>
      <w:r>
        <w:t>defi</w:t>
      </w:r>
      <w:r w:rsidRPr="00A0498D">
        <w:t xml:space="preserve">ned by the </w:t>
      </w:r>
      <w:r w:rsidRPr="00102DE9">
        <w:rPr>
          <w:i/>
          <w:iCs/>
        </w:rPr>
        <w:t>Australian and New Zealand Standard Classification of Occupations</w:t>
      </w:r>
      <w:r w:rsidRPr="00A0498D">
        <w:t xml:space="preserve"> (ANZSCO)</w:t>
      </w:r>
      <w:r>
        <w:t>.</w:t>
      </w:r>
      <w:r w:rsidR="00F03658">
        <w:rPr>
          <w:rStyle w:val="FootnoteReference"/>
        </w:rPr>
        <w:footnoteReference w:id="2"/>
      </w:r>
      <w:r>
        <w:t xml:space="preserve"> </w:t>
      </w:r>
    </w:p>
    <w:p w14:paraId="0020500D" w14:textId="77777777" w:rsidR="00C23B40" w:rsidRDefault="00C23B40" w:rsidP="00C23B40">
      <w:r>
        <w:t>The stakeholder survey results, among other evidence, are used as complementary information for verifying the preliminary OSL occupation ratings, which are based on modelling and SERA data. More information on this is in the 2024 OSL Methodology paper.</w:t>
      </w:r>
    </w:p>
    <w:p w14:paraId="632392E1" w14:textId="72D82BAD" w:rsidR="00AC0A48" w:rsidRDefault="00C23B40" w:rsidP="00C23B40">
      <w:r>
        <w:lastRenderedPageBreak/>
        <w:t>The survey is open-participation and web-based, which has advantages of reach and inclusiveness. However, samples sizes are small and therefore the survey results should be treated with caution. Results in the report are best interpreted as a descriptive review of the data provided by the survey participants.</w:t>
      </w:r>
    </w:p>
    <w:p w14:paraId="4A7E8599" w14:textId="10628FC8" w:rsidR="00C23B40" w:rsidRDefault="009247E8" w:rsidP="009247E8">
      <w:pPr>
        <w:pStyle w:val="Heading2"/>
      </w:pPr>
      <w:r w:rsidRPr="009247E8">
        <w:t>Who responded to the survey?</w:t>
      </w:r>
    </w:p>
    <w:p w14:paraId="0CEF101C" w14:textId="2644B4F1" w:rsidR="00D97AF0" w:rsidRPr="00673243" w:rsidRDefault="00D97AF0" w:rsidP="00D97AF0">
      <w:r>
        <w:t>There were 231 organisations that participated in the 2024 stakeholder survey. However, some organisations made multiple submissions. As such, there were 254 submissions in total. Further, some submissions covered multiple occupations, states and/or territories. With that</w:t>
      </w:r>
      <w:r w:rsidRPr="00673243">
        <w:t>, the 231 organisations provided 1,755 responses for 480 occupations</w:t>
      </w:r>
      <w:r w:rsidR="00451B5F" w:rsidRPr="00673243">
        <w:t xml:space="preserve"> – a</w:t>
      </w:r>
      <w:r w:rsidR="008636D9" w:rsidRPr="00673243">
        <w:t>n</w:t>
      </w:r>
      <w:r w:rsidR="00451B5F" w:rsidRPr="00673243">
        <w:t xml:space="preserve"> </w:t>
      </w:r>
      <w:r w:rsidR="008636D9" w:rsidRPr="00673243">
        <w:t xml:space="preserve">improvement from the 2023 stakeholder survey </w:t>
      </w:r>
      <w:r w:rsidR="002F40AF" w:rsidRPr="00673243">
        <w:t xml:space="preserve">where </w:t>
      </w:r>
      <w:r w:rsidR="008636D9" w:rsidRPr="00673243">
        <w:t>80 responses</w:t>
      </w:r>
      <w:r w:rsidR="00DC7E72" w:rsidRPr="00673243">
        <w:rPr>
          <w:rStyle w:val="FootnoteReference"/>
        </w:rPr>
        <w:footnoteReference w:id="3"/>
      </w:r>
      <w:r w:rsidR="002F40AF" w:rsidRPr="00673243">
        <w:t xml:space="preserve"> were received</w:t>
      </w:r>
      <w:r w:rsidR="002D5A65" w:rsidRPr="00673243">
        <w:t>,</w:t>
      </w:r>
      <w:r w:rsidR="009E295A" w:rsidRPr="00673243">
        <w:t xml:space="preserve"> </w:t>
      </w:r>
      <w:r w:rsidR="002F40AF" w:rsidRPr="00673243">
        <w:t xml:space="preserve">with </w:t>
      </w:r>
      <w:r w:rsidR="00175949" w:rsidRPr="00673243">
        <w:t xml:space="preserve">332 </w:t>
      </w:r>
      <w:r w:rsidR="008636D9" w:rsidRPr="00673243">
        <w:t>occupations</w:t>
      </w:r>
      <w:r w:rsidR="00175949" w:rsidRPr="00673243">
        <w:t xml:space="preserve"> covered</w:t>
      </w:r>
      <w:r w:rsidR="008636D9" w:rsidRPr="00673243">
        <w:t>.</w:t>
      </w:r>
    </w:p>
    <w:p w14:paraId="4A49BD84" w14:textId="7553390A" w:rsidR="00D97AF0" w:rsidRDefault="00D97AF0" w:rsidP="00D97AF0">
      <w:pPr>
        <w:pStyle w:val="ListBullet"/>
      </w:pPr>
      <w:r w:rsidRPr="00673243">
        <w:t>Responses were received from employers (41% of organisations), education and training providers (18%),</w:t>
      </w:r>
      <w:r>
        <w:t xml:space="preserve"> industry groups (14%), peak bodies (6%) and professional associations (</w:t>
      </w:r>
      <w:r w:rsidR="003A6449">
        <w:t>5</w:t>
      </w:r>
      <w:r>
        <w:t xml:space="preserve">%). </w:t>
      </w:r>
      <w:r w:rsidR="00876CFE" w:rsidRPr="00CE0093">
        <w:t xml:space="preserve">See </w:t>
      </w:r>
      <w:r w:rsidR="00876CFE" w:rsidRPr="00CE0093">
        <w:fldChar w:fldCharType="begin"/>
      </w:r>
      <w:r w:rsidR="00876CFE" w:rsidRPr="00CE0093">
        <w:instrText xml:space="preserve"> REF _Ref169646819 \h  \* MERGEFORMAT </w:instrText>
      </w:r>
      <w:r w:rsidR="00876CFE" w:rsidRPr="00CE0093">
        <w:fldChar w:fldCharType="separate"/>
      </w:r>
      <w:r w:rsidR="000D2208" w:rsidRPr="00276822">
        <w:t xml:space="preserve">Table </w:t>
      </w:r>
      <w:r w:rsidR="000D2208">
        <w:t>1</w:t>
      </w:r>
      <w:r w:rsidR="00876CFE" w:rsidRPr="00CE0093">
        <w:fldChar w:fldCharType="end"/>
      </w:r>
      <w:r w:rsidR="00876CFE" w:rsidRPr="00CE0093">
        <w:t>.</w:t>
      </w:r>
    </w:p>
    <w:p w14:paraId="5B37AE8A" w14:textId="167A52AC" w:rsidR="009247E8" w:rsidRDefault="00D97AF0" w:rsidP="00D97AF0">
      <w:pPr>
        <w:pStyle w:val="ListBullet"/>
      </w:pPr>
      <w:r>
        <w:t>Unions, regional bodies, recruitment agencies/labour hire firms and government agencies/departments composed the remaining 17% of responses.</w:t>
      </w:r>
    </w:p>
    <w:p w14:paraId="3A96F66C" w14:textId="22230057" w:rsidR="009314F0" w:rsidRPr="00276822" w:rsidRDefault="009314F0" w:rsidP="009314F0">
      <w:pPr>
        <w:pStyle w:val="Caption"/>
      </w:pPr>
      <w:bookmarkStart w:id="3" w:name="_Ref169646819"/>
      <w:r w:rsidRPr="00276822">
        <w:t xml:space="preserve">Table </w:t>
      </w:r>
      <w:r w:rsidRPr="00276822">
        <w:fldChar w:fldCharType="begin"/>
      </w:r>
      <w:r w:rsidRPr="00276822">
        <w:instrText>SEQ Table \* ARABIC</w:instrText>
      </w:r>
      <w:r w:rsidRPr="00276822">
        <w:fldChar w:fldCharType="separate"/>
      </w:r>
      <w:r w:rsidR="000D2208">
        <w:rPr>
          <w:noProof/>
        </w:rPr>
        <w:t>1</w:t>
      </w:r>
      <w:r w:rsidRPr="00276822">
        <w:fldChar w:fldCharType="end"/>
      </w:r>
      <w:bookmarkEnd w:id="3"/>
      <w:r w:rsidRPr="00276822">
        <w:t>: Organisation types</w:t>
      </w:r>
    </w:p>
    <w:tbl>
      <w:tblPr>
        <w:tblStyle w:val="JSATable1"/>
        <w:tblW w:w="0" w:type="auto"/>
        <w:tblLayout w:type="fixed"/>
        <w:tblLook w:val="04A0" w:firstRow="1" w:lastRow="0" w:firstColumn="1" w:lastColumn="0" w:noHBand="0" w:noVBand="1"/>
      </w:tblPr>
      <w:tblGrid>
        <w:gridCol w:w="3544"/>
        <w:gridCol w:w="1370"/>
        <w:gridCol w:w="1371"/>
        <w:gridCol w:w="1370"/>
        <w:gridCol w:w="1371"/>
      </w:tblGrid>
      <w:tr w:rsidR="009E6CA9" w:rsidRPr="005F4B53" w14:paraId="03F05478" w14:textId="77777777" w:rsidTr="00090416">
        <w:trPr>
          <w:cnfStyle w:val="100000000000" w:firstRow="1" w:lastRow="0" w:firstColumn="0" w:lastColumn="0" w:oddVBand="0" w:evenVBand="0" w:oddHBand="0" w:evenHBand="0" w:firstRowFirstColumn="0" w:firstRowLastColumn="0" w:lastRowFirstColumn="0" w:lastRowLastColumn="0"/>
          <w:trHeight w:val="397"/>
        </w:trPr>
        <w:tc>
          <w:tcPr>
            <w:tcW w:w="3544" w:type="dxa"/>
            <w:noWrap/>
          </w:tcPr>
          <w:p w14:paraId="4C784E7F" w14:textId="77777777" w:rsidR="009E6CA9" w:rsidRPr="002955E8" w:rsidRDefault="009E6CA9">
            <w:pPr>
              <w:rPr>
                <w:rFonts w:eastAsia="Times New Roman" w:cs="Arial"/>
                <w:color w:val="FFFFFF" w:themeColor="background1"/>
                <w:lang w:eastAsia="en-AU"/>
              </w:rPr>
            </w:pPr>
            <w:bookmarkStart w:id="4" w:name="_Hlk144219381"/>
            <w:r w:rsidRPr="002955E8">
              <w:rPr>
                <w:rFonts w:cs="Arial"/>
                <w:color w:val="FFFFFF" w:themeColor="background1"/>
              </w:rPr>
              <w:t>Organisation type</w:t>
            </w:r>
          </w:p>
        </w:tc>
        <w:tc>
          <w:tcPr>
            <w:tcW w:w="1370" w:type="dxa"/>
          </w:tcPr>
          <w:p w14:paraId="3BDE3A80" w14:textId="388BD7F8" w:rsidR="009E6CA9" w:rsidRDefault="009E6CA9">
            <w:pPr>
              <w:jc w:val="right"/>
              <w:rPr>
                <w:rFonts w:cs="Arial"/>
                <w:color w:val="FFFFFF" w:themeColor="background1"/>
              </w:rPr>
            </w:pPr>
            <w:r>
              <w:rPr>
                <w:rFonts w:cs="Arial"/>
                <w:color w:val="FFFFFF" w:themeColor="background1"/>
              </w:rPr>
              <w:t>Responses 2023 (no.)</w:t>
            </w:r>
          </w:p>
        </w:tc>
        <w:tc>
          <w:tcPr>
            <w:tcW w:w="1371" w:type="dxa"/>
          </w:tcPr>
          <w:p w14:paraId="0FF28C47" w14:textId="28DB2509" w:rsidR="009E6CA9" w:rsidRPr="002955E8" w:rsidRDefault="00BF416D">
            <w:pPr>
              <w:jc w:val="right"/>
              <w:rPr>
                <w:rFonts w:cs="Arial"/>
                <w:color w:val="FFFFFF" w:themeColor="background1"/>
              </w:rPr>
            </w:pPr>
            <w:r>
              <w:rPr>
                <w:rFonts w:cs="Arial"/>
                <w:color w:val="FFFFFF" w:themeColor="background1"/>
              </w:rPr>
              <w:t>Responses 2023 (%)</w:t>
            </w:r>
          </w:p>
        </w:tc>
        <w:tc>
          <w:tcPr>
            <w:tcW w:w="1370" w:type="dxa"/>
            <w:noWrap/>
          </w:tcPr>
          <w:p w14:paraId="3E683FFE" w14:textId="23A995A2" w:rsidR="009E6CA9" w:rsidRPr="002955E8" w:rsidRDefault="009E6CA9">
            <w:pPr>
              <w:jc w:val="right"/>
              <w:rPr>
                <w:rFonts w:eastAsia="Times New Roman" w:cs="Arial"/>
                <w:color w:val="FFFFFF" w:themeColor="background1"/>
                <w:lang w:eastAsia="en-AU"/>
              </w:rPr>
            </w:pPr>
            <w:r w:rsidRPr="002955E8">
              <w:rPr>
                <w:rFonts w:cs="Arial"/>
                <w:color w:val="FFFFFF" w:themeColor="background1"/>
              </w:rPr>
              <w:t xml:space="preserve">Responses </w:t>
            </w:r>
            <w:r>
              <w:rPr>
                <w:rFonts w:cs="Arial"/>
                <w:color w:val="FFFFFF" w:themeColor="background1"/>
              </w:rPr>
              <w:t>2024</w:t>
            </w:r>
            <w:r w:rsidRPr="002955E8">
              <w:rPr>
                <w:rFonts w:cs="Arial"/>
                <w:color w:val="FFFFFF" w:themeColor="background1"/>
              </w:rPr>
              <w:t xml:space="preserve"> (no.)</w:t>
            </w:r>
          </w:p>
        </w:tc>
        <w:tc>
          <w:tcPr>
            <w:tcW w:w="1371" w:type="dxa"/>
            <w:noWrap/>
          </w:tcPr>
          <w:p w14:paraId="406BD5A8" w14:textId="1071B02C" w:rsidR="009E6CA9" w:rsidRPr="002955E8" w:rsidRDefault="009E6CA9">
            <w:pPr>
              <w:jc w:val="right"/>
              <w:rPr>
                <w:rFonts w:eastAsia="Times New Roman" w:cs="Arial"/>
                <w:color w:val="FFFFFF" w:themeColor="background1"/>
                <w:lang w:eastAsia="en-AU"/>
              </w:rPr>
            </w:pPr>
            <w:r w:rsidRPr="002955E8">
              <w:rPr>
                <w:rFonts w:cs="Arial"/>
                <w:color w:val="FFFFFF" w:themeColor="background1"/>
              </w:rPr>
              <w:t xml:space="preserve">Responses </w:t>
            </w:r>
            <w:r w:rsidR="00ED5D22">
              <w:rPr>
                <w:rFonts w:cs="Arial"/>
                <w:color w:val="FFFFFF" w:themeColor="background1"/>
              </w:rPr>
              <w:t xml:space="preserve">2024 </w:t>
            </w:r>
            <w:r w:rsidRPr="002955E8">
              <w:rPr>
                <w:rFonts w:cs="Arial"/>
                <w:color w:val="FFFFFF" w:themeColor="background1"/>
              </w:rPr>
              <w:t>(%)</w:t>
            </w:r>
          </w:p>
        </w:tc>
      </w:tr>
      <w:tr w:rsidR="00E600A5" w:rsidRPr="005F4B53" w14:paraId="3009F030" w14:textId="77777777" w:rsidTr="00090416">
        <w:trPr>
          <w:trHeight w:val="397"/>
        </w:trPr>
        <w:tc>
          <w:tcPr>
            <w:tcW w:w="3544" w:type="dxa"/>
            <w:noWrap/>
            <w:hideMark/>
          </w:tcPr>
          <w:p w14:paraId="35E5292E" w14:textId="69710617" w:rsidR="00E600A5" w:rsidRPr="00406BB2" w:rsidRDefault="00E600A5" w:rsidP="00E600A5">
            <w:pPr>
              <w:rPr>
                <w:rFonts w:eastAsia="Times New Roman" w:cs="Arial"/>
                <w:color w:val="0070C0"/>
                <w:lang w:eastAsia="en-AU"/>
              </w:rPr>
            </w:pPr>
            <w:r w:rsidRPr="00220DD8">
              <w:t>Employer</w:t>
            </w:r>
          </w:p>
        </w:tc>
        <w:tc>
          <w:tcPr>
            <w:tcW w:w="1370" w:type="dxa"/>
          </w:tcPr>
          <w:p w14:paraId="5606F9EB" w14:textId="5FFF082B" w:rsidR="00E600A5" w:rsidRPr="002210CC" w:rsidRDefault="00E600A5" w:rsidP="00E600A5">
            <w:pPr>
              <w:spacing w:after="0" w:line="259" w:lineRule="auto"/>
              <w:jc w:val="right"/>
            </w:pPr>
            <w:r w:rsidRPr="002210CC">
              <w:t>NA</w:t>
            </w:r>
            <w:r w:rsidR="00A0513A" w:rsidRPr="002210CC">
              <w:rPr>
                <w:rStyle w:val="FootnoteReference"/>
              </w:rPr>
              <w:footnoteReference w:id="4"/>
            </w:r>
          </w:p>
        </w:tc>
        <w:tc>
          <w:tcPr>
            <w:tcW w:w="1371" w:type="dxa"/>
          </w:tcPr>
          <w:p w14:paraId="02AE5E59" w14:textId="23AFFBAE" w:rsidR="00E600A5" w:rsidRPr="002210CC" w:rsidRDefault="00E600A5" w:rsidP="00E600A5">
            <w:pPr>
              <w:spacing w:after="0" w:line="259" w:lineRule="auto"/>
              <w:jc w:val="right"/>
            </w:pPr>
            <w:r w:rsidRPr="002210CC">
              <w:t>NA</w:t>
            </w:r>
          </w:p>
        </w:tc>
        <w:tc>
          <w:tcPr>
            <w:tcW w:w="1370" w:type="dxa"/>
            <w:noWrap/>
            <w:hideMark/>
          </w:tcPr>
          <w:p w14:paraId="33699C48" w14:textId="70144E26" w:rsidR="00E600A5" w:rsidRPr="00EB619C" w:rsidRDefault="00E600A5" w:rsidP="00E600A5">
            <w:pPr>
              <w:spacing w:after="0" w:line="259" w:lineRule="auto"/>
              <w:jc w:val="right"/>
            </w:pPr>
            <w:r w:rsidRPr="00714EA1">
              <w:t>96</w:t>
            </w:r>
          </w:p>
        </w:tc>
        <w:tc>
          <w:tcPr>
            <w:tcW w:w="1371" w:type="dxa"/>
            <w:noWrap/>
            <w:hideMark/>
          </w:tcPr>
          <w:p w14:paraId="759D5670" w14:textId="526369D0" w:rsidR="00E600A5" w:rsidRPr="00406BB2" w:rsidRDefault="00E600A5" w:rsidP="00E600A5">
            <w:pPr>
              <w:jc w:val="right"/>
              <w:rPr>
                <w:rFonts w:eastAsia="Times New Roman" w:cs="Arial"/>
                <w:color w:val="0070C0"/>
                <w:lang w:eastAsia="en-AU"/>
              </w:rPr>
            </w:pPr>
            <w:r w:rsidRPr="00807D30">
              <w:t>41%</w:t>
            </w:r>
          </w:p>
        </w:tc>
      </w:tr>
      <w:tr w:rsidR="00E600A5" w:rsidRPr="005F4B53" w14:paraId="28B924B3" w14:textId="77777777" w:rsidTr="00090416">
        <w:trPr>
          <w:cnfStyle w:val="000000010000" w:firstRow="0" w:lastRow="0" w:firstColumn="0" w:lastColumn="0" w:oddVBand="0" w:evenVBand="0" w:oddHBand="0" w:evenHBand="1" w:firstRowFirstColumn="0" w:firstRowLastColumn="0" w:lastRowFirstColumn="0" w:lastRowLastColumn="0"/>
          <w:trHeight w:val="397"/>
        </w:trPr>
        <w:tc>
          <w:tcPr>
            <w:tcW w:w="3544" w:type="dxa"/>
            <w:noWrap/>
          </w:tcPr>
          <w:p w14:paraId="03E1FB43" w14:textId="30038AD4" w:rsidR="00E600A5" w:rsidRPr="0096357F" w:rsidRDefault="00E600A5" w:rsidP="00E600A5">
            <w:r w:rsidRPr="00220DD8">
              <w:t>Education and training provider</w:t>
            </w:r>
          </w:p>
        </w:tc>
        <w:tc>
          <w:tcPr>
            <w:tcW w:w="1370" w:type="dxa"/>
          </w:tcPr>
          <w:p w14:paraId="06B8CD2B" w14:textId="2DDF0C55" w:rsidR="00E600A5" w:rsidRPr="002210CC" w:rsidRDefault="00E600A5" w:rsidP="00E600A5">
            <w:pPr>
              <w:spacing w:after="0" w:line="259" w:lineRule="auto"/>
              <w:jc w:val="right"/>
            </w:pPr>
            <w:r w:rsidRPr="002210CC">
              <w:t>NA</w:t>
            </w:r>
          </w:p>
        </w:tc>
        <w:tc>
          <w:tcPr>
            <w:tcW w:w="1371" w:type="dxa"/>
          </w:tcPr>
          <w:p w14:paraId="279E42F6" w14:textId="3156FE14" w:rsidR="00E600A5" w:rsidRPr="002210CC" w:rsidRDefault="00E600A5" w:rsidP="00E600A5">
            <w:pPr>
              <w:spacing w:after="0" w:line="259" w:lineRule="auto"/>
              <w:jc w:val="right"/>
            </w:pPr>
            <w:r w:rsidRPr="002210CC">
              <w:t>NA</w:t>
            </w:r>
          </w:p>
        </w:tc>
        <w:tc>
          <w:tcPr>
            <w:tcW w:w="1370" w:type="dxa"/>
            <w:noWrap/>
          </w:tcPr>
          <w:p w14:paraId="0F70F8A8" w14:textId="36737769" w:rsidR="00E600A5" w:rsidRPr="00BD303F" w:rsidRDefault="00E600A5" w:rsidP="00E600A5">
            <w:pPr>
              <w:spacing w:after="0" w:line="259" w:lineRule="auto"/>
              <w:jc w:val="right"/>
            </w:pPr>
            <w:r w:rsidRPr="00714EA1">
              <w:t>42</w:t>
            </w:r>
          </w:p>
        </w:tc>
        <w:tc>
          <w:tcPr>
            <w:tcW w:w="1371" w:type="dxa"/>
            <w:noWrap/>
          </w:tcPr>
          <w:p w14:paraId="7C000B29" w14:textId="4ADF4201" w:rsidR="00E600A5" w:rsidRPr="00876B37" w:rsidRDefault="00E600A5" w:rsidP="00E600A5">
            <w:pPr>
              <w:jc w:val="right"/>
            </w:pPr>
            <w:r w:rsidRPr="00807D30">
              <w:t>18%</w:t>
            </w:r>
          </w:p>
        </w:tc>
      </w:tr>
      <w:tr w:rsidR="009E6CA9" w:rsidRPr="005F4B53" w14:paraId="376AC209" w14:textId="77777777" w:rsidTr="00090416">
        <w:trPr>
          <w:trHeight w:val="397"/>
        </w:trPr>
        <w:tc>
          <w:tcPr>
            <w:tcW w:w="3544" w:type="dxa"/>
            <w:noWrap/>
            <w:hideMark/>
          </w:tcPr>
          <w:p w14:paraId="085031B0" w14:textId="60243BDB" w:rsidR="009E6CA9" w:rsidRPr="00406BB2" w:rsidRDefault="009E6CA9" w:rsidP="00D24EE9">
            <w:pPr>
              <w:rPr>
                <w:rFonts w:eastAsia="Times New Roman" w:cs="Arial"/>
                <w:color w:val="0070C0"/>
                <w:lang w:eastAsia="en-AU"/>
              </w:rPr>
            </w:pPr>
            <w:r w:rsidRPr="00220DD8">
              <w:t>Industry group</w:t>
            </w:r>
          </w:p>
        </w:tc>
        <w:tc>
          <w:tcPr>
            <w:tcW w:w="1370" w:type="dxa"/>
          </w:tcPr>
          <w:p w14:paraId="64C7286E" w14:textId="634969CD" w:rsidR="009E6CA9" w:rsidRPr="002210CC" w:rsidRDefault="009E6CA9" w:rsidP="00D24EE9">
            <w:pPr>
              <w:jc w:val="right"/>
            </w:pPr>
            <w:r w:rsidRPr="002210CC">
              <w:t>31</w:t>
            </w:r>
          </w:p>
        </w:tc>
        <w:tc>
          <w:tcPr>
            <w:tcW w:w="1371" w:type="dxa"/>
          </w:tcPr>
          <w:p w14:paraId="50BB3858" w14:textId="497B588F" w:rsidR="009E6CA9" w:rsidRPr="002210CC" w:rsidRDefault="007C2CE2" w:rsidP="00D24EE9">
            <w:pPr>
              <w:jc w:val="right"/>
            </w:pPr>
            <w:r w:rsidRPr="002210CC">
              <w:t>39%</w:t>
            </w:r>
          </w:p>
        </w:tc>
        <w:tc>
          <w:tcPr>
            <w:tcW w:w="1370" w:type="dxa"/>
            <w:noWrap/>
            <w:hideMark/>
          </w:tcPr>
          <w:p w14:paraId="078EF506" w14:textId="428E3655" w:rsidR="009E6CA9" w:rsidRPr="00EB619C" w:rsidRDefault="009E6CA9" w:rsidP="00D24EE9">
            <w:pPr>
              <w:jc w:val="right"/>
              <w:rPr>
                <w:rFonts w:eastAsia="Times New Roman" w:cs="Arial"/>
                <w:lang w:eastAsia="en-AU"/>
              </w:rPr>
            </w:pPr>
            <w:r w:rsidRPr="00714EA1">
              <w:t>33</w:t>
            </w:r>
          </w:p>
        </w:tc>
        <w:tc>
          <w:tcPr>
            <w:tcW w:w="1371" w:type="dxa"/>
            <w:noWrap/>
            <w:hideMark/>
          </w:tcPr>
          <w:p w14:paraId="125A909E" w14:textId="37D82E4E" w:rsidR="009E6CA9" w:rsidRPr="00EB619C" w:rsidRDefault="009E6CA9" w:rsidP="00D24EE9">
            <w:pPr>
              <w:jc w:val="right"/>
              <w:rPr>
                <w:rFonts w:eastAsia="Times New Roman" w:cs="Arial"/>
                <w:lang w:eastAsia="en-AU"/>
              </w:rPr>
            </w:pPr>
            <w:r w:rsidRPr="00807D30">
              <w:t>14%</w:t>
            </w:r>
          </w:p>
        </w:tc>
      </w:tr>
      <w:tr w:rsidR="009E6CA9" w:rsidRPr="005F4B53" w14:paraId="45797D13" w14:textId="77777777" w:rsidTr="00090416">
        <w:trPr>
          <w:cnfStyle w:val="000000010000" w:firstRow="0" w:lastRow="0" w:firstColumn="0" w:lastColumn="0" w:oddVBand="0" w:evenVBand="0" w:oddHBand="0" w:evenHBand="1" w:firstRowFirstColumn="0" w:firstRowLastColumn="0" w:lastRowFirstColumn="0" w:lastRowLastColumn="0"/>
          <w:trHeight w:val="397"/>
        </w:trPr>
        <w:tc>
          <w:tcPr>
            <w:tcW w:w="3544" w:type="dxa"/>
            <w:noWrap/>
          </w:tcPr>
          <w:p w14:paraId="15A2956F" w14:textId="080FF370" w:rsidR="009E6CA9" w:rsidRPr="0096357F" w:rsidRDefault="009E6CA9" w:rsidP="00D24EE9">
            <w:r w:rsidRPr="00220DD8">
              <w:t>Peak body</w:t>
            </w:r>
          </w:p>
        </w:tc>
        <w:tc>
          <w:tcPr>
            <w:tcW w:w="1370" w:type="dxa"/>
          </w:tcPr>
          <w:p w14:paraId="01226868" w14:textId="5ECDCCA6" w:rsidR="009E6CA9" w:rsidRPr="002210CC" w:rsidRDefault="009E6CA9" w:rsidP="00D24EE9">
            <w:pPr>
              <w:jc w:val="right"/>
            </w:pPr>
            <w:r w:rsidRPr="002210CC">
              <w:t>38</w:t>
            </w:r>
          </w:p>
        </w:tc>
        <w:tc>
          <w:tcPr>
            <w:tcW w:w="1371" w:type="dxa"/>
          </w:tcPr>
          <w:p w14:paraId="7E8D9083" w14:textId="29E1AC38" w:rsidR="009E6CA9" w:rsidRPr="002210CC" w:rsidRDefault="00866A6F" w:rsidP="00D24EE9">
            <w:pPr>
              <w:jc w:val="right"/>
            </w:pPr>
            <w:r w:rsidRPr="002210CC">
              <w:t>48%</w:t>
            </w:r>
          </w:p>
        </w:tc>
        <w:tc>
          <w:tcPr>
            <w:tcW w:w="1370" w:type="dxa"/>
            <w:noWrap/>
          </w:tcPr>
          <w:p w14:paraId="194B85B7" w14:textId="6605A1F0" w:rsidR="009E6CA9" w:rsidRPr="00062B73" w:rsidRDefault="009E6CA9" w:rsidP="00D24EE9">
            <w:pPr>
              <w:jc w:val="right"/>
            </w:pPr>
            <w:r w:rsidRPr="00714EA1">
              <w:t>14</w:t>
            </w:r>
          </w:p>
        </w:tc>
        <w:tc>
          <w:tcPr>
            <w:tcW w:w="1371" w:type="dxa"/>
            <w:noWrap/>
          </w:tcPr>
          <w:p w14:paraId="01556E6A" w14:textId="5ADE5F05" w:rsidR="009E6CA9" w:rsidRPr="001218E9" w:rsidRDefault="009E6CA9" w:rsidP="00D24EE9">
            <w:pPr>
              <w:jc w:val="right"/>
            </w:pPr>
            <w:r w:rsidRPr="00807D30">
              <w:t>6%</w:t>
            </w:r>
          </w:p>
        </w:tc>
      </w:tr>
      <w:tr w:rsidR="00E600A5" w:rsidRPr="005F4B53" w14:paraId="6A117D9A" w14:textId="77777777" w:rsidTr="00090416">
        <w:trPr>
          <w:trHeight w:val="397"/>
        </w:trPr>
        <w:tc>
          <w:tcPr>
            <w:tcW w:w="3544" w:type="dxa"/>
            <w:noWrap/>
          </w:tcPr>
          <w:p w14:paraId="561860D2" w14:textId="66FAD286" w:rsidR="00E600A5" w:rsidRPr="008A4321" w:rsidRDefault="00E600A5" w:rsidP="00E600A5">
            <w:r w:rsidRPr="00220DD8">
              <w:t>Professional Association</w:t>
            </w:r>
          </w:p>
        </w:tc>
        <w:tc>
          <w:tcPr>
            <w:tcW w:w="1370" w:type="dxa"/>
          </w:tcPr>
          <w:p w14:paraId="65FC3172" w14:textId="0E286679" w:rsidR="00E600A5" w:rsidRPr="002210CC" w:rsidRDefault="00E600A5" w:rsidP="00E600A5">
            <w:pPr>
              <w:jc w:val="right"/>
            </w:pPr>
            <w:r w:rsidRPr="002210CC">
              <w:t>NA</w:t>
            </w:r>
          </w:p>
        </w:tc>
        <w:tc>
          <w:tcPr>
            <w:tcW w:w="1371" w:type="dxa"/>
          </w:tcPr>
          <w:p w14:paraId="09DEB0BF" w14:textId="6D580A26" w:rsidR="00E600A5" w:rsidRPr="002210CC" w:rsidRDefault="00E600A5" w:rsidP="00E600A5">
            <w:pPr>
              <w:jc w:val="right"/>
            </w:pPr>
            <w:r w:rsidRPr="002210CC">
              <w:t>NA</w:t>
            </w:r>
          </w:p>
        </w:tc>
        <w:tc>
          <w:tcPr>
            <w:tcW w:w="1370" w:type="dxa"/>
            <w:noWrap/>
          </w:tcPr>
          <w:p w14:paraId="00473D39" w14:textId="55818C9C" w:rsidR="00E600A5" w:rsidRPr="00BD303F" w:rsidRDefault="00E600A5" w:rsidP="00E600A5">
            <w:pPr>
              <w:jc w:val="right"/>
            </w:pPr>
            <w:r w:rsidRPr="00714EA1">
              <w:t>12</w:t>
            </w:r>
          </w:p>
        </w:tc>
        <w:tc>
          <w:tcPr>
            <w:tcW w:w="1371" w:type="dxa"/>
            <w:noWrap/>
          </w:tcPr>
          <w:p w14:paraId="48045A85" w14:textId="1FF02E0B" w:rsidR="00E600A5" w:rsidRPr="00BD303F" w:rsidRDefault="00E600A5" w:rsidP="00E600A5">
            <w:pPr>
              <w:jc w:val="right"/>
            </w:pPr>
            <w:r w:rsidRPr="00807D30">
              <w:t>5%</w:t>
            </w:r>
          </w:p>
        </w:tc>
      </w:tr>
      <w:tr w:rsidR="00E600A5" w:rsidRPr="005F4B53" w14:paraId="4CC8EF3D" w14:textId="77777777" w:rsidTr="00090416">
        <w:trPr>
          <w:cnfStyle w:val="000000010000" w:firstRow="0" w:lastRow="0" w:firstColumn="0" w:lastColumn="0" w:oddVBand="0" w:evenVBand="0" w:oddHBand="0" w:evenHBand="1" w:firstRowFirstColumn="0" w:firstRowLastColumn="0" w:lastRowFirstColumn="0" w:lastRowLastColumn="0"/>
          <w:trHeight w:val="397"/>
        </w:trPr>
        <w:tc>
          <w:tcPr>
            <w:tcW w:w="3544" w:type="dxa"/>
            <w:noWrap/>
          </w:tcPr>
          <w:p w14:paraId="35E5128A" w14:textId="70E26761" w:rsidR="00E600A5" w:rsidRPr="008A4321" w:rsidRDefault="00E600A5" w:rsidP="00E600A5">
            <w:r w:rsidRPr="00220DD8">
              <w:t>Government agency/department</w:t>
            </w:r>
          </w:p>
        </w:tc>
        <w:tc>
          <w:tcPr>
            <w:tcW w:w="1370" w:type="dxa"/>
          </w:tcPr>
          <w:p w14:paraId="3A95FDE7" w14:textId="3C547F9C" w:rsidR="00E600A5" w:rsidRPr="002210CC" w:rsidRDefault="00E600A5" w:rsidP="00E600A5">
            <w:pPr>
              <w:jc w:val="right"/>
            </w:pPr>
            <w:r w:rsidRPr="002210CC">
              <w:t>NA</w:t>
            </w:r>
          </w:p>
        </w:tc>
        <w:tc>
          <w:tcPr>
            <w:tcW w:w="1371" w:type="dxa"/>
          </w:tcPr>
          <w:p w14:paraId="1843C485" w14:textId="658A4A57" w:rsidR="00E600A5" w:rsidRPr="002210CC" w:rsidRDefault="00E600A5" w:rsidP="00E600A5">
            <w:pPr>
              <w:jc w:val="right"/>
            </w:pPr>
            <w:r w:rsidRPr="002210CC">
              <w:t>NA</w:t>
            </w:r>
          </w:p>
        </w:tc>
        <w:tc>
          <w:tcPr>
            <w:tcW w:w="1370" w:type="dxa"/>
            <w:noWrap/>
          </w:tcPr>
          <w:p w14:paraId="3005157F" w14:textId="1076DA00" w:rsidR="00E600A5" w:rsidRPr="00BD303F" w:rsidRDefault="00E600A5" w:rsidP="00E600A5">
            <w:pPr>
              <w:jc w:val="right"/>
            </w:pPr>
            <w:r w:rsidRPr="00714EA1">
              <w:t>10</w:t>
            </w:r>
          </w:p>
        </w:tc>
        <w:tc>
          <w:tcPr>
            <w:tcW w:w="1371" w:type="dxa"/>
            <w:noWrap/>
          </w:tcPr>
          <w:p w14:paraId="4E16690D" w14:textId="5C230CB3" w:rsidR="00E600A5" w:rsidRPr="00BD303F" w:rsidRDefault="00E600A5" w:rsidP="00E600A5">
            <w:pPr>
              <w:jc w:val="right"/>
            </w:pPr>
            <w:r w:rsidRPr="00807D30">
              <w:t>4%</w:t>
            </w:r>
          </w:p>
        </w:tc>
      </w:tr>
      <w:tr w:rsidR="00E600A5" w:rsidRPr="005F4B53" w14:paraId="49388B82" w14:textId="77777777" w:rsidTr="00090416">
        <w:trPr>
          <w:trHeight w:val="397"/>
        </w:trPr>
        <w:tc>
          <w:tcPr>
            <w:tcW w:w="3544" w:type="dxa"/>
            <w:noWrap/>
          </w:tcPr>
          <w:p w14:paraId="31FE7CB1" w14:textId="48DBDA1F" w:rsidR="00E600A5" w:rsidRPr="008A4321" w:rsidRDefault="00E600A5" w:rsidP="00E600A5">
            <w:r w:rsidRPr="00220DD8">
              <w:t xml:space="preserve">Education and training </w:t>
            </w:r>
            <w:r w:rsidR="00090416">
              <w:br/>
            </w:r>
            <w:r w:rsidRPr="00220DD8">
              <w:t>advisory body</w:t>
            </w:r>
          </w:p>
        </w:tc>
        <w:tc>
          <w:tcPr>
            <w:tcW w:w="1370" w:type="dxa"/>
          </w:tcPr>
          <w:p w14:paraId="111AFF98" w14:textId="39C9E78C" w:rsidR="00E600A5" w:rsidRPr="002210CC" w:rsidRDefault="00E600A5" w:rsidP="00E600A5">
            <w:pPr>
              <w:jc w:val="right"/>
            </w:pPr>
            <w:r w:rsidRPr="002210CC">
              <w:t>NA</w:t>
            </w:r>
          </w:p>
        </w:tc>
        <w:tc>
          <w:tcPr>
            <w:tcW w:w="1371" w:type="dxa"/>
          </w:tcPr>
          <w:p w14:paraId="6E14CA8E" w14:textId="0552D33C" w:rsidR="00E600A5" w:rsidRPr="002210CC" w:rsidRDefault="00E600A5" w:rsidP="00E600A5">
            <w:pPr>
              <w:jc w:val="right"/>
            </w:pPr>
            <w:r w:rsidRPr="002210CC">
              <w:t>NA</w:t>
            </w:r>
          </w:p>
        </w:tc>
        <w:tc>
          <w:tcPr>
            <w:tcW w:w="1370" w:type="dxa"/>
            <w:noWrap/>
          </w:tcPr>
          <w:p w14:paraId="0B025F8E" w14:textId="251E2916" w:rsidR="00E600A5" w:rsidRPr="00BD303F" w:rsidRDefault="00E600A5" w:rsidP="00E600A5">
            <w:pPr>
              <w:jc w:val="right"/>
            </w:pPr>
            <w:r w:rsidRPr="00714EA1">
              <w:t>5</w:t>
            </w:r>
          </w:p>
        </w:tc>
        <w:tc>
          <w:tcPr>
            <w:tcW w:w="1371" w:type="dxa"/>
            <w:noWrap/>
          </w:tcPr>
          <w:p w14:paraId="75188879" w14:textId="47AB0B6A" w:rsidR="00E600A5" w:rsidRPr="00BD303F" w:rsidRDefault="00E600A5" w:rsidP="00E600A5">
            <w:pPr>
              <w:jc w:val="right"/>
            </w:pPr>
            <w:r w:rsidRPr="00807D30">
              <w:t>2%</w:t>
            </w:r>
          </w:p>
        </w:tc>
      </w:tr>
      <w:tr w:rsidR="009E6CA9" w:rsidRPr="005F4B53" w14:paraId="1E6FDA47" w14:textId="77777777" w:rsidTr="00090416">
        <w:trPr>
          <w:cnfStyle w:val="000000010000" w:firstRow="0" w:lastRow="0" w:firstColumn="0" w:lastColumn="0" w:oddVBand="0" w:evenVBand="0" w:oddHBand="0" w:evenHBand="1" w:firstRowFirstColumn="0" w:firstRowLastColumn="0" w:lastRowFirstColumn="0" w:lastRowLastColumn="0"/>
          <w:trHeight w:val="397"/>
        </w:trPr>
        <w:tc>
          <w:tcPr>
            <w:tcW w:w="3544" w:type="dxa"/>
            <w:noWrap/>
            <w:hideMark/>
          </w:tcPr>
          <w:p w14:paraId="60C00DF4" w14:textId="50A000A1" w:rsidR="009E6CA9" w:rsidRPr="00406BB2" w:rsidRDefault="009E6CA9" w:rsidP="00D24EE9">
            <w:pPr>
              <w:rPr>
                <w:rFonts w:eastAsia="Times New Roman" w:cs="Arial"/>
                <w:color w:val="0070C0"/>
                <w:lang w:eastAsia="en-AU"/>
              </w:rPr>
            </w:pPr>
            <w:r w:rsidRPr="00220DD8">
              <w:t>Regional body</w:t>
            </w:r>
          </w:p>
        </w:tc>
        <w:tc>
          <w:tcPr>
            <w:tcW w:w="1370" w:type="dxa"/>
          </w:tcPr>
          <w:p w14:paraId="53A5A83E" w14:textId="384AD792" w:rsidR="009E6CA9" w:rsidRPr="002210CC" w:rsidRDefault="009E6CA9" w:rsidP="00D24EE9">
            <w:pPr>
              <w:jc w:val="right"/>
            </w:pPr>
            <w:r w:rsidRPr="002210CC">
              <w:t>3</w:t>
            </w:r>
          </w:p>
        </w:tc>
        <w:tc>
          <w:tcPr>
            <w:tcW w:w="1371" w:type="dxa"/>
          </w:tcPr>
          <w:p w14:paraId="57EF7216" w14:textId="6CBA1BAB" w:rsidR="009E6CA9" w:rsidRPr="002210CC" w:rsidRDefault="004D6F4F" w:rsidP="00D24EE9">
            <w:pPr>
              <w:jc w:val="right"/>
            </w:pPr>
            <w:r w:rsidRPr="002210CC">
              <w:t>4%</w:t>
            </w:r>
          </w:p>
        </w:tc>
        <w:tc>
          <w:tcPr>
            <w:tcW w:w="1370" w:type="dxa"/>
            <w:noWrap/>
            <w:hideMark/>
          </w:tcPr>
          <w:p w14:paraId="42E43CF5" w14:textId="4702DB58" w:rsidR="009E6CA9" w:rsidRPr="00EB619C" w:rsidRDefault="009E6CA9" w:rsidP="00D24EE9">
            <w:pPr>
              <w:jc w:val="right"/>
              <w:rPr>
                <w:rFonts w:eastAsia="Times New Roman" w:cs="Arial"/>
                <w:lang w:eastAsia="en-AU"/>
              </w:rPr>
            </w:pPr>
            <w:r w:rsidRPr="00714EA1">
              <w:t>4</w:t>
            </w:r>
          </w:p>
        </w:tc>
        <w:tc>
          <w:tcPr>
            <w:tcW w:w="1371" w:type="dxa"/>
            <w:noWrap/>
            <w:hideMark/>
          </w:tcPr>
          <w:p w14:paraId="49034B62" w14:textId="79A67975" w:rsidR="009E6CA9" w:rsidRPr="00EB619C" w:rsidRDefault="009E6CA9" w:rsidP="00D24EE9">
            <w:pPr>
              <w:jc w:val="right"/>
              <w:rPr>
                <w:rFonts w:eastAsia="Times New Roman" w:cs="Arial"/>
                <w:lang w:eastAsia="en-AU"/>
              </w:rPr>
            </w:pPr>
            <w:r w:rsidRPr="00807D30">
              <w:t>2%</w:t>
            </w:r>
          </w:p>
        </w:tc>
      </w:tr>
      <w:tr w:rsidR="009E6CA9" w:rsidRPr="005F4B53" w14:paraId="7B64A3C5" w14:textId="77777777" w:rsidTr="00090416">
        <w:trPr>
          <w:trHeight w:val="397"/>
        </w:trPr>
        <w:tc>
          <w:tcPr>
            <w:tcW w:w="3544" w:type="dxa"/>
            <w:noWrap/>
            <w:hideMark/>
          </w:tcPr>
          <w:p w14:paraId="441589F1" w14:textId="65521702" w:rsidR="009E6CA9" w:rsidRPr="00406BB2" w:rsidRDefault="009E6CA9" w:rsidP="00D24EE9">
            <w:pPr>
              <w:rPr>
                <w:rFonts w:eastAsia="Times New Roman" w:cs="Arial"/>
                <w:color w:val="0070C0"/>
                <w:lang w:eastAsia="en-AU"/>
              </w:rPr>
            </w:pPr>
            <w:r w:rsidRPr="00220DD8">
              <w:t>Union</w:t>
            </w:r>
          </w:p>
        </w:tc>
        <w:tc>
          <w:tcPr>
            <w:tcW w:w="1370" w:type="dxa"/>
          </w:tcPr>
          <w:p w14:paraId="49CEA6B5" w14:textId="31EC249C" w:rsidR="009E6CA9" w:rsidRPr="002210CC" w:rsidRDefault="009E6CA9" w:rsidP="00D24EE9">
            <w:pPr>
              <w:jc w:val="right"/>
            </w:pPr>
            <w:r w:rsidRPr="002210CC">
              <w:t>4</w:t>
            </w:r>
          </w:p>
        </w:tc>
        <w:tc>
          <w:tcPr>
            <w:tcW w:w="1371" w:type="dxa"/>
          </w:tcPr>
          <w:p w14:paraId="6806311E" w14:textId="2729B8D3" w:rsidR="009E6CA9" w:rsidRPr="002210CC" w:rsidRDefault="009B62C8" w:rsidP="00D24EE9">
            <w:pPr>
              <w:jc w:val="right"/>
            </w:pPr>
            <w:r w:rsidRPr="002210CC">
              <w:t>5%</w:t>
            </w:r>
          </w:p>
        </w:tc>
        <w:tc>
          <w:tcPr>
            <w:tcW w:w="1370" w:type="dxa"/>
            <w:noWrap/>
            <w:hideMark/>
          </w:tcPr>
          <w:p w14:paraId="0959CC94" w14:textId="25D0796A" w:rsidR="009E6CA9" w:rsidRPr="00EB619C" w:rsidRDefault="009E6CA9" w:rsidP="00D24EE9">
            <w:pPr>
              <w:jc w:val="right"/>
              <w:rPr>
                <w:rFonts w:eastAsia="Times New Roman" w:cs="Arial"/>
                <w:lang w:eastAsia="en-AU"/>
              </w:rPr>
            </w:pPr>
            <w:r w:rsidRPr="00714EA1">
              <w:t>2</w:t>
            </w:r>
          </w:p>
        </w:tc>
        <w:tc>
          <w:tcPr>
            <w:tcW w:w="1371" w:type="dxa"/>
            <w:noWrap/>
            <w:hideMark/>
          </w:tcPr>
          <w:p w14:paraId="5509FE11" w14:textId="2FA478A3" w:rsidR="009E6CA9" w:rsidRPr="00EB619C" w:rsidRDefault="009E6CA9" w:rsidP="00D24EE9">
            <w:pPr>
              <w:jc w:val="right"/>
              <w:rPr>
                <w:rFonts w:eastAsia="Times New Roman" w:cs="Arial"/>
                <w:lang w:eastAsia="en-AU"/>
              </w:rPr>
            </w:pPr>
            <w:r w:rsidRPr="00807D30">
              <w:t>1%</w:t>
            </w:r>
          </w:p>
        </w:tc>
      </w:tr>
      <w:tr w:rsidR="009E6CA9" w:rsidRPr="005F4B53" w14:paraId="681DCF5F" w14:textId="77777777" w:rsidTr="00090416">
        <w:trPr>
          <w:cnfStyle w:val="000000010000" w:firstRow="0" w:lastRow="0" w:firstColumn="0" w:lastColumn="0" w:oddVBand="0" w:evenVBand="0" w:oddHBand="0" w:evenHBand="1" w:firstRowFirstColumn="0" w:firstRowLastColumn="0" w:lastRowFirstColumn="0" w:lastRowLastColumn="0"/>
          <w:trHeight w:val="397"/>
        </w:trPr>
        <w:tc>
          <w:tcPr>
            <w:tcW w:w="3544" w:type="dxa"/>
            <w:noWrap/>
            <w:hideMark/>
          </w:tcPr>
          <w:p w14:paraId="5EEBB559" w14:textId="3868F665" w:rsidR="009E6CA9" w:rsidRPr="00406BB2" w:rsidRDefault="009E6CA9" w:rsidP="00D24EE9">
            <w:pPr>
              <w:rPr>
                <w:rFonts w:eastAsia="Times New Roman" w:cs="Arial"/>
                <w:color w:val="0070C0"/>
                <w:lang w:eastAsia="en-AU"/>
              </w:rPr>
            </w:pPr>
            <w:r w:rsidRPr="00220DD8">
              <w:t>Other</w:t>
            </w:r>
          </w:p>
        </w:tc>
        <w:tc>
          <w:tcPr>
            <w:tcW w:w="1370" w:type="dxa"/>
          </w:tcPr>
          <w:p w14:paraId="0DD670F7" w14:textId="5C2A3136" w:rsidR="009E6CA9" w:rsidRPr="002210CC" w:rsidRDefault="009E6CA9" w:rsidP="00D24EE9">
            <w:pPr>
              <w:jc w:val="right"/>
            </w:pPr>
            <w:r w:rsidRPr="002210CC">
              <w:t>4</w:t>
            </w:r>
          </w:p>
        </w:tc>
        <w:tc>
          <w:tcPr>
            <w:tcW w:w="1371" w:type="dxa"/>
          </w:tcPr>
          <w:p w14:paraId="0AE2F092" w14:textId="78CA3798" w:rsidR="009E6CA9" w:rsidRPr="002210CC" w:rsidRDefault="00060EBB" w:rsidP="00D24EE9">
            <w:pPr>
              <w:jc w:val="right"/>
            </w:pPr>
            <w:r w:rsidRPr="002210CC">
              <w:t>5%</w:t>
            </w:r>
          </w:p>
        </w:tc>
        <w:tc>
          <w:tcPr>
            <w:tcW w:w="1370" w:type="dxa"/>
            <w:noWrap/>
            <w:hideMark/>
          </w:tcPr>
          <w:p w14:paraId="1399100B" w14:textId="45CABD8C" w:rsidR="009E6CA9" w:rsidRPr="00EB619C" w:rsidRDefault="009E6CA9" w:rsidP="00D24EE9">
            <w:pPr>
              <w:jc w:val="right"/>
              <w:rPr>
                <w:rFonts w:eastAsia="Times New Roman" w:cs="Arial"/>
                <w:lang w:eastAsia="en-AU"/>
              </w:rPr>
            </w:pPr>
            <w:r w:rsidRPr="00714EA1">
              <w:t>18</w:t>
            </w:r>
          </w:p>
        </w:tc>
        <w:tc>
          <w:tcPr>
            <w:tcW w:w="1371" w:type="dxa"/>
            <w:noWrap/>
            <w:hideMark/>
          </w:tcPr>
          <w:p w14:paraId="7209415F" w14:textId="5B5FB5F6" w:rsidR="009E6CA9" w:rsidRPr="00406BB2" w:rsidRDefault="009E6CA9" w:rsidP="00D24EE9">
            <w:pPr>
              <w:jc w:val="right"/>
              <w:rPr>
                <w:rFonts w:eastAsia="Times New Roman" w:cs="Arial"/>
                <w:color w:val="0070C0"/>
                <w:lang w:eastAsia="en-AU"/>
              </w:rPr>
            </w:pPr>
            <w:r w:rsidRPr="00807D30">
              <w:t>8%</w:t>
            </w:r>
          </w:p>
        </w:tc>
      </w:tr>
      <w:tr w:rsidR="009E6CA9" w:rsidRPr="005F4B53" w14:paraId="4E43E562" w14:textId="77777777" w:rsidTr="00090416">
        <w:trPr>
          <w:trHeight w:val="397"/>
        </w:trPr>
        <w:tc>
          <w:tcPr>
            <w:tcW w:w="3544" w:type="dxa"/>
            <w:noWrap/>
          </w:tcPr>
          <w:p w14:paraId="5AA96513" w14:textId="77777777" w:rsidR="009E6CA9" w:rsidRPr="00406BB2" w:rsidRDefault="009E6CA9">
            <w:pPr>
              <w:rPr>
                <w:rFonts w:eastAsia="Times New Roman" w:cs="Arial"/>
                <w:b/>
                <w:bCs/>
                <w:color w:val="0070C0"/>
                <w:lang w:eastAsia="en-AU"/>
              </w:rPr>
            </w:pPr>
            <w:r w:rsidRPr="00EB619C">
              <w:rPr>
                <w:b/>
              </w:rPr>
              <w:t>Total</w:t>
            </w:r>
          </w:p>
        </w:tc>
        <w:tc>
          <w:tcPr>
            <w:tcW w:w="1370" w:type="dxa"/>
          </w:tcPr>
          <w:p w14:paraId="2A17CDFA" w14:textId="2268422D" w:rsidR="009E6CA9" w:rsidRPr="002210CC" w:rsidRDefault="009E6CA9">
            <w:pPr>
              <w:spacing w:after="0" w:line="259" w:lineRule="auto"/>
              <w:jc w:val="right"/>
            </w:pPr>
            <w:r w:rsidRPr="002210CC">
              <w:t>80</w:t>
            </w:r>
          </w:p>
        </w:tc>
        <w:tc>
          <w:tcPr>
            <w:tcW w:w="1371" w:type="dxa"/>
          </w:tcPr>
          <w:p w14:paraId="30E4B989" w14:textId="6CD0C63C" w:rsidR="009E6CA9" w:rsidRPr="002210CC" w:rsidRDefault="00060EBB">
            <w:pPr>
              <w:spacing w:after="0" w:line="259" w:lineRule="auto"/>
              <w:jc w:val="right"/>
            </w:pPr>
            <w:r w:rsidRPr="002210CC">
              <w:t>100%</w:t>
            </w:r>
          </w:p>
        </w:tc>
        <w:tc>
          <w:tcPr>
            <w:tcW w:w="1370" w:type="dxa"/>
            <w:noWrap/>
          </w:tcPr>
          <w:p w14:paraId="2F976385" w14:textId="7B6D45B3" w:rsidR="009E6CA9" w:rsidRPr="00EB619C" w:rsidRDefault="009E6CA9">
            <w:pPr>
              <w:spacing w:after="0" w:line="259" w:lineRule="auto"/>
              <w:jc w:val="right"/>
              <w:rPr>
                <w:b/>
              </w:rPr>
            </w:pPr>
            <w:r w:rsidRPr="00BD303F">
              <w:t>236</w:t>
            </w:r>
          </w:p>
        </w:tc>
        <w:tc>
          <w:tcPr>
            <w:tcW w:w="1371" w:type="dxa"/>
            <w:noWrap/>
          </w:tcPr>
          <w:p w14:paraId="5DD1A215" w14:textId="77777777" w:rsidR="009E6CA9" w:rsidRPr="00406BB2" w:rsidRDefault="009E6CA9">
            <w:pPr>
              <w:jc w:val="right"/>
              <w:rPr>
                <w:rFonts w:eastAsia="Times New Roman" w:cs="Arial"/>
                <w:b/>
                <w:bCs/>
                <w:color w:val="0070C0"/>
                <w:lang w:eastAsia="en-AU"/>
              </w:rPr>
            </w:pPr>
            <w:r w:rsidRPr="00BD303F">
              <w:t>100%</w:t>
            </w:r>
          </w:p>
        </w:tc>
      </w:tr>
    </w:tbl>
    <w:bookmarkEnd w:id="4"/>
    <w:p w14:paraId="28438739" w14:textId="005B3C6F" w:rsidR="00E72414" w:rsidRPr="00673243" w:rsidRDefault="009314F0" w:rsidP="00686C4F">
      <w:pPr>
        <w:pStyle w:val="Source"/>
      </w:pPr>
      <w:r w:rsidRPr="00CE0093">
        <w:t xml:space="preserve">Source: Jobs and Skills Australia, 2024 </w:t>
      </w:r>
      <w:r w:rsidR="00E148D1">
        <w:t>Occupation Shortage List</w:t>
      </w:r>
      <w:r w:rsidRPr="00CE0093">
        <w:t xml:space="preserve"> Stakeholder Survey.</w:t>
      </w:r>
      <w:r w:rsidR="00B20CB1">
        <w:t xml:space="preserve"> </w:t>
      </w:r>
      <w:r w:rsidR="00686C4F">
        <w:br/>
      </w:r>
      <w:r w:rsidR="00E72414" w:rsidRPr="00CE6BFA">
        <w:rPr>
          <w:iCs/>
        </w:rPr>
        <w:t>Note:</w:t>
      </w:r>
      <w:r w:rsidR="00E72414" w:rsidRPr="00286D4D">
        <w:t xml:space="preserve"> Jobs and Skills Australia received 254 submissions from 231 participants. These 23 additional submissions were included in the analysis as they provided unique information about different occupations and/or different regions. In 5 of the additional 23 submissions, participants reported a different organisation type which is why the total in </w:t>
      </w:r>
      <w:r w:rsidR="00E72414" w:rsidRPr="00286D4D">
        <w:fldChar w:fldCharType="begin"/>
      </w:r>
      <w:r w:rsidR="00E72414" w:rsidRPr="00286D4D">
        <w:instrText xml:space="preserve"> REF _Ref169646819 \h  \* MERGEFORMAT </w:instrText>
      </w:r>
      <w:r w:rsidR="00E72414" w:rsidRPr="00286D4D">
        <w:fldChar w:fldCharType="separate"/>
      </w:r>
      <w:r w:rsidR="000D2208" w:rsidRPr="00276822">
        <w:t xml:space="preserve">Table </w:t>
      </w:r>
      <w:r w:rsidR="000D2208">
        <w:t>1</w:t>
      </w:r>
      <w:r w:rsidR="00E72414" w:rsidRPr="00286D4D">
        <w:fldChar w:fldCharType="end"/>
      </w:r>
      <w:r w:rsidR="00E72414" w:rsidRPr="00286D4D">
        <w:t xml:space="preserve"> is 236. These 5 submissions were not discarded due to the additional information provided. </w:t>
      </w:r>
      <w:r w:rsidR="00E72414">
        <w:t xml:space="preserve">The percentage calculations sum to 101%, this discrepancy is the result of rounding at the </w:t>
      </w:r>
      <w:r w:rsidR="00E72414" w:rsidRPr="00673243">
        <w:t>organisation type level.</w:t>
      </w:r>
    </w:p>
    <w:p w14:paraId="41A75B8A" w14:textId="78F604BF" w:rsidR="00E72414" w:rsidRPr="00673243" w:rsidRDefault="00E72414" w:rsidP="00E72414">
      <w:r w:rsidRPr="00673243">
        <w:lastRenderedPageBreak/>
        <w:t xml:space="preserve">Responses were received for all 19 industries defined in the </w:t>
      </w:r>
      <w:r w:rsidRPr="00EA714A">
        <w:rPr>
          <w:i/>
          <w:iCs/>
        </w:rPr>
        <w:t>Australian and New Zealand Standard Industrial Classification</w:t>
      </w:r>
      <w:r w:rsidRPr="00673243">
        <w:t xml:space="preserve"> (ANZSIC)</w:t>
      </w:r>
      <w:r w:rsidR="00775C0E" w:rsidRPr="00673243">
        <w:t>; by comparison</w:t>
      </w:r>
      <w:r w:rsidR="004D02CB" w:rsidRPr="00673243">
        <w:t>,</w:t>
      </w:r>
      <w:r w:rsidR="00775C0E" w:rsidRPr="00673243">
        <w:t xml:space="preserve"> </w:t>
      </w:r>
      <w:r w:rsidR="007D2404" w:rsidRPr="00673243">
        <w:t>there were only 12 industries</w:t>
      </w:r>
      <w:r w:rsidR="002F5E11" w:rsidRPr="00673243">
        <w:t xml:space="preserve"> represented in 2023</w:t>
      </w:r>
      <w:r w:rsidRPr="00673243">
        <w:t xml:space="preserve">. Response numbers for industries are shown in </w:t>
      </w:r>
      <w:r w:rsidRPr="00673243">
        <w:fldChar w:fldCharType="begin"/>
      </w:r>
      <w:r w:rsidRPr="00673243">
        <w:instrText xml:space="preserve"> REF _Ref170476263 \h  \* MERGEFORMAT </w:instrText>
      </w:r>
      <w:r w:rsidRPr="00673243">
        <w:fldChar w:fldCharType="separate"/>
      </w:r>
      <w:r w:rsidR="000D2208" w:rsidRPr="000D2208">
        <w:rPr>
          <w:rFonts w:cs="Arial"/>
        </w:rPr>
        <w:t>Table 2</w:t>
      </w:r>
      <w:r w:rsidRPr="00673243">
        <w:fldChar w:fldCharType="end"/>
      </w:r>
      <w:r w:rsidR="000B7FD8" w:rsidRPr="00673243">
        <w:t>.</w:t>
      </w:r>
    </w:p>
    <w:p w14:paraId="3FF20757" w14:textId="01ED7826" w:rsidR="00D97AF0" w:rsidRPr="002F7B19" w:rsidRDefault="00EA11A4" w:rsidP="00090416">
      <w:r w:rsidRPr="00673243">
        <w:t>The largest number of responses were from organisations</w:t>
      </w:r>
      <w:r w:rsidRPr="002F7B19">
        <w:t xml:space="preserve"> that indicated that they represented the Education and Training industry (15% of responses). This was followed by Health Care and Social Assistance (9%) and Construction (7%).</w:t>
      </w:r>
    </w:p>
    <w:p w14:paraId="20CF1F29" w14:textId="42CE6601" w:rsidR="00917116" w:rsidRPr="00CE6BFA" w:rsidRDefault="00917116" w:rsidP="00917116">
      <w:pPr>
        <w:pStyle w:val="Caption"/>
      </w:pPr>
      <w:bookmarkStart w:id="5" w:name="_Ref169264944"/>
      <w:bookmarkStart w:id="6" w:name="_Ref170476263"/>
      <w:bookmarkStart w:id="7" w:name="_Ref169814311"/>
      <w:r w:rsidRPr="0003607E">
        <w:t xml:space="preserve">Table </w:t>
      </w:r>
      <w:r w:rsidRPr="0003607E">
        <w:fldChar w:fldCharType="begin"/>
      </w:r>
      <w:r w:rsidRPr="007F13EA">
        <w:instrText>SEQ Table \* ARABIC</w:instrText>
      </w:r>
      <w:r w:rsidRPr="0003607E">
        <w:fldChar w:fldCharType="separate"/>
      </w:r>
      <w:r w:rsidR="000D2208">
        <w:rPr>
          <w:noProof/>
        </w:rPr>
        <w:t>2</w:t>
      </w:r>
      <w:r w:rsidRPr="0003607E">
        <w:fldChar w:fldCharType="end"/>
      </w:r>
      <w:bookmarkEnd w:id="5"/>
      <w:bookmarkEnd w:id="6"/>
      <w:r w:rsidRPr="0003607E">
        <w:t xml:space="preserve">: ANZSIC industries by number </w:t>
      </w:r>
      <w:r>
        <w:t xml:space="preserve">and percentage </w:t>
      </w:r>
      <w:r w:rsidRPr="0003607E">
        <w:t>of survey participants</w:t>
      </w:r>
    </w:p>
    <w:tbl>
      <w:tblPr>
        <w:tblStyle w:val="JSATable1"/>
        <w:tblpPr w:leftFromText="180" w:rightFromText="180" w:vertAnchor="text" w:tblpY="1"/>
        <w:tblW w:w="0" w:type="auto"/>
        <w:tblLook w:val="04A0" w:firstRow="1" w:lastRow="0" w:firstColumn="1" w:lastColumn="0" w:noHBand="0" w:noVBand="1"/>
      </w:tblPr>
      <w:tblGrid>
        <w:gridCol w:w="4765"/>
        <w:gridCol w:w="1831"/>
        <w:gridCol w:w="1720"/>
      </w:tblGrid>
      <w:tr w:rsidR="00917116" w:rsidRPr="005F4B53" w14:paraId="311C60F4" w14:textId="77777777">
        <w:trPr>
          <w:cnfStyle w:val="100000000000" w:firstRow="1" w:lastRow="0" w:firstColumn="0" w:lastColumn="0" w:oddVBand="0" w:evenVBand="0" w:oddHBand="0" w:evenHBand="0" w:firstRowFirstColumn="0" w:firstRowLastColumn="0" w:lastRowFirstColumn="0" w:lastRowLastColumn="0"/>
        </w:trPr>
        <w:tc>
          <w:tcPr>
            <w:tcW w:w="0" w:type="auto"/>
            <w:noWrap/>
          </w:tcPr>
          <w:bookmarkEnd w:id="7"/>
          <w:p w14:paraId="44EB28DB" w14:textId="77777777" w:rsidR="00917116" w:rsidRPr="005F4B53" w:rsidRDefault="00917116">
            <w:pPr>
              <w:rPr>
                <w:rFonts w:eastAsia="Times New Roman" w:cs="Arial"/>
                <w:b/>
                <w:color w:val="FFFFFF" w:themeColor="background1"/>
                <w:lang w:eastAsia="en-AU"/>
              </w:rPr>
            </w:pPr>
            <w:r w:rsidRPr="005F4B53">
              <w:rPr>
                <w:rFonts w:eastAsia="Times New Roman" w:cs="Arial"/>
                <w:color w:val="FFFFFF" w:themeColor="background1"/>
                <w:lang w:eastAsia="en-AU"/>
              </w:rPr>
              <w:t>Industry</w:t>
            </w:r>
          </w:p>
        </w:tc>
        <w:tc>
          <w:tcPr>
            <w:tcW w:w="0" w:type="auto"/>
          </w:tcPr>
          <w:p w14:paraId="0C8B45E9" w14:textId="77777777" w:rsidR="00917116" w:rsidRPr="005F4B53" w:rsidRDefault="00917116">
            <w:pPr>
              <w:jc w:val="right"/>
              <w:rPr>
                <w:rFonts w:eastAsia="Times New Roman" w:cs="Arial"/>
                <w:color w:val="FFFFFF" w:themeColor="background1"/>
                <w:lang w:eastAsia="en-AU"/>
              </w:rPr>
            </w:pPr>
            <w:r w:rsidRPr="005F4B53">
              <w:rPr>
                <w:rFonts w:eastAsia="Times New Roman" w:cs="Arial"/>
                <w:color w:val="FFFFFF" w:themeColor="background1"/>
                <w:lang w:eastAsia="en-AU"/>
              </w:rPr>
              <w:t>Responses (</w:t>
            </w:r>
            <w:r w:rsidRPr="00E02076">
              <w:rPr>
                <w:rFonts w:eastAsia="Times New Roman" w:cs="Arial"/>
                <w:color w:val="FFFFFF" w:themeColor="background1"/>
                <w:lang w:eastAsia="en-AU"/>
              </w:rPr>
              <w:t>n</w:t>
            </w:r>
            <w:r>
              <w:rPr>
                <w:rFonts w:eastAsia="Times New Roman" w:cs="Arial"/>
                <w:color w:val="FFFFFF" w:themeColor="background1"/>
                <w:lang w:eastAsia="en-AU"/>
              </w:rPr>
              <w:t>o.</w:t>
            </w:r>
            <w:r w:rsidRPr="00F47813">
              <w:rPr>
                <w:rFonts w:eastAsia="Times New Roman" w:cs="Arial"/>
                <w:color w:val="FFFFFF" w:themeColor="background1"/>
                <w:lang w:eastAsia="en-AU"/>
              </w:rPr>
              <w:t>)</w:t>
            </w:r>
          </w:p>
        </w:tc>
        <w:tc>
          <w:tcPr>
            <w:tcW w:w="0" w:type="auto"/>
          </w:tcPr>
          <w:p w14:paraId="5605A1C8" w14:textId="77777777" w:rsidR="00917116" w:rsidRPr="005F4B53" w:rsidRDefault="00917116">
            <w:pPr>
              <w:jc w:val="right"/>
              <w:rPr>
                <w:rFonts w:eastAsia="Times New Roman" w:cs="Arial"/>
                <w:color w:val="FFFFFF" w:themeColor="background1"/>
                <w:lang w:eastAsia="en-AU"/>
              </w:rPr>
            </w:pPr>
            <w:r w:rsidRPr="005F4B53">
              <w:rPr>
                <w:rFonts w:eastAsia="Times New Roman" w:cs="Arial"/>
                <w:color w:val="FFFFFF" w:themeColor="background1"/>
                <w:lang w:eastAsia="en-AU"/>
              </w:rPr>
              <w:t>Responses (%)</w:t>
            </w:r>
          </w:p>
        </w:tc>
      </w:tr>
      <w:tr w:rsidR="00917116" w:rsidRPr="005F4B53" w14:paraId="3C31536F" w14:textId="77777777">
        <w:tc>
          <w:tcPr>
            <w:tcW w:w="0" w:type="auto"/>
          </w:tcPr>
          <w:p w14:paraId="28C04EAD" w14:textId="77777777" w:rsidR="00917116" w:rsidRDefault="00917116">
            <w:r>
              <w:t>Education and Training</w:t>
            </w:r>
          </w:p>
        </w:tc>
        <w:tc>
          <w:tcPr>
            <w:tcW w:w="0" w:type="auto"/>
          </w:tcPr>
          <w:p w14:paraId="74971B1C" w14:textId="77777777" w:rsidR="00917116" w:rsidRDefault="00917116">
            <w:pPr>
              <w:jc w:val="right"/>
            </w:pPr>
            <w:r>
              <w:t>72</w:t>
            </w:r>
          </w:p>
        </w:tc>
        <w:tc>
          <w:tcPr>
            <w:tcW w:w="0" w:type="auto"/>
          </w:tcPr>
          <w:p w14:paraId="63F80053" w14:textId="77777777" w:rsidR="00917116" w:rsidRDefault="00917116">
            <w:pPr>
              <w:jc w:val="right"/>
            </w:pPr>
            <w:r w:rsidRPr="00D65EB8">
              <w:t>15</w:t>
            </w:r>
            <w:r>
              <w:t>%</w:t>
            </w:r>
          </w:p>
        </w:tc>
      </w:tr>
      <w:tr w:rsidR="00917116" w:rsidRPr="005F4B53" w14:paraId="6B40E9B5" w14:textId="77777777">
        <w:trPr>
          <w:cnfStyle w:val="000000010000" w:firstRow="0" w:lastRow="0" w:firstColumn="0" w:lastColumn="0" w:oddVBand="0" w:evenVBand="0" w:oddHBand="0" w:evenHBand="1" w:firstRowFirstColumn="0" w:firstRowLastColumn="0" w:lastRowFirstColumn="0" w:lastRowLastColumn="0"/>
        </w:trPr>
        <w:tc>
          <w:tcPr>
            <w:tcW w:w="0" w:type="auto"/>
          </w:tcPr>
          <w:p w14:paraId="4B5A96A6" w14:textId="77777777" w:rsidR="00917116" w:rsidRDefault="00917116">
            <w:r>
              <w:t>Health Care and Social Assistance</w:t>
            </w:r>
          </w:p>
        </w:tc>
        <w:tc>
          <w:tcPr>
            <w:tcW w:w="0" w:type="auto"/>
          </w:tcPr>
          <w:p w14:paraId="6D524986" w14:textId="77777777" w:rsidR="00917116" w:rsidRDefault="00917116">
            <w:pPr>
              <w:jc w:val="right"/>
            </w:pPr>
            <w:r>
              <w:t>44</w:t>
            </w:r>
          </w:p>
        </w:tc>
        <w:tc>
          <w:tcPr>
            <w:tcW w:w="0" w:type="auto"/>
          </w:tcPr>
          <w:p w14:paraId="08DB971D" w14:textId="77777777" w:rsidR="00917116" w:rsidRDefault="00917116">
            <w:pPr>
              <w:jc w:val="right"/>
            </w:pPr>
            <w:r w:rsidRPr="00D65EB8">
              <w:t>9</w:t>
            </w:r>
            <w:r>
              <w:t>%</w:t>
            </w:r>
          </w:p>
        </w:tc>
      </w:tr>
      <w:tr w:rsidR="00917116" w:rsidRPr="005F4B53" w14:paraId="424E3A36" w14:textId="77777777">
        <w:tc>
          <w:tcPr>
            <w:tcW w:w="0" w:type="auto"/>
          </w:tcPr>
          <w:p w14:paraId="3452AB1B" w14:textId="77777777" w:rsidR="00917116" w:rsidRDefault="00917116">
            <w:r>
              <w:t>Construction</w:t>
            </w:r>
          </w:p>
        </w:tc>
        <w:tc>
          <w:tcPr>
            <w:tcW w:w="0" w:type="auto"/>
          </w:tcPr>
          <w:p w14:paraId="627B0971" w14:textId="77777777" w:rsidR="00917116" w:rsidRDefault="00917116">
            <w:pPr>
              <w:jc w:val="right"/>
            </w:pPr>
            <w:r>
              <w:t>33</w:t>
            </w:r>
          </w:p>
        </w:tc>
        <w:tc>
          <w:tcPr>
            <w:tcW w:w="0" w:type="auto"/>
          </w:tcPr>
          <w:p w14:paraId="25261DB4" w14:textId="77777777" w:rsidR="00917116" w:rsidRDefault="00917116">
            <w:pPr>
              <w:jc w:val="right"/>
            </w:pPr>
            <w:r>
              <w:t>7%</w:t>
            </w:r>
          </w:p>
        </w:tc>
      </w:tr>
      <w:tr w:rsidR="00917116" w:rsidRPr="005F4B53" w14:paraId="350B6658" w14:textId="77777777">
        <w:trPr>
          <w:cnfStyle w:val="000000010000" w:firstRow="0" w:lastRow="0" w:firstColumn="0" w:lastColumn="0" w:oddVBand="0" w:evenVBand="0" w:oddHBand="0" w:evenHBand="1" w:firstRowFirstColumn="0" w:firstRowLastColumn="0" w:lastRowFirstColumn="0" w:lastRowLastColumn="0"/>
        </w:trPr>
        <w:tc>
          <w:tcPr>
            <w:tcW w:w="0" w:type="auto"/>
          </w:tcPr>
          <w:p w14:paraId="4E1C0FD2" w14:textId="77777777" w:rsidR="00917116" w:rsidRDefault="00917116">
            <w:r>
              <w:t>Professional, Scientific and Technical Services</w:t>
            </w:r>
          </w:p>
        </w:tc>
        <w:tc>
          <w:tcPr>
            <w:tcW w:w="0" w:type="auto"/>
          </w:tcPr>
          <w:p w14:paraId="2597BBD7" w14:textId="77777777" w:rsidR="00917116" w:rsidRDefault="00917116">
            <w:pPr>
              <w:jc w:val="right"/>
            </w:pPr>
            <w:r>
              <w:t>32</w:t>
            </w:r>
          </w:p>
        </w:tc>
        <w:tc>
          <w:tcPr>
            <w:tcW w:w="0" w:type="auto"/>
          </w:tcPr>
          <w:p w14:paraId="490DE4B2" w14:textId="77777777" w:rsidR="00917116" w:rsidRDefault="00917116">
            <w:pPr>
              <w:jc w:val="right"/>
            </w:pPr>
            <w:r>
              <w:t>7%</w:t>
            </w:r>
          </w:p>
        </w:tc>
      </w:tr>
      <w:tr w:rsidR="00917116" w:rsidRPr="005F4B53" w14:paraId="3FE80577" w14:textId="77777777">
        <w:tc>
          <w:tcPr>
            <w:tcW w:w="0" w:type="auto"/>
          </w:tcPr>
          <w:p w14:paraId="1162041B" w14:textId="77777777" w:rsidR="00917116" w:rsidRDefault="00917116">
            <w:r>
              <w:t>Manufacturing</w:t>
            </w:r>
          </w:p>
        </w:tc>
        <w:tc>
          <w:tcPr>
            <w:tcW w:w="0" w:type="auto"/>
          </w:tcPr>
          <w:p w14:paraId="784433E1" w14:textId="77777777" w:rsidR="00917116" w:rsidRDefault="00917116">
            <w:pPr>
              <w:jc w:val="right"/>
            </w:pPr>
            <w:r>
              <w:t>32</w:t>
            </w:r>
          </w:p>
        </w:tc>
        <w:tc>
          <w:tcPr>
            <w:tcW w:w="0" w:type="auto"/>
          </w:tcPr>
          <w:p w14:paraId="6B874828" w14:textId="77777777" w:rsidR="00917116" w:rsidRDefault="00917116">
            <w:pPr>
              <w:jc w:val="right"/>
            </w:pPr>
            <w:r>
              <w:t>7%</w:t>
            </w:r>
          </w:p>
        </w:tc>
      </w:tr>
      <w:tr w:rsidR="00917116" w:rsidRPr="005F4B53" w14:paraId="0E485A8E" w14:textId="77777777">
        <w:trPr>
          <w:cnfStyle w:val="000000010000" w:firstRow="0" w:lastRow="0" w:firstColumn="0" w:lastColumn="0" w:oddVBand="0" w:evenVBand="0" w:oddHBand="0" w:evenHBand="1" w:firstRowFirstColumn="0" w:firstRowLastColumn="0" w:lastRowFirstColumn="0" w:lastRowLastColumn="0"/>
        </w:trPr>
        <w:tc>
          <w:tcPr>
            <w:tcW w:w="0" w:type="auto"/>
          </w:tcPr>
          <w:p w14:paraId="43268577" w14:textId="77777777" w:rsidR="00917116" w:rsidRDefault="00917116">
            <w:r>
              <w:t>Arts and Recreation Services</w:t>
            </w:r>
          </w:p>
        </w:tc>
        <w:tc>
          <w:tcPr>
            <w:tcW w:w="0" w:type="auto"/>
          </w:tcPr>
          <w:p w14:paraId="37DAFAE6" w14:textId="77777777" w:rsidR="00917116" w:rsidRDefault="00917116">
            <w:pPr>
              <w:jc w:val="right"/>
            </w:pPr>
            <w:r>
              <w:t>28</w:t>
            </w:r>
          </w:p>
        </w:tc>
        <w:tc>
          <w:tcPr>
            <w:tcW w:w="0" w:type="auto"/>
          </w:tcPr>
          <w:p w14:paraId="66D82D22" w14:textId="77777777" w:rsidR="00917116" w:rsidRDefault="00917116">
            <w:pPr>
              <w:jc w:val="right"/>
            </w:pPr>
            <w:r>
              <w:t>6%</w:t>
            </w:r>
          </w:p>
        </w:tc>
      </w:tr>
      <w:tr w:rsidR="00917116" w:rsidRPr="005F4B53" w14:paraId="4506DF59" w14:textId="77777777">
        <w:tc>
          <w:tcPr>
            <w:tcW w:w="0" w:type="auto"/>
          </w:tcPr>
          <w:p w14:paraId="08C6ADF7" w14:textId="77777777" w:rsidR="00917116" w:rsidRDefault="00917116">
            <w:r>
              <w:t>Transport, Postal and Warehousing</w:t>
            </w:r>
          </w:p>
        </w:tc>
        <w:tc>
          <w:tcPr>
            <w:tcW w:w="0" w:type="auto"/>
          </w:tcPr>
          <w:p w14:paraId="490C8EEF" w14:textId="77777777" w:rsidR="00917116" w:rsidRDefault="00917116">
            <w:pPr>
              <w:jc w:val="right"/>
            </w:pPr>
            <w:r>
              <w:t>27</w:t>
            </w:r>
          </w:p>
        </w:tc>
        <w:tc>
          <w:tcPr>
            <w:tcW w:w="0" w:type="auto"/>
          </w:tcPr>
          <w:p w14:paraId="01D43521" w14:textId="77777777" w:rsidR="00917116" w:rsidRDefault="00917116">
            <w:pPr>
              <w:jc w:val="right"/>
            </w:pPr>
            <w:r>
              <w:t>6%</w:t>
            </w:r>
          </w:p>
        </w:tc>
      </w:tr>
      <w:tr w:rsidR="00917116" w:rsidRPr="005F4B53" w14:paraId="3CD1673B" w14:textId="77777777">
        <w:trPr>
          <w:cnfStyle w:val="000000010000" w:firstRow="0" w:lastRow="0" w:firstColumn="0" w:lastColumn="0" w:oddVBand="0" w:evenVBand="0" w:oddHBand="0" w:evenHBand="1" w:firstRowFirstColumn="0" w:firstRowLastColumn="0" w:lastRowFirstColumn="0" w:lastRowLastColumn="0"/>
        </w:trPr>
        <w:tc>
          <w:tcPr>
            <w:tcW w:w="0" w:type="auto"/>
          </w:tcPr>
          <w:p w14:paraId="33B32131" w14:textId="77777777" w:rsidR="00917116" w:rsidRDefault="00917116">
            <w:r>
              <w:t>Agriculture, Forestry and Fishing</w:t>
            </w:r>
          </w:p>
        </w:tc>
        <w:tc>
          <w:tcPr>
            <w:tcW w:w="0" w:type="auto"/>
          </w:tcPr>
          <w:p w14:paraId="7A0D26B2" w14:textId="77777777" w:rsidR="00917116" w:rsidRDefault="00917116">
            <w:pPr>
              <w:jc w:val="right"/>
            </w:pPr>
            <w:r w:rsidRPr="0085574F" w:rsidDel="00F92E43">
              <w:t>25</w:t>
            </w:r>
          </w:p>
        </w:tc>
        <w:tc>
          <w:tcPr>
            <w:tcW w:w="0" w:type="auto"/>
          </w:tcPr>
          <w:p w14:paraId="659268F5" w14:textId="77777777" w:rsidR="00917116" w:rsidRDefault="00917116">
            <w:pPr>
              <w:jc w:val="right"/>
            </w:pPr>
            <w:r w:rsidRPr="00D65EB8">
              <w:t>5</w:t>
            </w:r>
            <w:r>
              <w:t>%</w:t>
            </w:r>
          </w:p>
        </w:tc>
      </w:tr>
      <w:tr w:rsidR="00917116" w:rsidRPr="005F4B53" w14:paraId="419E45E4" w14:textId="77777777">
        <w:tc>
          <w:tcPr>
            <w:tcW w:w="0" w:type="auto"/>
          </w:tcPr>
          <w:p w14:paraId="48720F4F" w14:textId="77777777" w:rsidR="00917116" w:rsidRDefault="00917116">
            <w:r>
              <w:t>Retail Trade</w:t>
            </w:r>
          </w:p>
        </w:tc>
        <w:tc>
          <w:tcPr>
            <w:tcW w:w="0" w:type="auto"/>
          </w:tcPr>
          <w:p w14:paraId="5AC23179" w14:textId="77777777" w:rsidR="00917116" w:rsidRDefault="00917116">
            <w:pPr>
              <w:jc w:val="right"/>
            </w:pPr>
            <w:r>
              <w:t>24</w:t>
            </w:r>
          </w:p>
        </w:tc>
        <w:tc>
          <w:tcPr>
            <w:tcW w:w="0" w:type="auto"/>
          </w:tcPr>
          <w:p w14:paraId="66F0DEBF" w14:textId="77777777" w:rsidR="00917116" w:rsidRDefault="00917116">
            <w:pPr>
              <w:jc w:val="right"/>
            </w:pPr>
            <w:r>
              <w:t>5%</w:t>
            </w:r>
          </w:p>
        </w:tc>
      </w:tr>
      <w:tr w:rsidR="00917116" w:rsidRPr="005F4B53" w14:paraId="21711D53" w14:textId="77777777">
        <w:trPr>
          <w:cnfStyle w:val="000000010000" w:firstRow="0" w:lastRow="0" w:firstColumn="0" w:lastColumn="0" w:oddVBand="0" w:evenVBand="0" w:oddHBand="0" w:evenHBand="1" w:firstRowFirstColumn="0" w:firstRowLastColumn="0" w:lastRowFirstColumn="0" w:lastRowLastColumn="0"/>
        </w:trPr>
        <w:tc>
          <w:tcPr>
            <w:tcW w:w="0" w:type="auto"/>
          </w:tcPr>
          <w:p w14:paraId="6FEC0302" w14:textId="77777777" w:rsidR="00917116" w:rsidRDefault="00917116">
            <w:r>
              <w:t>Accommodation and Food Services</w:t>
            </w:r>
          </w:p>
        </w:tc>
        <w:tc>
          <w:tcPr>
            <w:tcW w:w="0" w:type="auto"/>
          </w:tcPr>
          <w:p w14:paraId="4C3C52FF" w14:textId="77777777" w:rsidR="00917116" w:rsidRDefault="00917116">
            <w:pPr>
              <w:jc w:val="right"/>
            </w:pPr>
            <w:r>
              <w:t>17</w:t>
            </w:r>
          </w:p>
        </w:tc>
        <w:tc>
          <w:tcPr>
            <w:tcW w:w="0" w:type="auto"/>
          </w:tcPr>
          <w:p w14:paraId="4148D070" w14:textId="77777777" w:rsidR="00917116" w:rsidRDefault="00917116">
            <w:pPr>
              <w:jc w:val="right"/>
            </w:pPr>
            <w:r>
              <w:t>4%</w:t>
            </w:r>
          </w:p>
        </w:tc>
      </w:tr>
      <w:tr w:rsidR="00917116" w:rsidRPr="005F4B53" w14:paraId="61A4CA7C" w14:textId="77777777">
        <w:tc>
          <w:tcPr>
            <w:tcW w:w="0" w:type="auto"/>
          </w:tcPr>
          <w:p w14:paraId="0B7EBB51" w14:textId="77777777" w:rsidR="00917116" w:rsidRDefault="00917116">
            <w:r>
              <w:t>Mining</w:t>
            </w:r>
          </w:p>
        </w:tc>
        <w:tc>
          <w:tcPr>
            <w:tcW w:w="0" w:type="auto"/>
          </w:tcPr>
          <w:p w14:paraId="17E4D4D1" w14:textId="77777777" w:rsidR="00917116" w:rsidRDefault="00917116">
            <w:pPr>
              <w:jc w:val="right"/>
            </w:pPr>
            <w:r>
              <w:t>16</w:t>
            </w:r>
          </w:p>
        </w:tc>
        <w:tc>
          <w:tcPr>
            <w:tcW w:w="0" w:type="auto"/>
          </w:tcPr>
          <w:p w14:paraId="40C506DB" w14:textId="77777777" w:rsidR="00917116" w:rsidRDefault="00917116">
            <w:pPr>
              <w:jc w:val="right"/>
            </w:pPr>
            <w:r>
              <w:t>3%</w:t>
            </w:r>
          </w:p>
        </w:tc>
      </w:tr>
      <w:tr w:rsidR="00917116" w:rsidRPr="005F4B53" w14:paraId="741A6A8A" w14:textId="77777777">
        <w:trPr>
          <w:cnfStyle w:val="000000010000" w:firstRow="0" w:lastRow="0" w:firstColumn="0" w:lastColumn="0" w:oddVBand="0" w:evenVBand="0" w:oddHBand="0" w:evenHBand="1" w:firstRowFirstColumn="0" w:firstRowLastColumn="0" w:lastRowFirstColumn="0" w:lastRowLastColumn="0"/>
        </w:trPr>
        <w:tc>
          <w:tcPr>
            <w:tcW w:w="0" w:type="auto"/>
          </w:tcPr>
          <w:p w14:paraId="09F8E977" w14:textId="77777777" w:rsidR="00917116" w:rsidRDefault="00917116">
            <w:r>
              <w:t>Other Services</w:t>
            </w:r>
          </w:p>
        </w:tc>
        <w:tc>
          <w:tcPr>
            <w:tcW w:w="0" w:type="auto"/>
          </w:tcPr>
          <w:p w14:paraId="2D213BB8" w14:textId="77777777" w:rsidR="00917116" w:rsidRDefault="00917116">
            <w:pPr>
              <w:jc w:val="right"/>
            </w:pPr>
            <w:r>
              <w:t>16</w:t>
            </w:r>
          </w:p>
        </w:tc>
        <w:tc>
          <w:tcPr>
            <w:tcW w:w="0" w:type="auto"/>
          </w:tcPr>
          <w:p w14:paraId="6EFCD23D" w14:textId="77777777" w:rsidR="00917116" w:rsidRDefault="00917116">
            <w:pPr>
              <w:jc w:val="right"/>
            </w:pPr>
            <w:r>
              <w:t>3%</w:t>
            </w:r>
          </w:p>
        </w:tc>
      </w:tr>
      <w:tr w:rsidR="00917116" w:rsidRPr="005F4B53" w14:paraId="5AAB55B2" w14:textId="77777777">
        <w:tc>
          <w:tcPr>
            <w:tcW w:w="0" w:type="auto"/>
          </w:tcPr>
          <w:p w14:paraId="34761E0E" w14:textId="77777777" w:rsidR="00917116" w:rsidRDefault="00917116">
            <w:r>
              <w:t>Administrative and Support Services</w:t>
            </w:r>
          </w:p>
        </w:tc>
        <w:tc>
          <w:tcPr>
            <w:tcW w:w="0" w:type="auto"/>
          </w:tcPr>
          <w:p w14:paraId="326BC48C" w14:textId="77777777" w:rsidR="00917116" w:rsidRDefault="00917116">
            <w:pPr>
              <w:jc w:val="right"/>
            </w:pPr>
            <w:r>
              <w:t>12</w:t>
            </w:r>
          </w:p>
        </w:tc>
        <w:tc>
          <w:tcPr>
            <w:tcW w:w="0" w:type="auto"/>
          </w:tcPr>
          <w:p w14:paraId="6B5FF0F2" w14:textId="77777777" w:rsidR="00917116" w:rsidRDefault="00917116">
            <w:pPr>
              <w:jc w:val="right"/>
            </w:pPr>
            <w:r>
              <w:t>3%</w:t>
            </w:r>
          </w:p>
        </w:tc>
      </w:tr>
      <w:tr w:rsidR="00917116" w:rsidRPr="005F4B53" w14:paraId="04FCEDA9" w14:textId="77777777">
        <w:trPr>
          <w:cnfStyle w:val="000000010000" w:firstRow="0" w:lastRow="0" w:firstColumn="0" w:lastColumn="0" w:oddVBand="0" w:evenVBand="0" w:oddHBand="0" w:evenHBand="1" w:firstRowFirstColumn="0" w:firstRowLastColumn="0" w:lastRowFirstColumn="0" w:lastRowLastColumn="0"/>
        </w:trPr>
        <w:tc>
          <w:tcPr>
            <w:tcW w:w="0" w:type="auto"/>
          </w:tcPr>
          <w:p w14:paraId="7A036926" w14:textId="77777777" w:rsidR="00917116" w:rsidRDefault="00917116">
            <w:r>
              <w:t>Electricity, Gas, Water and Waste Services</w:t>
            </w:r>
          </w:p>
        </w:tc>
        <w:tc>
          <w:tcPr>
            <w:tcW w:w="0" w:type="auto"/>
          </w:tcPr>
          <w:p w14:paraId="6FE5CEB0" w14:textId="77777777" w:rsidR="00917116" w:rsidRDefault="00917116">
            <w:pPr>
              <w:jc w:val="right"/>
            </w:pPr>
            <w:r>
              <w:t>12</w:t>
            </w:r>
          </w:p>
        </w:tc>
        <w:tc>
          <w:tcPr>
            <w:tcW w:w="0" w:type="auto"/>
          </w:tcPr>
          <w:p w14:paraId="5E3727C1" w14:textId="77777777" w:rsidR="00917116" w:rsidRDefault="00917116">
            <w:pPr>
              <w:jc w:val="right"/>
            </w:pPr>
            <w:r>
              <w:t>3%</w:t>
            </w:r>
          </w:p>
        </w:tc>
      </w:tr>
      <w:tr w:rsidR="00917116" w:rsidRPr="005F4B53" w14:paraId="4CA50D89" w14:textId="77777777">
        <w:tc>
          <w:tcPr>
            <w:tcW w:w="0" w:type="auto"/>
          </w:tcPr>
          <w:p w14:paraId="76361800" w14:textId="77777777" w:rsidR="00917116" w:rsidRDefault="00917116">
            <w:r>
              <w:t>Public Administration and Safety</w:t>
            </w:r>
          </w:p>
        </w:tc>
        <w:tc>
          <w:tcPr>
            <w:tcW w:w="0" w:type="auto"/>
          </w:tcPr>
          <w:p w14:paraId="1443AD44" w14:textId="77777777" w:rsidR="00917116" w:rsidRDefault="00917116">
            <w:pPr>
              <w:jc w:val="right"/>
            </w:pPr>
            <w:r>
              <w:t>12</w:t>
            </w:r>
          </w:p>
        </w:tc>
        <w:tc>
          <w:tcPr>
            <w:tcW w:w="0" w:type="auto"/>
          </w:tcPr>
          <w:p w14:paraId="035AC786" w14:textId="77777777" w:rsidR="00917116" w:rsidRDefault="00917116">
            <w:pPr>
              <w:jc w:val="right"/>
            </w:pPr>
            <w:r>
              <w:t>3%</w:t>
            </w:r>
          </w:p>
        </w:tc>
      </w:tr>
      <w:tr w:rsidR="00917116" w:rsidRPr="005F4B53" w14:paraId="65B4B16B" w14:textId="77777777">
        <w:trPr>
          <w:cnfStyle w:val="000000010000" w:firstRow="0" w:lastRow="0" w:firstColumn="0" w:lastColumn="0" w:oddVBand="0" w:evenVBand="0" w:oddHBand="0" w:evenHBand="1" w:firstRowFirstColumn="0" w:firstRowLastColumn="0" w:lastRowFirstColumn="0" w:lastRowLastColumn="0"/>
        </w:trPr>
        <w:tc>
          <w:tcPr>
            <w:tcW w:w="0" w:type="auto"/>
          </w:tcPr>
          <w:p w14:paraId="730520E6" w14:textId="77777777" w:rsidR="00917116" w:rsidRDefault="00917116">
            <w:r>
              <w:t>Wholesale Trade</w:t>
            </w:r>
          </w:p>
        </w:tc>
        <w:tc>
          <w:tcPr>
            <w:tcW w:w="0" w:type="auto"/>
          </w:tcPr>
          <w:p w14:paraId="26CC197B" w14:textId="77777777" w:rsidR="00917116" w:rsidRDefault="00917116">
            <w:pPr>
              <w:jc w:val="right"/>
            </w:pPr>
            <w:r>
              <w:t>10</w:t>
            </w:r>
          </w:p>
        </w:tc>
        <w:tc>
          <w:tcPr>
            <w:tcW w:w="0" w:type="auto"/>
          </w:tcPr>
          <w:p w14:paraId="7EFA5C52" w14:textId="77777777" w:rsidR="00917116" w:rsidRDefault="00917116">
            <w:pPr>
              <w:jc w:val="right"/>
            </w:pPr>
            <w:r>
              <w:t>2%</w:t>
            </w:r>
          </w:p>
        </w:tc>
      </w:tr>
      <w:tr w:rsidR="00917116" w:rsidRPr="008E15A7" w14:paraId="5F1B63F6" w14:textId="77777777">
        <w:tc>
          <w:tcPr>
            <w:tcW w:w="0" w:type="auto"/>
          </w:tcPr>
          <w:p w14:paraId="60074AFB" w14:textId="77777777" w:rsidR="00917116" w:rsidRDefault="00917116">
            <w:r>
              <w:t>Information Media and Telecommunications</w:t>
            </w:r>
          </w:p>
        </w:tc>
        <w:tc>
          <w:tcPr>
            <w:tcW w:w="0" w:type="auto"/>
          </w:tcPr>
          <w:p w14:paraId="12D47BB8" w14:textId="77777777" w:rsidR="00917116" w:rsidRDefault="00917116">
            <w:pPr>
              <w:jc w:val="right"/>
            </w:pPr>
            <w:r>
              <w:t>6</w:t>
            </w:r>
          </w:p>
        </w:tc>
        <w:tc>
          <w:tcPr>
            <w:tcW w:w="0" w:type="auto"/>
          </w:tcPr>
          <w:p w14:paraId="7C9AF0F8" w14:textId="77777777" w:rsidR="00917116" w:rsidRDefault="00917116">
            <w:pPr>
              <w:jc w:val="right"/>
            </w:pPr>
            <w:r>
              <w:t>1%</w:t>
            </w:r>
          </w:p>
        </w:tc>
      </w:tr>
      <w:tr w:rsidR="00917116" w:rsidRPr="008E15A7" w14:paraId="2D8A2159" w14:textId="77777777">
        <w:trPr>
          <w:cnfStyle w:val="000000010000" w:firstRow="0" w:lastRow="0" w:firstColumn="0" w:lastColumn="0" w:oddVBand="0" w:evenVBand="0" w:oddHBand="0" w:evenHBand="1" w:firstRowFirstColumn="0" w:firstRowLastColumn="0" w:lastRowFirstColumn="0" w:lastRowLastColumn="0"/>
        </w:trPr>
        <w:tc>
          <w:tcPr>
            <w:tcW w:w="0" w:type="auto"/>
          </w:tcPr>
          <w:p w14:paraId="38D6B699" w14:textId="77777777" w:rsidR="00917116" w:rsidRDefault="00917116">
            <w:r>
              <w:t>Rental, Hiring and Real Estate Services</w:t>
            </w:r>
          </w:p>
        </w:tc>
        <w:tc>
          <w:tcPr>
            <w:tcW w:w="0" w:type="auto"/>
          </w:tcPr>
          <w:p w14:paraId="2027EA72" w14:textId="77777777" w:rsidR="00917116" w:rsidRDefault="00917116">
            <w:pPr>
              <w:jc w:val="right"/>
            </w:pPr>
            <w:r>
              <w:t>3</w:t>
            </w:r>
          </w:p>
        </w:tc>
        <w:tc>
          <w:tcPr>
            <w:tcW w:w="0" w:type="auto"/>
          </w:tcPr>
          <w:p w14:paraId="3659C93E" w14:textId="77777777" w:rsidR="00917116" w:rsidRDefault="00917116">
            <w:pPr>
              <w:jc w:val="right"/>
            </w:pPr>
            <w:r>
              <w:t>1%</w:t>
            </w:r>
          </w:p>
        </w:tc>
      </w:tr>
      <w:tr w:rsidR="00917116" w:rsidRPr="008E15A7" w14:paraId="31AA7A24" w14:textId="77777777">
        <w:tc>
          <w:tcPr>
            <w:tcW w:w="0" w:type="auto"/>
          </w:tcPr>
          <w:p w14:paraId="272E144C" w14:textId="77777777" w:rsidR="00917116" w:rsidRDefault="00917116">
            <w:r>
              <w:t xml:space="preserve">Financial and Insurance Services </w:t>
            </w:r>
          </w:p>
        </w:tc>
        <w:tc>
          <w:tcPr>
            <w:tcW w:w="0" w:type="auto"/>
          </w:tcPr>
          <w:p w14:paraId="2DCD6D98" w14:textId="77777777" w:rsidR="00917116" w:rsidRDefault="00917116">
            <w:pPr>
              <w:jc w:val="right"/>
            </w:pPr>
            <w:r>
              <w:t>1</w:t>
            </w:r>
          </w:p>
        </w:tc>
        <w:tc>
          <w:tcPr>
            <w:tcW w:w="0" w:type="auto"/>
          </w:tcPr>
          <w:p w14:paraId="3CF22CB9" w14:textId="77777777" w:rsidR="00917116" w:rsidRDefault="00917116">
            <w:pPr>
              <w:jc w:val="right"/>
            </w:pPr>
            <w:r>
              <w:t>0%</w:t>
            </w:r>
          </w:p>
        </w:tc>
      </w:tr>
      <w:tr w:rsidR="00917116" w:rsidRPr="008E15A7" w14:paraId="1A5BF34A" w14:textId="77777777">
        <w:trPr>
          <w:cnfStyle w:val="000000010000" w:firstRow="0" w:lastRow="0" w:firstColumn="0" w:lastColumn="0" w:oddVBand="0" w:evenVBand="0" w:oddHBand="0" w:evenHBand="1" w:firstRowFirstColumn="0" w:firstRowLastColumn="0" w:lastRowFirstColumn="0" w:lastRowLastColumn="0"/>
        </w:trPr>
        <w:tc>
          <w:tcPr>
            <w:tcW w:w="0" w:type="auto"/>
          </w:tcPr>
          <w:p w14:paraId="741C951C" w14:textId="77777777" w:rsidR="00917116" w:rsidRDefault="00917116">
            <w:r>
              <w:t>Other</w:t>
            </w:r>
          </w:p>
        </w:tc>
        <w:tc>
          <w:tcPr>
            <w:tcW w:w="0" w:type="auto"/>
          </w:tcPr>
          <w:p w14:paraId="079151CE" w14:textId="77777777" w:rsidR="00917116" w:rsidRDefault="00917116">
            <w:pPr>
              <w:jc w:val="right"/>
            </w:pPr>
            <w:r w:rsidRPr="0085574F" w:rsidDel="00F92E43">
              <w:t>43</w:t>
            </w:r>
          </w:p>
        </w:tc>
        <w:tc>
          <w:tcPr>
            <w:tcW w:w="0" w:type="auto"/>
          </w:tcPr>
          <w:p w14:paraId="6CFBFE69" w14:textId="77777777" w:rsidR="00917116" w:rsidRDefault="00917116">
            <w:pPr>
              <w:jc w:val="right"/>
            </w:pPr>
            <w:r w:rsidRPr="00D65EB8">
              <w:t>9</w:t>
            </w:r>
            <w:r>
              <w:t>%</w:t>
            </w:r>
          </w:p>
        </w:tc>
      </w:tr>
      <w:tr w:rsidR="00917116" w:rsidRPr="008E15A7" w14:paraId="4C538F98" w14:textId="77777777">
        <w:tc>
          <w:tcPr>
            <w:tcW w:w="0" w:type="auto"/>
          </w:tcPr>
          <w:p w14:paraId="54911C26" w14:textId="77777777" w:rsidR="00917116" w:rsidRPr="00A525DC" w:rsidRDefault="00917116">
            <w:pPr>
              <w:rPr>
                <w:b/>
              </w:rPr>
            </w:pPr>
            <w:r w:rsidRPr="00A525DC">
              <w:rPr>
                <w:b/>
              </w:rPr>
              <w:t>Total</w:t>
            </w:r>
          </w:p>
        </w:tc>
        <w:tc>
          <w:tcPr>
            <w:tcW w:w="0" w:type="auto"/>
          </w:tcPr>
          <w:p w14:paraId="5DF1B578" w14:textId="77777777" w:rsidR="00917116" w:rsidRPr="00DF646A" w:rsidRDefault="00917116">
            <w:pPr>
              <w:jc w:val="right"/>
              <w:rPr>
                <w:b/>
              </w:rPr>
            </w:pPr>
            <w:r w:rsidRPr="001A36DE">
              <w:rPr>
                <w:b/>
                <w:bCs/>
              </w:rPr>
              <w:t>465</w:t>
            </w:r>
          </w:p>
        </w:tc>
        <w:tc>
          <w:tcPr>
            <w:tcW w:w="0" w:type="auto"/>
          </w:tcPr>
          <w:p w14:paraId="1CCBAA5E" w14:textId="77777777" w:rsidR="00917116" w:rsidRPr="00DF646A" w:rsidRDefault="00917116">
            <w:pPr>
              <w:jc w:val="right"/>
              <w:rPr>
                <w:b/>
              </w:rPr>
            </w:pPr>
            <w:r w:rsidRPr="00A525DC">
              <w:rPr>
                <w:b/>
              </w:rPr>
              <w:t>100%</w:t>
            </w:r>
          </w:p>
        </w:tc>
      </w:tr>
    </w:tbl>
    <w:p w14:paraId="4CB23613" w14:textId="1019256B" w:rsidR="00FF45A8" w:rsidRPr="00A8484E" w:rsidRDefault="00917116" w:rsidP="00D5474D">
      <w:pPr>
        <w:pStyle w:val="Source"/>
      </w:pPr>
      <w:r w:rsidRPr="005F4B53">
        <w:t xml:space="preserve">Source: Jobs and Skills </w:t>
      </w:r>
      <w:r w:rsidRPr="00087275">
        <w:t>Australia</w:t>
      </w:r>
      <w:r w:rsidRPr="005F4B53">
        <w:t xml:space="preserve">, </w:t>
      </w:r>
      <w:r w:rsidRPr="005F4B53" w:rsidDel="00444DC4">
        <w:t xml:space="preserve">2024 </w:t>
      </w:r>
      <w:r w:rsidR="007A391B">
        <w:t>Occupation Shortage List</w:t>
      </w:r>
      <w:r w:rsidRPr="005F4B53">
        <w:t xml:space="preserve"> Stakeholder Survey.</w:t>
      </w:r>
      <w:r w:rsidR="00D5474D">
        <w:br/>
      </w:r>
      <w:r w:rsidR="00B34589" w:rsidRPr="00A8484E">
        <w:t>Note</w:t>
      </w:r>
      <w:r w:rsidR="00B34589" w:rsidRPr="00A8484E">
        <w:rPr>
          <w:i/>
          <w:iCs/>
        </w:rPr>
        <w:t xml:space="preserve">: </w:t>
      </w:r>
      <w:r w:rsidR="00B34589" w:rsidRPr="00A8484E">
        <w:t>Participants were able to select more than one industry, therefore the counts in this table sum to more than the 254 submissions received. The Financial and Insurance Services industry share of 0.2% is rounded to the nearest whole figure, which is zero. The ‘Other’ category is not from ANZSIC but is an additional category that was made available to participants in the survey.</w:t>
      </w:r>
    </w:p>
    <w:p w14:paraId="1377017A" w14:textId="2BC1CD91" w:rsidR="00FF45A8" w:rsidRDefault="00FF45A8" w:rsidP="00E80AED">
      <w:r>
        <w:br w:type="page"/>
      </w:r>
    </w:p>
    <w:p w14:paraId="70E07D34" w14:textId="77777777" w:rsidR="00FF45A8" w:rsidRPr="00660CF4" w:rsidRDefault="00FF45A8" w:rsidP="00FF45A8">
      <w:pPr>
        <w:pStyle w:val="Heading2"/>
      </w:pPr>
      <w:r w:rsidRPr="005F4B53">
        <w:lastRenderedPageBreak/>
        <w:t>Occupation coverage</w:t>
      </w:r>
    </w:p>
    <w:p w14:paraId="1C950247" w14:textId="77777777" w:rsidR="005C6BAA" w:rsidRPr="00357BC9" w:rsidRDefault="005C6BAA" w:rsidP="005C6BAA">
      <w:bookmarkStart w:id="8" w:name="_Hlk174544397"/>
      <w:r w:rsidRPr="00357BC9">
        <w:t xml:space="preserve">The </w:t>
      </w:r>
      <w:r>
        <w:t xml:space="preserve">1,755 </w:t>
      </w:r>
      <w:r w:rsidRPr="00357BC9">
        <w:t xml:space="preserve">responses encompassed </w:t>
      </w:r>
      <w:r>
        <w:t>52</w:t>
      </w:r>
      <w:r w:rsidRPr="00357BC9">
        <w:t>% (</w:t>
      </w:r>
      <w:r>
        <w:t>480</w:t>
      </w:r>
      <w:r w:rsidRPr="00357BC9">
        <w:t xml:space="preserve"> of 916) of occupations included for assessment in the 2024 </w:t>
      </w:r>
      <w:r>
        <w:t>OSL</w:t>
      </w:r>
      <w:r w:rsidRPr="00357BC9">
        <w:t xml:space="preserve">. </w:t>
      </w:r>
      <w:r>
        <w:t xml:space="preserve">In this report only the results of </w:t>
      </w:r>
      <w:r w:rsidRPr="00357BC9">
        <w:t>Skills Levels 1 to 4</w:t>
      </w:r>
      <w:r>
        <w:t xml:space="preserve"> occupations, </w:t>
      </w:r>
      <w:r w:rsidRPr="00357BC9">
        <w:t xml:space="preserve">as defined by ANZSCO, </w:t>
      </w:r>
      <w:r>
        <w:t>are covered in line with OSL occupation scope</w:t>
      </w:r>
      <w:r w:rsidRPr="00357BC9">
        <w:t xml:space="preserve"> excludes certain occupations where recruitment in the labour market is not open and contestable.</w:t>
      </w:r>
      <w:r w:rsidRPr="00357BC9">
        <w:rPr>
          <w:rStyle w:val="FootnoteReference"/>
          <w:rFonts w:cs="Arial"/>
        </w:rPr>
        <w:footnoteReference w:id="5"/>
      </w:r>
      <w:r w:rsidRPr="00357BC9">
        <w:t xml:space="preserve"> </w:t>
      </w:r>
    </w:p>
    <w:p w14:paraId="1B8519BD" w14:textId="77777777" w:rsidR="005C6BAA" w:rsidRPr="00007084" w:rsidRDefault="005C6BAA" w:rsidP="005C6BAA">
      <w:pPr>
        <w:pStyle w:val="ListBullet"/>
      </w:pPr>
      <w:r w:rsidRPr="00007084">
        <w:t>The most represented occupations were Outdoor Adventure Instructor and Outdoor Adventure Guides nec from the Community and Personal Service Workers major group (Table 3).</w:t>
      </w:r>
      <w:r w:rsidRPr="003F5FB9">
        <w:rPr>
          <w:rStyle w:val="FootnoteReference"/>
        </w:rPr>
        <w:footnoteReference w:id="6"/>
      </w:r>
      <w:r w:rsidRPr="00007084">
        <w:t xml:space="preserve"> </w:t>
      </w:r>
    </w:p>
    <w:p w14:paraId="5C39271F" w14:textId="77777777" w:rsidR="005C6BAA" w:rsidRPr="00007084" w:rsidRDefault="005C6BAA" w:rsidP="005C6BAA">
      <w:pPr>
        <w:pStyle w:val="ListBullet"/>
      </w:pPr>
      <w:r w:rsidRPr="00007084">
        <w:t>Electrician (General), Vocational Education Teacher / Polytechnic Teacher and Diesel Motor Mechanic, together with the 2 occupations noted in the dot point above, made up the top 5 occupations for which responses were received. These are from Professionals and Technicians and Trades Workers major groups, respectively.</w:t>
      </w:r>
    </w:p>
    <w:p w14:paraId="179ECAB3" w14:textId="77777777" w:rsidR="005C6BAA" w:rsidRPr="00007084" w:rsidRDefault="005C6BAA" w:rsidP="005C6BAA">
      <w:pPr>
        <w:pStyle w:val="ListBullet"/>
      </w:pPr>
      <w:r w:rsidRPr="00007084">
        <w:t>Half of the top 10 occupations (by number of responses) were from the Technicians and Trades Workers major group, followed by 3 from the Professionals major group.</w:t>
      </w:r>
    </w:p>
    <w:p w14:paraId="41D2E0DC" w14:textId="77777777" w:rsidR="005C6BAA" w:rsidRPr="00007084" w:rsidRDefault="005C6BAA" w:rsidP="005C6BAA">
      <w:pPr>
        <w:pStyle w:val="ListBullet"/>
      </w:pPr>
      <w:r w:rsidRPr="00007084">
        <w:t xml:space="preserve">Skill level 3 occupations, which typically require a Certificate III or IV level qualification, made up seven of the top 10 occupations. The other 3 occupations were Skill Level 1, which are associated with occupations requiring a </w:t>
      </w:r>
      <w:proofErr w:type="gramStart"/>
      <w:r w:rsidRPr="00007084">
        <w:t>bachelor</w:t>
      </w:r>
      <w:proofErr w:type="gramEnd"/>
      <w:r w:rsidRPr="00007084">
        <w:t xml:space="preserve"> degree or above.</w:t>
      </w:r>
    </w:p>
    <w:p w14:paraId="52093BBA" w14:textId="77777777" w:rsidR="005C6BAA" w:rsidRPr="00007084" w:rsidRDefault="005C6BAA" w:rsidP="005C6BAA">
      <w:pPr>
        <w:pStyle w:val="ListBullet"/>
      </w:pPr>
      <w:r w:rsidRPr="00007084">
        <w:t>The</w:t>
      </w:r>
      <w:r w:rsidRPr="00007084" w:rsidDel="00F675F1">
        <w:t xml:space="preserve"> </w:t>
      </w:r>
      <w:r w:rsidRPr="00007084">
        <w:t>largest employing occupation most represented in the stakeholder survey was Accountant (General).</w:t>
      </w:r>
    </w:p>
    <w:bookmarkEnd w:id="8"/>
    <w:p w14:paraId="7296EE41" w14:textId="77777777" w:rsidR="00DA463C" w:rsidRDefault="00DA463C" w:rsidP="00D97AF0">
      <w:pPr>
        <w:pStyle w:val="ListBullet"/>
        <w:numPr>
          <w:ilvl w:val="0"/>
          <w:numId w:val="0"/>
        </w:numPr>
        <w:ind w:left="284" w:hanging="284"/>
      </w:pPr>
    </w:p>
    <w:p w14:paraId="259A0D34" w14:textId="77777777" w:rsidR="00DA463C" w:rsidRDefault="00DA463C" w:rsidP="00D97AF0">
      <w:pPr>
        <w:pStyle w:val="ListBullet"/>
        <w:numPr>
          <w:ilvl w:val="0"/>
          <w:numId w:val="0"/>
        </w:numPr>
        <w:ind w:left="284" w:hanging="284"/>
        <w:sectPr w:rsidR="00DA463C" w:rsidSect="00CB5919">
          <w:type w:val="continuous"/>
          <w:pgSz w:w="11906" w:h="16838"/>
          <w:pgMar w:top="1276" w:right="1440" w:bottom="1134" w:left="1440" w:header="0" w:footer="539" w:gutter="0"/>
          <w:cols w:space="708"/>
          <w:titlePg/>
          <w:docGrid w:linePitch="360"/>
        </w:sectPr>
      </w:pPr>
    </w:p>
    <w:p w14:paraId="3313FDFF" w14:textId="36F39E61" w:rsidR="003B3ED8" w:rsidRPr="00276822" w:rsidRDefault="003B3ED8" w:rsidP="003B3ED8">
      <w:pPr>
        <w:pStyle w:val="Caption"/>
      </w:pPr>
      <w:bookmarkStart w:id="9" w:name="_Ref169264995"/>
      <w:r w:rsidRPr="00276822">
        <w:lastRenderedPageBreak/>
        <w:t xml:space="preserve">Table </w:t>
      </w:r>
      <w:r w:rsidRPr="00276822">
        <w:fldChar w:fldCharType="begin"/>
      </w:r>
      <w:r w:rsidRPr="00276822">
        <w:instrText>SEQ Table \* ARABIC</w:instrText>
      </w:r>
      <w:r w:rsidRPr="00276822">
        <w:fldChar w:fldCharType="separate"/>
      </w:r>
      <w:r w:rsidR="000D2208">
        <w:rPr>
          <w:noProof/>
        </w:rPr>
        <w:t>3</w:t>
      </w:r>
      <w:r w:rsidRPr="00276822">
        <w:fldChar w:fldCharType="end"/>
      </w:r>
      <w:bookmarkEnd w:id="9"/>
      <w:r w:rsidRPr="00276822">
        <w:t>: Occupations most reported on by survey participants</w:t>
      </w:r>
    </w:p>
    <w:tbl>
      <w:tblPr>
        <w:tblStyle w:val="JSATable1"/>
        <w:tblW w:w="14995" w:type="dxa"/>
        <w:tblLayout w:type="fixed"/>
        <w:tblLook w:val="04A0" w:firstRow="1" w:lastRow="0" w:firstColumn="1" w:lastColumn="0" w:noHBand="0" w:noVBand="1"/>
      </w:tblPr>
      <w:tblGrid>
        <w:gridCol w:w="1139"/>
        <w:gridCol w:w="4390"/>
        <w:gridCol w:w="4218"/>
        <w:gridCol w:w="1985"/>
        <w:gridCol w:w="2016"/>
        <w:gridCol w:w="1247"/>
      </w:tblGrid>
      <w:tr w:rsidR="003B3ED8" w:rsidRPr="005F4B53" w14:paraId="34223F23" w14:textId="77777777" w:rsidTr="003B3ED8">
        <w:trPr>
          <w:cnfStyle w:val="100000000000" w:firstRow="1" w:lastRow="0" w:firstColumn="0" w:lastColumn="0" w:oddVBand="0" w:evenVBand="0" w:oddHBand="0" w:evenHBand="0" w:firstRowFirstColumn="0" w:firstRowLastColumn="0" w:lastRowFirstColumn="0" w:lastRowLastColumn="0"/>
          <w:trHeight w:val="510"/>
        </w:trPr>
        <w:tc>
          <w:tcPr>
            <w:tcW w:w="1139" w:type="dxa"/>
            <w:noWrap/>
          </w:tcPr>
          <w:p w14:paraId="2103F68E" w14:textId="77777777" w:rsidR="003B3ED8" w:rsidRPr="001C0060" w:rsidRDefault="003B3ED8" w:rsidP="00E80AED">
            <w:pPr>
              <w:rPr>
                <w:rFonts w:cs="Arial"/>
                <w:color w:val="FFFFFF" w:themeColor="background1"/>
              </w:rPr>
            </w:pPr>
            <w:r w:rsidRPr="00E80AED">
              <w:rPr>
                <w:rFonts w:cs="Arial"/>
                <w:color w:val="FFFFFF" w:themeColor="background1"/>
              </w:rPr>
              <w:t>ANZSCO</w:t>
            </w:r>
          </w:p>
        </w:tc>
        <w:tc>
          <w:tcPr>
            <w:tcW w:w="4390" w:type="dxa"/>
          </w:tcPr>
          <w:p w14:paraId="3016740A" w14:textId="77777777" w:rsidR="003B3ED8" w:rsidRPr="001C0060" w:rsidRDefault="003B3ED8">
            <w:pPr>
              <w:rPr>
                <w:rFonts w:cs="Arial"/>
                <w:color w:val="FFFFFF" w:themeColor="background1"/>
              </w:rPr>
            </w:pPr>
            <w:r w:rsidRPr="001C0060">
              <w:rPr>
                <w:rFonts w:cs="Arial"/>
                <w:color w:val="FFFFFF" w:themeColor="background1"/>
              </w:rPr>
              <w:t>Major Group</w:t>
            </w:r>
          </w:p>
        </w:tc>
        <w:tc>
          <w:tcPr>
            <w:tcW w:w="4218" w:type="dxa"/>
            <w:noWrap/>
          </w:tcPr>
          <w:p w14:paraId="686E5DED" w14:textId="77777777" w:rsidR="003B3ED8" w:rsidRPr="001C0060" w:rsidRDefault="003B3ED8">
            <w:pPr>
              <w:rPr>
                <w:rFonts w:cs="Arial"/>
                <w:color w:val="FFFFFF" w:themeColor="background1"/>
              </w:rPr>
            </w:pPr>
            <w:r w:rsidRPr="001C0060">
              <w:rPr>
                <w:rFonts w:cs="Arial"/>
                <w:color w:val="FFFFFF" w:themeColor="background1"/>
              </w:rPr>
              <w:t>Occupation title</w:t>
            </w:r>
          </w:p>
        </w:tc>
        <w:tc>
          <w:tcPr>
            <w:tcW w:w="1985" w:type="dxa"/>
            <w:noWrap/>
          </w:tcPr>
          <w:p w14:paraId="6D163313" w14:textId="77777777" w:rsidR="003B3ED8" w:rsidRPr="001C0060" w:rsidRDefault="003B3ED8">
            <w:pPr>
              <w:jc w:val="center"/>
              <w:rPr>
                <w:rFonts w:cs="Arial"/>
                <w:color w:val="FFFFFF" w:themeColor="background1"/>
              </w:rPr>
            </w:pPr>
            <w:r w:rsidRPr="001C0060">
              <w:rPr>
                <w:rFonts w:cs="Arial"/>
                <w:color w:val="FFFFFF" w:themeColor="background1"/>
              </w:rPr>
              <w:t>Responses</w:t>
            </w:r>
            <w:r w:rsidRPr="001C0060">
              <w:rPr>
                <w:rFonts w:cs="Arial"/>
                <w:color w:val="FFFFFF" w:themeColor="background1"/>
              </w:rPr>
              <w:br/>
              <w:t>(no.)</w:t>
            </w:r>
          </w:p>
        </w:tc>
        <w:tc>
          <w:tcPr>
            <w:tcW w:w="2016" w:type="dxa"/>
          </w:tcPr>
          <w:p w14:paraId="07B241EA" w14:textId="77777777" w:rsidR="003B3ED8" w:rsidRPr="001C0060" w:rsidRDefault="003B3ED8">
            <w:pPr>
              <w:jc w:val="center"/>
              <w:rPr>
                <w:rFonts w:cs="Arial"/>
                <w:color w:val="FFFFFF" w:themeColor="background1"/>
              </w:rPr>
            </w:pPr>
            <w:r w:rsidRPr="001C0060">
              <w:rPr>
                <w:rFonts w:cs="Arial"/>
                <w:color w:val="FFFFFF" w:themeColor="background1"/>
              </w:rPr>
              <w:t xml:space="preserve">Employment size </w:t>
            </w:r>
            <w:r w:rsidRPr="001C0060">
              <w:rPr>
                <w:rFonts w:cs="Arial"/>
                <w:color w:val="FFFFFF" w:themeColor="background1"/>
              </w:rPr>
              <w:br/>
              <w:t>(2021 census)</w:t>
            </w:r>
          </w:p>
        </w:tc>
        <w:tc>
          <w:tcPr>
            <w:tcW w:w="1247" w:type="dxa"/>
          </w:tcPr>
          <w:p w14:paraId="5C975199" w14:textId="77777777" w:rsidR="003B3ED8" w:rsidRPr="001C0060" w:rsidRDefault="003B3ED8">
            <w:pPr>
              <w:jc w:val="center"/>
              <w:rPr>
                <w:rFonts w:cs="Arial"/>
                <w:color w:val="FFFFFF" w:themeColor="background1"/>
              </w:rPr>
            </w:pPr>
            <w:r w:rsidRPr="001C0060">
              <w:rPr>
                <w:rFonts w:cs="Arial"/>
                <w:color w:val="FFFFFF" w:themeColor="background1"/>
              </w:rPr>
              <w:t>Skill Level</w:t>
            </w:r>
          </w:p>
        </w:tc>
      </w:tr>
      <w:tr w:rsidR="003B3ED8" w:rsidRPr="005F4B53" w14:paraId="1EAD6645" w14:textId="77777777" w:rsidTr="003B3ED8">
        <w:trPr>
          <w:trHeight w:val="510"/>
        </w:trPr>
        <w:tc>
          <w:tcPr>
            <w:tcW w:w="1139" w:type="dxa"/>
            <w:noWrap/>
          </w:tcPr>
          <w:p w14:paraId="20DCF26A" w14:textId="77777777" w:rsidR="003B3ED8" w:rsidRPr="005F7493" w:rsidRDefault="003B3ED8" w:rsidP="00E80AED">
            <w:pPr>
              <w:rPr>
                <w:rFonts w:cs="Arial"/>
              </w:rPr>
            </w:pPr>
            <w:r w:rsidRPr="005F7493">
              <w:rPr>
                <w:rFonts w:cs="Arial"/>
              </w:rPr>
              <w:t>452215</w:t>
            </w:r>
          </w:p>
        </w:tc>
        <w:tc>
          <w:tcPr>
            <w:tcW w:w="4390" w:type="dxa"/>
          </w:tcPr>
          <w:p w14:paraId="574C9809" w14:textId="77777777" w:rsidR="003B3ED8" w:rsidRPr="005F7493" w:rsidRDefault="003B3ED8">
            <w:pPr>
              <w:rPr>
                <w:rFonts w:cs="Arial"/>
              </w:rPr>
            </w:pPr>
            <w:r w:rsidRPr="005F7493">
              <w:rPr>
                <w:rFonts w:cs="Arial"/>
              </w:rPr>
              <w:t>Community and Personal Service Workers</w:t>
            </w:r>
          </w:p>
        </w:tc>
        <w:tc>
          <w:tcPr>
            <w:tcW w:w="4218" w:type="dxa"/>
            <w:noWrap/>
          </w:tcPr>
          <w:p w14:paraId="30716EB5" w14:textId="77777777" w:rsidR="003B3ED8" w:rsidRPr="005F7493" w:rsidRDefault="003B3ED8">
            <w:pPr>
              <w:rPr>
                <w:rFonts w:cs="Arial"/>
              </w:rPr>
            </w:pPr>
            <w:r w:rsidRPr="005F7493">
              <w:rPr>
                <w:rFonts w:cs="Arial"/>
              </w:rPr>
              <w:t>Outdoor Adventure Instructor</w:t>
            </w:r>
          </w:p>
        </w:tc>
        <w:tc>
          <w:tcPr>
            <w:tcW w:w="1985" w:type="dxa"/>
            <w:noWrap/>
          </w:tcPr>
          <w:p w14:paraId="0AB0DCA4" w14:textId="77777777" w:rsidR="003B3ED8" w:rsidRPr="005F7493" w:rsidRDefault="003B3ED8">
            <w:pPr>
              <w:jc w:val="right"/>
              <w:rPr>
                <w:rFonts w:cs="Arial"/>
              </w:rPr>
            </w:pPr>
            <w:r w:rsidRPr="005F7493">
              <w:rPr>
                <w:rFonts w:cs="Arial"/>
              </w:rPr>
              <w:t>25</w:t>
            </w:r>
          </w:p>
        </w:tc>
        <w:tc>
          <w:tcPr>
            <w:tcW w:w="2016" w:type="dxa"/>
          </w:tcPr>
          <w:p w14:paraId="3E0D2C9C" w14:textId="77777777" w:rsidR="003B3ED8" w:rsidRPr="005F7493" w:rsidRDefault="003B3ED8">
            <w:pPr>
              <w:jc w:val="right"/>
              <w:rPr>
                <w:rFonts w:cs="Arial"/>
              </w:rPr>
            </w:pPr>
            <w:r w:rsidRPr="005F7493">
              <w:rPr>
                <w:rFonts w:cs="Arial"/>
              </w:rPr>
              <w:t>1</w:t>
            </w:r>
            <w:r>
              <w:rPr>
                <w:rFonts w:cs="Arial"/>
              </w:rPr>
              <w:t>,</w:t>
            </w:r>
            <w:r w:rsidRPr="005F7493">
              <w:rPr>
                <w:rFonts w:cs="Arial"/>
              </w:rPr>
              <w:t>701</w:t>
            </w:r>
          </w:p>
        </w:tc>
        <w:tc>
          <w:tcPr>
            <w:tcW w:w="1247" w:type="dxa"/>
          </w:tcPr>
          <w:p w14:paraId="1A753CE2" w14:textId="77777777" w:rsidR="003B3ED8" w:rsidRPr="005F7493" w:rsidRDefault="003B3ED8">
            <w:pPr>
              <w:jc w:val="right"/>
              <w:rPr>
                <w:rFonts w:cs="Arial"/>
              </w:rPr>
            </w:pPr>
            <w:r w:rsidRPr="005F7493">
              <w:rPr>
                <w:rFonts w:cs="Arial"/>
              </w:rPr>
              <w:t>3</w:t>
            </w:r>
          </w:p>
        </w:tc>
      </w:tr>
      <w:tr w:rsidR="003B3ED8" w:rsidRPr="005F4B53" w14:paraId="65C4B925" w14:textId="77777777" w:rsidTr="003B3ED8">
        <w:trPr>
          <w:cnfStyle w:val="000000010000" w:firstRow="0" w:lastRow="0" w:firstColumn="0" w:lastColumn="0" w:oddVBand="0" w:evenVBand="0" w:oddHBand="0" w:evenHBand="1" w:firstRowFirstColumn="0" w:firstRowLastColumn="0" w:lastRowFirstColumn="0" w:lastRowLastColumn="0"/>
          <w:trHeight w:val="510"/>
        </w:trPr>
        <w:tc>
          <w:tcPr>
            <w:tcW w:w="1139" w:type="dxa"/>
            <w:noWrap/>
            <w:hideMark/>
          </w:tcPr>
          <w:p w14:paraId="7D39396F" w14:textId="77777777" w:rsidR="003B3ED8" w:rsidRPr="005F7493" w:rsidRDefault="003B3ED8">
            <w:pPr>
              <w:rPr>
                <w:rFonts w:cs="Arial"/>
              </w:rPr>
            </w:pPr>
            <w:r w:rsidRPr="005F7493">
              <w:rPr>
                <w:rFonts w:cs="Arial"/>
              </w:rPr>
              <w:t>452299</w:t>
            </w:r>
          </w:p>
        </w:tc>
        <w:tc>
          <w:tcPr>
            <w:tcW w:w="4390" w:type="dxa"/>
          </w:tcPr>
          <w:p w14:paraId="175D4566" w14:textId="77777777" w:rsidR="003B3ED8" w:rsidRPr="005F7493" w:rsidRDefault="003B3ED8">
            <w:pPr>
              <w:rPr>
                <w:rFonts w:cs="Arial"/>
              </w:rPr>
            </w:pPr>
            <w:r w:rsidRPr="005F7493">
              <w:rPr>
                <w:rFonts w:cs="Arial"/>
              </w:rPr>
              <w:t>Community and Personal Service Workers</w:t>
            </w:r>
          </w:p>
        </w:tc>
        <w:tc>
          <w:tcPr>
            <w:tcW w:w="4218" w:type="dxa"/>
            <w:noWrap/>
            <w:hideMark/>
          </w:tcPr>
          <w:p w14:paraId="703C0715" w14:textId="77777777" w:rsidR="003B3ED8" w:rsidRPr="005F7493" w:rsidRDefault="003B3ED8">
            <w:pPr>
              <w:rPr>
                <w:rFonts w:cs="Arial"/>
              </w:rPr>
            </w:pPr>
            <w:r w:rsidRPr="005F7493">
              <w:rPr>
                <w:rFonts w:cs="Arial"/>
              </w:rPr>
              <w:t>Outdoor Adventure Guides nec</w:t>
            </w:r>
          </w:p>
        </w:tc>
        <w:tc>
          <w:tcPr>
            <w:tcW w:w="1985" w:type="dxa"/>
            <w:noWrap/>
            <w:hideMark/>
          </w:tcPr>
          <w:p w14:paraId="49E8B733" w14:textId="77777777" w:rsidR="003B3ED8" w:rsidRPr="005F7493" w:rsidRDefault="003B3ED8">
            <w:pPr>
              <w:jc w:val="right"/>
              <w:rPr>
                <w:rFonts w:cs="Arial"/>
              </w:rPr>
            </w:pPr>
            <w:r w:rsidRPr="005F7493">
              <w:rPr>
                <w:rFonts w:cs="Arial"/>
              </w:rPr>
              <w:t>21</w:t>
            </w:r>
          </w:p>
        </w:tc>
        <w:tc>
          <w:tcPr>
            <w:tcW w:w="2016" w:type="dxa"/>
          </w:tcPr>
          <w:p w14:paraId="7FC9020E" w14:textId="77777777" w:rsidR="003B3ED8" w:rsidRPr="005F7493" w:rsidRDefault="003B3ED8">
            <w:pPr>
              <w:jc w:val="right"/>
              <w:rPr>
                <w:rFonts w:cs="Arial"/>
              </w:rPr>
            </w:pPr>
            <w:r w:rsidRPr="005F7493">
              <w:rPr>
                <w:rFonts w:cs="Arial"/>
              </w:rPr>
              <w:t>350</w:t>
            </w:r>
          </w:p>
        </w:tc>
        <w:tc>
          <w:tcPr>
            <w:tcW w:w="1247" w:type="dxa"/>
          </w:tcPr>
          <w:p w14:paraId="5D60CDD1" w14:textId="77777777" w:rsidR="003B3ED8" w:rsidRPr="005F7493" w:rsidRDefault="003B3ED8">
            <w:pPr>
              <w:jc w:val="right"/>
              <w:rPr>
                <w:rFonts w:cs="Arial"/>
              </w:rPr>
            </w:pPr>
            <w:r w:rsidRPr="005F7493">
              <w:rPr>
                <w:rFonts w:cs="Arial"/>
              </w:rPr>
              <w:t>3</w:t>
            </w:r>
          </w:p>
        </w:tc>
      </w:tr>
      <w:tr w:rsidR="003B3ED8" w:rsidRPr="005F4B53" w14:paraId="56D85275" w14:textId="77777777" w:rsidTr="003B3ED8">
        <w:trPr>
          <w:trHeight w:val="510"/>
        </w:trPr>
        <w:tc>
          <w:tcPr>
            <w:tcW w:w="1139" w:type="dxa"/>
            <w:noWrap/>
          </w:tcPr>
          <w:p w14:paraId="46FFA1B3" w14:textId="77777777" w:rsidR="003B3ED8" w:rsidRPr="005F7493" w:rsidRDefault="003B3ED8">
            <w:pPr>
              <w:rPr>
                <w:rFonts w:cs="Arial"/>
              </w:rPr>
            </w:pPr>
            <w:r w:rsidRPr="005F7493">
              <w:rPr>
                <w:rFonts w:cs="Arial"/>
              </w:rPr>
              <w:t>341111</w:t>
            </w:r>
          </w:p>
        </w:tc>
        <w:tc>
          <w:tcPr>
            <w:tcW w:w="4390" w:type="dxa"/>
          </w:tcPr>
          <w:p w14:paraId="57EB2106" w14:textId="77777777" w:rsidR="003B3ED8" w:rsidRPr="005F7493" w:rsidRDefault="003B3ED8">
            <w:pPr>
              <w:rPr>
                <w:rFonts w:cs="Arial"/>
              </w:rPr>
            </w:pPr>
            <w:r w:rsidRPr="005F7493">
              <w:rPr>
                <w:rFonts w:cs="Arial"/>
              </w:rPr>
              <w:t>Technicians and Trades Workers</w:t>
            </w:r>
          </w:p>
        </w:tc>
        <w:tc>
          <w:tcPr>
            <w:tcW w:w="4218" w:type="dxa"/>
            <w:noWrap/>
          </w:tcPr>
          <w:p w14:paraId="725ECA94" w14:textId="77777777" w:rsidR="003B3ED8" w:rsidRPr="005F7493" w:rsidRDefault="003B3ED8">
            <w:pPr>
              <w:rPr>
                <w:rFonts w:cs="Arial"/>
              </w:rPr>
            </w:pPr>
            <w:r w:rsidRPr="005F7493">
              <w:rPr>
                <w:rFonts w:cs="Arial"/>
              </w:rPr>
              <w:t>Electrician (General)</w:t>
            </w:r>
          </w:p>
        </w:tc>
        <w:tc>
          <w:tcPr>
            <w:tcW w:w="1985" w:type="dxa"/>
            <w:noWrap/>
          </w:tcPr>
          <w:p w14:paraId="398E8315" w14:textId="77777777" w:rsidR="003B3ED8" w:rsidRPr="005F7493" w:rsidRDefault="003B3ED8">
            <w:pPr>
              <w:jc w:val="right"/>
              <w:rPr>
                <w:rFonts w:cs="Arial"/>
              </w:rPr>
            </w:pPr>
            <w:r w:rsidRPr="005F7493">
              <w:rPr>
                <w:rFonts w:cs="Arial"/>
              </w:rPr>
              <w:t>15</w:t>
            </w:r>
          </w:p>
        </w:tc>
        <w:tc>
          <w:tcPr>
            <w:tcW w:w="2016" w:type="dxa"/>
          </w:tcPr>
          <w:p w14:paraId="2B478516" w14:textId="77777777" w:rsidR="003B3ED8" w:rsidRPr="005F7493" w:rsidRDefault="003B3ED8">
            <w:pPr>
              <w:jc w:val="right"/>
              <w:rPr>
                <w:rFonts w:cs="Arial"/>
              </w:rPr>
            </w:pPr>
            <w:r w:rsidRPr="005F7493">
              <w:rPr>
                <w:rFonts w:cs="Arial"/>
              </w:rPr>
              <w:t>128</w:t>
            </w:r>
            <w:r>
              <w:rPr>
                <w:rFonts w:cs="Arial"/>
              </w:rPr>
              <w:t>,</w:t>
            </w:r>
            <w:r w:rsidRPr="005F7493">
              <w:rPr>
                <w:rFonts w:cs="Arial"/>
              </w:rPr>
              <w:t>285</w:t>
            </w:r>
          </w:p>
        </w:tc>
        <w:tc>
          <w:tcPr>
            <w:tcW w:w="1247" w:type="dxa"/>
          </w:tcPr>
          <w:p w14:paraId="71C96944" w14:textId="77777777" w:rsidR="003B3ED8" w:rsidRPr="005F7493" w:rsidRDefault="003B3ED8">
            <w:pPr>
              <w:jc w:val="right"/>
              <w:rPr>
                <w:rFonts w:cs="Arial"/>
              </w:rPr>
            </w:pPr>
            <w:r w:rsidRPr="005F7493">
              <w:rPr>
                <w:rFonts w:cs="Arial"/>
              </w:rPr>
              <w:t>3</w:t>
            </w:r>
          </w:p>
        </w:tc>
      </w:tr>
      <w:tr w:rsidR="003B3ED8" w:rsidRPr="005F4B53" w14:paraId="56757F21" w14:textId="77777777" w:rsidTr="003B3ED8">
        <w:trPr>
          <w:cnfStyle w:val="000000010000" w:firstRow="0" w:lastRow="0" w:firstColumn="0" w:lastColumn="0" w:oddVBand="0" w:evenVBand="0" w:oddHBand="0" w:evenHBand="1" w:firstRowFirstColumn="0" w:firstRowLastColumn="0" w:lastRowFirstColumn="0" w:lastRowLastColumn="0"/>
          <w:trHeight w:val="510"/>
        </w:trPr>
        <w:tc>
          <w:tcPr>
            <w:tcW w:w="1139" w:type="dxa"/>
            <w:noWrap/>
          </w:tcPr>
          <w:p w14:paraId="43E03CFA" w14:textId="77777777" w:rsidR="003B3ED8" w:rsidRPr="005F7493" w:rsidRDefault="003B3ED8">
            <w:pPr>
              <w:rPr>
                <w:rFonts w:cs="Arial"/>
              </w:rPr>
            </w:pPr>
            <w:r w:rsidRPr="005F7493">
              <w:rPr>
                <w:rFonts w:cs="Arial"/>
              </w:rPr>
              <w:t>242211</w:t>
            </w:r>
          </w:p>
        </w:tc>
        <w:tc>
          <w:tcPr>
            <w:tcW w:w="4390" w:type="dxa"/>
          </w:tcPr>
          <w:p w14:paraId="0C9020EF" w14:textId="77777777" w:rsidR="003B3ED8" w:rsidRPr="005F7493" w:rsidRDefault="003B3ED8">
            <w:pPr>
              <w:rPr>
                <w:rFonts w:cs="Arial"/>
              </w:rPr>
            </w:pPr>
            <w:r w:rsidRPr="005F7493">
              <w:rPr>
                <w:rFonts w:cs="Arial"/>
              </w:rPr>
              <w:t>Professionals</w:t>
            </w:r>
          </w:p>
        </w:tc>
        <w:tc>
          <w:tcPr>
            <w:tcW w:w="4218" w:type="dxa"/>
            <w:noWrap/>
          </w:tcPr>
          <w:p w14:paraId="104C29B3" w14:textId="77777777" w:rsidR="003B3ED8" w:rsidRPr="005F7493" w:rsidRDefault="003B3ED8">
            <w:pPr>
              <w:rPr>
                <w:rFonts w:cs="Arial"/>
              </w:rPr>
            </w:pPr>
            <w:r w:rsidRPr="005F7493">
              <w:rPr>
                <w:rFonts w:cs="Arial"/>
              </w:rPr>
              <w:t>Vocational Education Teacher / Polytechnic Teacher</w:t>
            </w:r>
          </w:p>
        </w:tc>
        <w:tc>
          <w:tcPr>
            <w:tcW w:w="1985" w:type="dxa"/>
            <w:noWrap/>
          </w:tcPr>
          <w:p w14:paraId="54E86655" w14:textId="77777777" w:rsidR="003B3ED8" w:rsidRPr="005F7493" w:rsidRDefault="003B3ED8">
            <w:pPr>
              <w:jc w:val="right"/>
              <w:rPr>
                <w:rFonts w:cs="Arial"/>
              </w:rPr>
            </w:pPr>
            <w:r w:rsidRPr="005F7493">
              <w:rPr>
                <w:rFonts w:cs="Arial"/>
              </w:rPr>
              <w:t>14</w:t>
            </w:r>
          </w:p>
        </w:tc>
        <w:tc>
          <w:tcPr>
            <w:tcW w:w="2016" w:type="dxa"/>
          </w:tcPr>
          <w:p w14:paraId="72AAAE75" w14:textId="77777777" w:rsidR="003B3ED8" w:rsidRPr="005F7493" w:rsidRDefault="003B3ED8">
            <w:pPr>
              <w:jc w:val="right"/>
              <w:rPr>
                <w:rFonts w:cs="Arial"/>
              </w:rPr>
            </w:pPr>
            <w:r w:rsidRPr="005F7493">
              <w:rPr>
                <w:rFonts w:cs="Arial"/>
              </w:rPr>
              <w:t>30</w:t>
            </w:r>
            <w:r>
              <w:rPr>
                <w:rFonts w:cs="Arial"/>
              </w:rPr>
              <w:t>,</w:t>
            </w:r>
            <w:r w:rsidRPr="005F7493">
              <w:rPr>
                <w:rFonts w:cs="Arial"/>
              </w:rPr>
              <w:t>171</w:t>
            </w:r>
          </w:p>
        </w:tc>
        <w:tc>
          <w:tcPr>
            <w:tcW w:w="1247" w:type="dxa"/>
          </w:tcPr>
          <w:p w14:paraId="18F3A7B5" w14:textId="77777777" w:rsidR="003B3ED8" w:rsidRPr="005F7493" w:rsidRDefault="003B3ED8">
            <w:pPr>
              <w:jc w:val="right"/>
              <w:rPr>
                <w:rFonts w:cs="Arial"/>
              </w:rPr>
            </w:pPr>
            <w:r w:rsidRPr="005F7493">
              <w:rPr>
                <w:rFonts w:cs="Arial"/>
              </w:rPr>
              <w:t>1</w:t>
            </w:r>
          </w:p>
        </w:tc>
      </w:tr>
      <w:tr w:rsidR="003B3ED8" w:rsidRPr="005F4B53" w14:paraId="52B0FFE5" w14:textId="77777777" w:rsidTr="003B3ED8">
        <w:trPr>
          <w:trHeight w:val="510"/>
        </w:trPr>
        <w:tc>
          <w:tcPr>
            <w:tcW w:w="1139" w:type="dxa"/>
            <w:noWrap/>
            <w:hideMark/>
          </w:tcPr>
          <w:p w14:paraId="749AED8D" w14:textId="77777777" w:rsidR="003B3ED8" w:rsidRPr="005F7493" w:rsidRDefault="003B3ED8">
            <w:pPr>
              <w:rPr>
                <w:rFonts w:cs="Arial"/>
              </w:rPr>
            </w:pPr>
            <w:r w:rsidRPr="005F7493">
              <w:rPr>
                <w:rFonts w:cs="Arial"/>
              </w:rPr>
              <w:t>321212</w:t>
            </w:r>
          </w:p>
        </w:tc>
        <w:tc>
          <w:tcPr>
            <w:tcW w:w="4390" w:type="dxa"/>
          </w:tcPr>
          <w:p w14:paraId="76982EE2" w14:textId="77777777" w:rsidR="003B3ED8" w:rsidRPr="005F7493" w:rsidRDefault="003B3ED8">
            <w:pPr>
              <w:rPr>
                <w:rFonts w:cs="Arial"/>
              </w:rPr>
            </w:pPr>
            <w:r w:rsidRPr="005F7493">
              <w:rPr>
                <w:rFonts w:cs="Arial"/>
              </w:rPr>
              <w:t>Technicians and Trades Workers</w:t>
            </w:r>
          </w:p>
        </w:tc>
        <w:tc>
          <w:tcPr>
            <w:tcW w:w="4218" w:type="dxa"/>
            <w:noWrap/>
            <w:hideMark/>
          </w:tcPr>
          <w:p w14:paraId="474B8D43" w14:textId="77777777" w:rsidR="003B3ED8" w:rsidRPr="005F7493" w:rsidRDefault="003B3ED8">
            <w:pPr>
              <w:rPr>
                <w:rFonts w:cs="Arial"/>
              </w:rPr>
            </w:pPr>
            <w:r w:rsidRPr="005F7493">
              <w:rPr>
                <w:rFonts w:cs="Arial"/>
              </w:rPr>
              <w:t>Diesel Motor Mechanic</w:t>
            </w:r>
          </w:p>
        </w:tc>
        <w:tc>
          <w:tcPr>
            <w:tcW w:w="1985" w:type="dxa"/>
            <w:noWrap/>
            <w:hideMark/>
          </w:tcPr>
          <w:p w14:paraId="3877123D" w14:textId="77777777" w:rsidR="003B3ED8" w:rsidRPr="005F7493" w:rsidRDefault="003B3ED8">
            <w:pPr>
              <w:jc w:val="right"/>
              <w:rPr>
                <w:rFonts w:cs="Arial"/>
              </w:rPr>
            </w:pPr>
            <w:r w:rsidRPr="005F7493">
              <w:rPr>
                <w:rFonts w:cs="Arial"/>
              </w:rPr>
              <w:t>13</w:t>
            </w:r>
          </w:p>
        </w:tc>
        <w:tc>
          <w:tcPr>
            <w:tcW w:w="2016" w:type="dxa"/>
          </w:tcPr>
          <w:p w14:paraId="4B039244" w14:textId="77777777" w:rsidR="003B3ED8" w:rsidRPr="005F7493" w:rsidRDefault="003B3ED8">
            <w:pPr>
              <w:jc w:val="right"/>
              <w:rPr>
                <w:rFonts w:cs="Arial"/>
              </w:rPr>
            </w:pPr>
            <w:r w:rsidRPr="1FC5F102">
              <w:rPr>
                <w:rFonts w:cs="Arial"/>
              </w:rPr>
              <w:t>7,373</w:t>
            </w:r>
          </w:p>
        </w:tc>
        <w:tc>
          <w:tcPr>
            <w:tcW w:w="1247" w:type="dxa"/>
          </w:tcPr>
          <w:p w14:paraId="630F07F4" w14:textId="77777777" w:rsidR="003B3ED8" w:rsidRPr="005F7493" w:rsidRDefault="003B3ED8">
            <w:pPr>
              <w:jc w:val="right"/>
              <w:rPr>
                <w:rFonts w:cs="Arial"/>
              </w:rPr>
            </w:pPr>
            <w:r w:rsidRPr="005F7493">
              <w:rPr>
                <w:rFonts w:cs="Arial"/>
              </w:rPr>
              <w:t>3</w:t>
            </w:r>
          </w:p>
        </w:tc>
      </w:tr>
      <w:tr w:rsidR="003B3ED8" w:rsidRPr="005F4B53" w14:paraId="703829CE" w14:textId="77777777" w:rsidTr="003B3ED8">
        <w:trPr>
          <w:cnfStyle w:val="000000010000" w:firstRow="0" w:lastRow="0" w:firstColumn="0" w:lastColumn="0" w:oddVBand="0" w:evenVBand="0" w:oddHBand="0" w:evenHBand="1" w:firstRowFirstColumn="0" w:firstRowLastColumn="0" w:lastRowFirstColumn="0" w:lastRowLastColumn="0"/>
          <w:trHeight w:val="510"/>
        </w:trPr>
        <w:tc>
          <w:tcPr>
            <w:tcW w:w="1139" w:type="dxa"/>
            <w:noWrap/>
            <w:hideMark/>
          </w:tcPr>
          <w:p w14:paraId="6B55CF60" w14:textId="77777777" w:rsidR="003B3ED8" w:rsidRPr="005F7493" w:rsidRDefault="003B3ED8">
            <w:pPr>
              <w:rPr>
                <w:rFonts w:cs="Arial"/>
              </w:rPr>
            </w:pPr>
            <w:r w:rsidRPr="005F7493">
              <w:rPr>
                <w:rFonts w:cs="Arial"/>
              </w:rPr>
              <w:t>221111</w:t>
            </w:r>
          </w:p>
        </w:tc>
        <w:tc>
          <w:tcPr>
            <w:tcW w:w="4390" w:type="dxa"/>
          </w:tcPr>
          <w:p w14:paraId="56019840" w14:textId="77777777" w:rsidR="003B3ED8" w:rsidRPr="005F7493" w:rsidRDefault="003B3ED8">
            <w:pPr>
              <w:rPr>
                <w:rFonts w:cs="Arial"/>
              </w:rPr>
            </w:pPr>
            <w:r w:rsidRPr="005F7493">
              <w:rPr>
                <w:rFonts w:cs="Arial"/>
              </w:rPr>
              <w:t>Professionals</w:t>
            </w:r>
          </w:p>
        </w:tc>
        <w:tc>
          <w:tcPr>
            <w:tcW w:w="4218" w:type="dxa"/>
            <w:noWrap/>
            <w:hideMark/>
          </w:tcPr>
          <w:p w14:paraId="163AAB31" w14:textId="77777777" w:rsidR="003B3ED8" w:rsidRPr="005F7493" w:rsidRDefault="003B3ED8">
            <w:pPr>
              <w:rPr>
                <w:rFonts w:cs="Arial"/>
              </w:rPr>
            </w:pPr>
            <w:r w:rsidRPr="005F7493">
              <w:rPr>
                <w:rFonts w:cs="Arial"/>
              </w:rPr>
              <w:t>Accountant (General)</w:t>
            </w:r>
          </w:p>
        </w:tc>
        <w:tc>
          <w:tcPr>
            <w:tcW w:w="1985" w:type="dxa"/>
            <w:noWrap/>
            <w:hideMark/>
          </w:tcPr>
          <w:p w14:paraId="63C62568" w14:textId="77777777" w:rsidR="003B3ED8" w:rsidRPr="005F7493" w:rsidRDefault="003B3ED8">
            <w:pPr>
              <w:jc w:val="right"/>
              <w:rPr>
                <w:rFonts w:cs="Arial"/>
              </w:rPr>
            </w:pPr>
            <w:r w:rsidRPr="005F7493">
              <w:rPr>
                <w:rFonts w:cs="Arial"/>
              </w:rPr>
              <w:t>12</w:t>
            </w:r>
          </w:p>
        </w:tc>
        <w:tc>
          <w:tcPr>
            <w:tcW w:w="2016" w:type="dxa"/>
          </w:tcPr>
          <w:p w14:paraId="4395DFDF" w14:textId="77777777" w:rsidR="003B3ED8" w:rsidRPr="005F7493" w:rsidRDefault="003B3ED8">
            <w:pPr>
              <w:jc w:val="right"/>
              <w:rPr>
                <w:rFonts w:cs="Arial"/>
              </w:rPr>
            </w:pPr>
            <w:r w:rsidRPr="005F7493">
              <w:rPr>
                <w:rFonts w:cs="Arial"/>
              </w:rPr>
              <w:t>139</w:t>
            </w:r>
            <w:r>
              <w:rPr>
                <w:rFonts w:cs="Arial"/>
              </w:rPr>
              <w:t>,</w:t>
            </w:r>
            <w:r w:rsidRPr="005F7493">
              <w:rPr>
                <w:rFonts w:cs="Arial"/>
              </w:rPr>
              <w:t>057</w:t>
            </w:r>
          </w:p>
        </w:tc>
        <w:tc>
          <w:tcPr>
            <w:tcW w:w="1247" w:type="dxa"/>
          </w:tcPr>
          <w:p w14:paraId="67BA46BA" w14:textId="77777777" w:rsidR="003B3ED8" w:rsidRPr="005F7493" w:rsidRDefault="003B3ED8">
            <w:pPr>
              <w:jc w:val="right"/>
              <w:rPr>
                <w:rFonts w:cs="Arial"/>
              </w:rPr>
            </w:pPr>
            <w:r w:rsidRPr="005F7493">
              <w:rPr>
                <w:rFonts w:cs="Arial"/>
              </w:rPr>
              <w:t>1</w:t>
            </w:r>
          </w:p>
        </w:tc>
      </w:tr>
      <w:tr w:rsidR="003B3ED8" w:rsidRPr="005F4B53" w14:paraId="5AF701BE" w14:textId="77777777" w:rsidTr="003B3ED8">
        <w:trPr>
          <w:trHeight w:val="510"/>
        </w:trPr>
        <w:tc>
          <w:tcPr>
            <w:tcW w:w="1139" w:type="dxa"/>
            <w:noWrap/>
            <w:hideMark/>
          </w:tcPr>
          <w:p w14:paraId="35A8B4AE" w14:textId="77777777" w:rsidR="003B3ED8" w:rsidRPr="005F7493" w:rsidRDefault="003B3ED8">
            <w:pPr>
              <w:rPr>
                <w:rFonts w:cs="Arial"/>
              </w:rPr>
            </w:pPr>
            <w:r w:rsidRPr="005F7493">
              <w:rPr>
                <w:rFonts w:cs="Arial"/>
              </w:rPr>
              <w:t>221113</w:t>
            </w:r>
          </w:p>
        </w:tc>
        <w:tc>
          <w:tcPr>
            <w:tcW w:w="4390" w:type="dxa"/>
          </w:tcPr>
          <w:p w14:paraId="24283FF8" w14:textId="77777777" w:rsidR="003B3ED8" w:rsidRPr="005F7493" w:rsidRDefault="003B3ED8">
            <w:pPr>
              <w:rPr>
                <w:rFonts w:cs="Arial"/>
              </w:rPr>
            </w:pPr>
            <w:r w:rsidRPr="005F7493">
              <w:rPr>
                <w:rFonts w:cs="Arial"/>
              </w:rPr>
              <w:t>Professionals</w:t>
            </w:r>
          </w:p>
        </w:tc>
        <w:tc>
          <w:tcPr>
            <w:tcW w:w="4218" w:type="dxa"/>
            <w:noWrap/>
            <w:hideMark/>
          </w:tcPr>
          <w:p w14:paraId="372ACEE2" w14:textId="77777777" w:rsidR="003B3ED8" w:rsidRPr="005F7493" w:rsidRDefault="003B3ED8">
            <w:pPr>
              <w:rPr>
                <w:rFonts w:cs="Arial"/>
              </w:rPr>
            </w:pPr>
            <w:r w:rsidRPr="005F7493">
              <w:rPr>
                <w:rFonts w:cs="Arial"/>
              </w:rPr>
              <w:t>Taxation Accountant</w:t>
            </w:r>
          </w:p>
        </w:tc>
        <w:tc>
          <w:tcPr>
            <w:tcW w:w="1985" w:type="dxa"/>
            <w:noWrap/>
            <w:hideMark/>
          </w:tcPr>
          <w:p w14:paraId="004F7A04" w14:textId="77777777" w:rsidR="003B3ED8" w:rsidRPr="005F7493" w:rsidRDefault="003B3ED8">
            <w:pPr>
              <w:jc w:val="right"/>
              <w:rPr>
                <w:rFonts w:cs="Arial"/>
              </w:rPr>
            </w:pPr>
            <w:r w:rsidRPr="005F7493">
              <w:rPr>
                <w:rFonts w:cs="Arial"/>
              </w:rPr>
              <w:t>12</w:t>
            </w:r>
          </w:p>
        </w:tc>
        <w:tc>
          <w:tcPr>
            <w:tcW w:w="2016" w:type="dxa"/>
          </w:tcPr>
          <w:p w14:paraId="04088AA1" w14:textId="77777777" w:rsidR="003B3ED8" w:rsidRPr="005F7493" w:rsidRDefault="003B3ED8">
            <w:pPr>
              <w:jc w:val="right"/>
              <w:rPr>
                <w:rFonts w:cs="Arial"/>
              </w:rPr>
            </w:pPr>
            <w:r w:rsidRPr="005F7493">
              <w:rPr>
                <w:rFonts w:cs="Arial"/>
              </w:rPr>
              <w:t>12</w:t>
            </w:r>
            <w:r>
              <w:rPr>
                <w:rFonts w:cs="Arial"/>
              </w:rPr>
              <w:t>,</w:t>
            </w:r>
            <w:r w:rsidRPr="005F7493">
              <w:rPr>
                <w:rFonts w:cs="Arial"/>
              </w:rPr>
              <w:t>492</w:t>
            </w:r>
          </w:p>
        </w:tc>
        <w:tc>
          <w:tcPr>
            <w:tcW w:w="1247" w:type="dxa"/>
          </w:tcPr>
          <w:p w14:paraId="56BAE52E" w14:textId="77777777" w:rsidR="003B3ED8" w:rsidRPr="005F7493" w:rsidRDefault="003B3ED8">
            <w:pPr>
              <w:jc w:val="right"/>
              <w:rPr>
                <w:rFonts w:cs="Arial"/>
              </w:rPr>
            </w:pPr>
            <w:r w:rsidRPr="005F7493">
              <w:rPr>
                <w:rFonts w:cs="Arial"/>
              </w:rPr>
              <w:t>1</w:t>
            </w:r>
          </w:p>
        </w:tc>
      </w:tr>
      <w:tr w:rsidR="003B3ED8" w:rsidRPr="005F4B53" w14:paraId="7F459EED" w14:textId="77777777" w:rsidTr="003B3ED8">
        <w:trPr>
          <w:cnfStyle w:val="000000010000" w:firstRow="0" w:lastRow="0" w:firstColumn="0" w:lastColumn="0" w:oddVBand="0" w:evenVBand="0" w:oddHBand="0" w:evenHBand="1" w:firstRowFirstColumn="0" w:firstRowLastColumn="0" w:lastRowFirstColumn="0" w:lastRowLastColumn="0"/>
          <w:trHeight w:val="510"/>
        </w:trPr>
        <w:tc>
          <w:tcPr>
            <w:tcW w:w="1139" w:type="dxa"/>
            <w:noWrap/>
            <w:hideMark/>
          </w:tcPr>
          <w:p w14:paraId="510ABC86" w14:textId="77777777" w:rsidR="003B3ED8" w:rsidRPr="005F7493" w:rsidRDefault="003B3ED8">
            <w:pPr>
              <w:rPr>
                <w:rFonts w:cs="Arial"/>
              </w:rPr>
            </w:pPr>
            <w:r w:rsidRPr="005F7493">
              <w:rPr>
                <w:rFonts w:cs="Arial"/>
              </w:rPr>
              <w:t>399913</w:t>
            </w:r>
          </w:p>
        </w:tc>
        <w:tc>
          <w:tcPr>
            <w:tcW w:w="4390" w:type="dxa"/>
          </w:tcPr>
          <w:p w14:paraId="23EF4D1A" w14:textId="77777777" w:rsidR="003B3ED8" w:rsidRPr="005F7493" w:rsidRDefault="003B3ED8">
            <w:pPr>
              <w:rPr>
                <w:rFonts w:cs="Arial"/>
              </w:rPr>
            </w:pPr>
            <w:r w:rsidRPr="005F7493">
              <w:rPr>
                <w:rFonts w:cs="Arial"/>
              </w:rPr>
              <w:t>Technicians and Trades Workers</w:t>
            </w:r>
          </w:p>
        </w:tc>
        <w:tc>
          <w:tcPr>
            <w:tcW w:w="4218" w:type="dxa"/>
            <w:noWrap/>
            <w:hideMark/>
          </w:tcPr>
          <w:p w14:paraId="2E6DB1EB" w14:textId="77777777" w:rsidR="003B3ED8" w:rsidRPr="005F7493" w:rsidRDefault="003B3ED8">
            <w:pPr>
              <w:rPr>
                <w:rFonts w:cs="Arial"/>
              </w:rPr>
            </w:pPr>
            <w:r w:rsidRPr="005F7493">
              <w:rPr>
                <w:rFonts w:cs="Arial"/>
              </w:rPr>
              <w:t>Optical Dispenser / Dispensing Optician</w:t>
            </w:r>
          </w:p>
        </w:tc>
        <w:tc>
          <w:tcPr>
            <w:tcW w:w="1985" w:type="dxa"/>
            <w:noWrap/>
            <w:hideMark/>
          </w:tcPr>
          <w:p w14:paraId="414F452F" w14:textId="77777777" w:rsidR="003B3ED8" w:rsidRPr="005F7493" w:rsidRDefault="003B3ED8">
            <w:pPr>
              <w:jc w:val="right"/>
              <w:rPr>
                <w:rFonts w:cs="Arial"/>
              </w:rPr>
            </w:pPr>
            <w:r w:rsidRPr="005F7493">
              <w:rPr>
                <w:rFonts w:cs="Arial"/>
              </w:rPr>
              <w:t>12</w:t>
            </w:r>
          </w:p>
        </w:tc>
        <w:tc>
          <w:tcPr>
            <w:tcW w:w="2016" w:type="dxa"/>
          </w:tcPr>
          <w:p w14:paraId="191DFA7D" w14:textId="77777777" w:rsidR="003B3ED8" w:rsidRPr="005F7493" w:rsidRDefault="003B3ED8">
            <w:pPr>
              <w:jc w:val="right"/>
              <w:rPr>
                <w:rFonts w:cs="Arial"/>
              </w:rPr>
            </w:pPr>
            <w:r w:rsidRPr="005F7493">
              <w:rPr>
                <w:rFonts w:cs="Arial"/>
              </w:rPr>
              <w:t>6</w:t>
            </w:r>
            <w:r>
              <w:rPr>
                <w:rFonts w:cs="Arial"/>
              </w:rPr>
              <w:t>,</w:t>
            </w:r>
            <w:r w:rsidRPr="005F7493">
              <w:rPr>
                <w:rFonts w:cs="Arial"/>
              </w:rPr>
              <w:t>162</w:t>
            </w:r>
          </w:p>
        </w:tc>
        <w:tc>
          <w:tcPr>
            <w:tcW w:w="1247" w:type="dxa"/>
          </w:tcPr>
          <w:p w14:paraId="2E1F3BCB" w14:textId="77777777" w:rsidR="003B3ED8" w:rsidRPr="005F7493" w:rsidRDefault="003B3ED8">
            <w:pPr>
              <w:jc w:val="right"/>
              <w:rPr>
                <w:rFonts w:cs="Arial"/>
              </w:rPr>
            </w:pPr>
            <w:r w:rsidRPr="005F7493">
              <w:rPr>
                <w:rFonts w:cs="Arial"/>
              </w:rPr>
              <w:t>3</w:t>
            </w:r>
          </w:p>
        </w:tc>
      </w:tr>
      <w:tr w:rsidR="003B3ED8" w:rsidRPr="005F4B53" w14:paraId="185F9DAE" w14:textId="77777777" w:rsidTr="003B3ED8">
        <w:trPr>
          <w:trHeight w:val="510"/>
        </w:trPr>
        <w:tc>
          <w:tcPr>
            <w:tcW w:w="1139" w:type="dxa"/>
            <w:noWrap/>
            <w:hideMark/>
          </w:tcPr>
          <w:p w14:paraId="2CEEF58A" w14:textId="77777777" w:rsidR="003B3ED8" w:rsidRPr="005F7493" w:rsidRDefault="003B3ED8">
            <w:pPr>
              <w:rPr>
                <w:rFonts w:cs="Arial"/>
              </w:rPr>
            </w:pPr>
            <w:r w:rsidRPr="005F7493">
              <w:rPr>
                <w:rFonts w:cs="Arial"/>
              </w:rPr>
              <w:t>321211</w:t>
            </w:r>
          </w:p>
        </w:tc>
        <w:tc>
          <w:tcPr>
            <w:tcW w:w="4390" w:type="dxa"/>
          </w:tcPr>
          <w:p w14:paraId="664E8A52" w14:textId="77777777" w:rsidR="003B3ED8" w:rsidRPr="005F7493" w:rsidRDefault="003B3ED8">
            <w:pPr>
              <w:rPr>
                <w:rFonts w:cs="Arial"/>
              </w:rPr>
            </w:pPr>
            <w:r w:rsidRPr="005F7493">
              <w:rPr>
                <w:rFonts w:cs="Arial"/>
              </w:rPr>
              <w:t>Technicians and Trades Workers</w:t>
            </w:r>
          </w:p>
        </w:tc>
        <w:tc>
          <w:tcPr>
            <w:tcW w:w="4218" w:type="dxa"/>
            <w:noWrap/>
            <w:hideMark/>
          </w:tcPr>
          <w:p w14:paraId="6E1D47CC" w14:textId="77777777" w:rsidR="003B3ED8" w:rsidRPr="005F7493" w:rsidRDefault="003B3ED8">
            <w:pPr>
              <w:rPr>
                <w:rFonts w:cs="Arial"/>
              </w:rPr>
            </w:pPr>
            <w:r w:rsidRPr="005F7493">
              <w:rPr>
                <w:rFonts w:cs="Arial"/>
              </w:rPr>
              <w:t>Motor Mechanic (General)</w:t>
            </w:r>
          </w:p>
        </w:tc>
        <w:tc>
          <w:tcPr>
            <w:tcW w:w="1985" w:type="dxa"/>
            <w:noWrap/>
            <w:hideMark/>
          </w:tcPr>
          <w:p w14:paraId="74585F68" w14:textId="77777777" w:rsidR="003B3ED8" w:rsidRPr="005F7493" w:rsidRDefault="003B3ED8">
            <w:pPr>
              <w:jc w:val="right"/>
              <w:rPr>
                <w:rFonts w:cs="Arial"/>
              </w:rPr>
            </w:pPr>
            <w:r w:rsidRPr="005F7493">
              <w:rPr>
                <w:rFonts w:cs="Arial"/>
              </w:rPr>
              <w:t>12</w:t>
            </w:r>
          </w:p>
        </w:tc>
        <w:tc>
          <w:tcPr>
            <w:tcW w:w="2016" w:type="dxa"/>
          </w:tcPr>
          <w:p w14:paraId="7D51142F" w14:textId="77777777" w:rsidR="003B3ED8" w:rsidRPr="005F7493" w:rsidRDefault="003B3ED8">
            <w:pPr>
              <w:jc w:val="right"/>
              <w:rPr>
                <w:rFonts w:cs="Arial"/>
              </w:rPr>
            </w:pPr>
            <w:r w:rsidRPr="005F7493">
              <w:rPr>
                <w:rFonts w:cs="Arial"/>
              </w:rPr>
              <w:t>79</w:t>
            </w:r>
            <w:r>
              <w:rPr>
                <w:rFonts w:cs="Arial"/>
              </w:rPr>
              <w:t>,</w:t>
            </w:r>
            <w:r w:rsidRPr="005F7493">
              <w:rPr>
                <w:rFonts w:cs="Arial"/>
              </w:rPr>
              <w:t>296</w:t>
            </w:r>
          </w:p>
        </w:tc>
        <w:tc>
          <w:tcPr>
            <w:tcW w:w="1247" w:type="dxa"/>
          </w:tcPr>
          <w:p w14:paraId="2A805592" w14:textId="77777777" w:rsidR="003B3ED8" w:rsidRPr="005F7493" w:rsidRDefault="003B3ED8">
            <w:pPr>
              <w:jc w:val="right"/>
              <w:rPr>
                <w:rFonts w:cs="Arial"/>
              </w:rPr>
            </w:pPr>
            <w:r w:rsidRPr="005F7493">
              <w:rPr>
                <w:rFonts w:cs="Arial"/>
              </w:rPr>
              <w:t>3</w:t>
            </w:r>
          </w:p>
        </w:tc>
      </w:tr>
      <w:tr w:rsidR="003B3ED8" w:rsidRPr="005F4B53" w:rsidDel="00E45867" w14:paraId="5DDA9C05" w14:textId="77777777" w:rsidTr="003B3ED8">
        <w:trPr>
          <w:cnfStyle w:val="000000010000" w:firstRow="0" w:lastRow="0" w:firstColumn="0" w:lastColumn="0" w:oddVBand="0" w:evenVBand="0" w:oddHBand="0" w:evenHBand="1" w:firstRowFirstColumn="0" w:firstRowLastColumn="0" w:lastRowFirstColumn="0" w:lastRowLastColumn="0"/>
          <w:trHeight w:val="510"/>
        </w:trPr>
        <w:tc>
          <w:tcPr>
            <w:tcW w:w="1139" w:type="dxa"/>
            <w:noWrap/>
          </w:tcPr>
          <w:p w14:paraId="2730D54F" w14:textId="77777777" w:rsidR="003B3ED8" w:rsidRPr="005F7493" w:rsidDel="00E45867" w:rsidRDefault="003B3ED8">
            <w:pPr>
              <w:rPr>
                <w:rFonts w:cs="Arial"/>
              </w:rPr>
            </w:pPr>
            <w:r w:rsidRPr="005F7493">
              <w:rPr>
                <w:rFonts w:cs="Arial"/>
              </w:rPr>
              <w:t>322311</w:t>
            </w:r>
          </w:p>
        </w:tc>
        <w:tc>
          <w:tcPr>
            <w:tcW w:w="4390" w:type="dxa"/>
          </w:tcPr>
          <w:p w14:paraId="1773FAEA" w14:textId="77777777" w:rsidR="003B3ED8" w:rsidRPr="005F7493" w:rsidDel="00E45867" w:rsidRDefault="003B3ED8">
            <w:pPr>
              <w:rPr>
                <w:rFonts w:cs="Arial"/>
              </w:rPr>
            </w:pPr>
            <w:r w:rsidRPr="005F7493">
              <w:rPr>
                <w:rFonts w:cs="Arial"/>
              </w:rPr>
              <w:t>Technicians and Trades Workers</w:t>
            </w:r>
          </w:p>
        </w:tc>
        <w:tc>
          <w:tcPr>
            <w:tcW w:w="4218" w:type="dxa"/>
            <w:noWrap/>
          </w:tcPr>
          <w:p w14:paraId="576D93DC" w14:textId="77777777" w:rsidR="003B3ED8" w:rsidRPr="005F7493" w:rsidDel="00E45867" w:rsidRDefault="003B3ED8">
            <w:pPr>
              <w:rPr>
                <w:rFonts w:cs="Arial"/>
              </w:rPr>
            </w:pPr>
            <w:r w:rsidRPr="005F7493">
              <w:rPr>
                <w:rFonts w:cs="Arial"/>
              </w:rPr>
              <w:t>Metal Fabricator</w:t>
            </w:r>
          </w:p>
        </w:tc>
        <w:tc>
          <w:tcPr>
            <w:tcW w:w="1985" w:type="dxa"/>
            <w:noWrap/>
          </w:tcPr>
          <w:p w14:paraId="21CE493F" w14:textId="77777777" w:rsidR="003B3ED8" w:rsidRPr="005F7493" w:rsidDel="00E45867" w:rsidRDefault="003B3ED8">
            <w:pPr>
              <w:jc w:val="right"/>
              <w:rPr>
                <w:rFonts w:cs="Arial"/>
              </w:rPr>
            </w:pPr>
            <w:r w:rsidRPr="005F7493">
              <w:rPr>
                <w:rFonts w:cs="Arial"/>
              </w:rPr>
              <w:t>12</w:t>
            </w:r>
          </w:p>
        </w:tc>
        <w:tc>
          <w:tcPr>
            <w:tcW w:w="2016" w:type="dxa"/>
          </w:tcPr>
          <w:p w14:paraId="01DCC610" w14:textId="77777777" w:rsidR="003B3ED8" w:rsidRPr="005F7493" w:rsidDel="00E45867" w:rsidRDefault="003B3ED8">
            <w:pPr>
              <w:jc w:val="right"/>
              <w:rPr>
                <w:rFonts w:cs="Arial"/>
              </w:rPr>
            </w:pPr>
            <w:r w:rsidRPr="005F7493">
              <w:rPr>
                <w:rFonts w:cs="Arial"/>
              </w:rPr>
              <w:t>42</w:t>
            </w:r>
            <w:r>
              <w:rPr>
                <w:rFonts w:cs="Arial"/>
              </w:rPr>
              <w:t>,</w:t>
            </w:r>
            <w:r w:rsidRPr="005F7493">
              <w:rPr>
                <w:rFonts w:cs="Arial"/>
              </w:rPr>
              <w:t>572</w:t>
            </w:r>
          </w:p>
        </w:tc>
        <w:tc>
          <w:tcPr>
            <w:tcW w:w="1247" w:type="dxa"/>
          </w:tcPr>
          <w:p w14:paraId="0DA714EE" w14:textId="77777777" w:rsidR="003B3ED8" w:rsidRPr="005F7493" w:rsidDel="00E45867" w:rsidRDefault="003B3ED8">
            <w:pPr>
              <w:jc w:val="right"/>
              <w:rPr>
                <w:rFonts w:cs="Arial"/>
              </w:rPr>
            </w:pPr>
            <w:r w:rsidRPr="005F7493">
              <w:rPr>
                <w:rFonts w:cs="Arial"/>
              </w:rPr>
              <w:t>3</w:t>
            </w:r>
          </w:p>
        </w:tc>
      </w:tr>
    </w:tbl>
    <w:p w14:paraId="5D9A03E1" w14:textId="6C748A0B" w:rsidR="00DA463C" w:rsidRDefault="003B3ED8" w:rsidP="003B3ED8">
      <w:pPr>
        <w:pStyle w:val="Source"/>
      </w:pPr>
      <w:r w:rsidRPr="00007084">
        <w:t xml:space="preserve">Source: Jobs and Skills Australia, 2024 </w:t>
      </w:r>
      <w:r w:rsidR="00E148D1">
        <w:t>Occupation Shortage List</w:t>
      </w:r>
      <w:r w:rsidR="00E148D1" w:rsidRPr="00007084">
        <w:t xml:space="preserve"> </w:t>
      </w:r>
      <w:r w:rsidRPr="00007084">
        <w:t>Stakeholder Survey; A</w:t>
      </w:r>
      <w:r w:rsidR="009A3B29">
        <w:t xml:space="preserve">ustralian </w:t>
      </w:r>
      <w:r w:rsidRPr="00007084">
        <w:t>B</w:t>
      </w:r>
      <w:r w:rsidR="009A3B29">
        <w:t xml:space="preserve">ureau of </w:t>
      </w:r>
      <w:r w:rsidRPr="00007084">
        <w:t>S</w:t>
      </w:r>
      <w:r w:rsidR="009A3B29">
        <w:t>tatistics</w:t>
      </w:r>
      <w:r w:rsidRPr="00007084">
        <w:t>, 2021 Census of Population and Housing.</w:t>
      </w:r>
    </w:p>
    <w:p w14:paraId="585D11E5" w14:textId="77777777" w:rsidR="00DA463C" w:rsidRDefault="00DA463C" w:rsidP="00D97AF0">
      <w:pPr>
        <w:pStyle w:val="ListBullet"/>
        <w:numPr>
          <w:ilvl w:val="0"/>
          <w:numId w:val="0"/>
        </w:numPr>
        <w:ind w:left="284" w:hanging="284"/>
      </w:pPr>
    </w:p>
    <w:p w14:paraId="48699745" w14:textId="77777777" w:rsidR="00DA463C" w:rsidRDefault="00DA463C" w:rsidP="00D97AF0">
      <w:pPr>
        <w:pStyle w:val="ListBullet"/>
        <w:numPr>
          <w:ilvl w:val="0"/>
          <w:numId w:val="0"/>
        </w:numPr>
        <w:ind w:left="284" w:hanging="284"/>
        <w:sectPr w:rsidR="00DA463C" w:rsidSect="00DA463C">
          <w:headerReference w:type="first" r:id="rId16"/>
          <w:pgSz w:w="16838" w:h="11906" w:orient="landscape"/>
          <w:pgMar w:top="1440" w:right="1276" w:bottom="1440" w:left="1134" w:header="0" w:footer="539" w:gutter="0"/>
          <w:cols w:space="708"/>
          <w:titlePg/>
          <w:docGrid w:linePitch="360"/>
        </w:sectPr>
      </w:pPr>
    </w:p>
    <w:p w14:paraId="014BA9BB" w14:textId="77777777" w:rsidR="009C7E40" w:rsidRPr="005F4B53" w:rsidRDefault="009C7E40" w:rsidP="009C7E40">
      <w:pPr>
        <w:pStyle w:val="Heading2"/>
      </w:pPr>
      <w:r>
        <w:lastRenderedPageBreak/>
        <w:t>Information on vacancies filled</w:t>
      </w:r>
    </w:p>
    <w:p w14:paraId="4EBB1890" w14:textId="77777777" w:rsidR="009C7E40" w:rsidRPr="00E80AED" w:rsidRDefault="009C7E40" w:rsidP="00D84CD9">
      <w:r w:rsidRPr="0003607E">
        <w:t>In contrast to high proportions of vacancies filled, low proportions imply higher levels of recruitment challenges and potentially indicate occupation shortages.</w:t>
      </w:r>
      <w:r>
        <w:rPr>
          <w:rStyle w:val="FootnoteReference"/>
          <w:rFonts w:cs="Arial"/>
        </w:rPr>
        <w:footnoteReference w:id="7"/>
      </w:r>
    </w:p>
    <w:p w14:paraId="7AAA3DE7" w14:textId="1214BEB2" w:rsidR="009C7E40" w:rsidRPr="00007084" w:rsidRDefault="009C7E40" w:rsidP="00D84CD9">
      <w:pPr>
        <w:pStyle w:val="ListBullet"/>
      </w:pPr>
      <w:r w:rsidRPr="00007084">
        <w:t>Across the 480 occupations covered in survey responses, 46% of responses reported that a ‘low proportion of their vacancies were filled’. Another 36% indicated that a ‘moderate proportion of vacancies were filled’ and the remaining 17%, ‘a high proportion of vacancies were filled’</w:t>
      </w:r>
      <w:r w:rsidR="00F47BAF">
        <w:t xml:space="preserve"> (</w:t>
      </w:r>
      <w:r w:rsidR="00F47BAF">
        <w:fldChar w:fldCharType="begin"/>
      </w:r>
      <w:r w:rsidR="00F47BAF">
        <w:instrText xml:space="preserve"> REF _Ref174973065 \h </w:instrText>
      </w:r>
      <w:r w:rsidR="00F47BAF">
        <w:fldChar w:fldCharType="separate"/>
      </w:r>
      <w:r w:rsidR="000D2208" w:rsidRPr="00276822">
        <w:t xml:space="preserve">Figure </w:t>
      </w:r>
      <w:r w:rsidR="000D2208">
        <w:rPr>
          <w:noProof/>
        </w:rPr>
        <w:t>1</w:t>
      </w:r>
      <w:r w:rsidR="00F47BAF">
        <w:fldChar w:fldCharType="end"/>
      </w:r>
      <w:r w:rsidR="00F47BAF">
        <w:t>)</w:t>
      </w:r>
      <w:r w:rsidRPr="00007084">
        <w:t>.</w:t>
      </w:r>
      <w:r w:rsidRPr="00007084">
        <w:rPr>
          <w:rStyle w:val="FootnoteReference"/>
        </w:rPr>
        <w:footnoteReference w:id="8"/>
      </w:r>
    </w:p>
    <w:p w14:paraId="7015BA4E" w14:textId="77777777" w:rsidR="009C7E40" w:rsidRPr="0003607E" w:rsidRDefault="009C7E40" w:rsidP="00D84CD9">
      <w:r w:rsidRPr="0003607E">
        <w:t>The results varied by major groups.</w:t>
      </w:r>
      <w:r>
        <w:t xml:space="preserve"> Based on </w:t>
      </w:r>
      <w:r w:rsidRPr="0003607E">
        <w:t xml:space="preserve">responses </w:t>
      </w:r>
      <w:r>
        <w:t xml:space="preserve">from </w:t>
      </w:r>
      <w:r w:rsidRPr="0003607E">
        <w:t xml:space="preserve">within </w:t>
      </w:r>
      <w:r>
        <w:t xml:space="preserve">major </w:t>
      </w:r>
      <w:r w:rsidRPr="0003607E">
        <w:t>groups</w:t>
      </w:r>
      <w:r>
        <w:t>:</w:t>
      </w:r>
    </w:p>
    <w:p w14:paraId="0C99380D" w14:textId="77777777" w:rsidR="009C7E40" w:rsidRPr="00007084" w:rsidRDefault="009C7E40" w:rsidP="009C7E40">
      <w:pPr>
        <w:pStyle w:val="ListBullet"/>
      </w:pPr>
      <w:r w:rsidRPr="00007084">
        <w:t>The Labourers – at 74% – had the highest percentage of responses indicating a ‘low proportion of vacancies filled’.</w:t>
      </w:r>
    </w:p>
    <w:p w14:paraId="6D080BFC" w14:textId="77777777" w:rsidR="009C7E40" w:rsidRPr="00007084" w:rsidRDefault="009C7E40" w:rsidP="009C7E40">
      <w:pPr>
        <w:pStyle w:val="ListBullet"/>
      </w:pPr>
      <w:r w:rsidRPr="00007084">
        <w:t xml:space="preserve">Occupations in the Community and Personal Service Workers and Technical and Trades Workers also had large shares, reporting low proportion of vacancies filled </w:t>
      </w:r>
      <w:r w:rsidRPr="00007084">
        <w:br/>
        <w:t xml:space="preserve">(58% and 54%, respectively). </w:t>
      </w:r>
    </w:p>
    <w:p w14:paraId="68C0A467" w14:textId="20079CF2" w:rsidR="009C7E40" w:rsidRPr="00007084" w:rsidRDefault="009C7E40" w:rsidP="009C7E40">
      <w:pPr>
        <w:pStyle w:val="ListBullet"/>
      </w:pPr>
      <w:r w:rsidRPr="00007084">
        <w:t>Occupations in Clerical and Administrative Workers had the largest percentage of responses, reporting a ‘high proportion of their vacancies were filled’ (43%).</w:t>
      </w:r>
    </w:p>
    <w:p w14:paraId="416FE5F3" w14:textId="5F1CADE1" w:rsidR="009C7E40" w:rsidRPr="00007084" w:rsidRDefault="009C7E40" w:rsidP="009C7E40">
      <w:pPr>
        <w:pStyle w:val="ListBullet"/>
      </w:pPr>
      <w:r w:rsidRPr="00007084">
        <w:t>Sales Workers and Machinery Operators and Drivers had the largest percentage of responses reporting ‘moderate proportion of vacancies filled (62% and 53% respectively).</w:t>
      </w:r>
    </w:p>
    <w:p w14:paraId="7CD56FA5" w14:textId="74502C57" w:rsidR="00D5474D" w:rsidRDefault="009C7E40" w:rsidP="009C7E40">
      <w:pPr>
        <w:pStyle w:val="ListBullet"/>
      </w:pPr>
      <w:r w:rsidRPr="00007084">
        <w:t>Survey participants indicated that their responses were based on their personal experience and anecdotal evidence. There were some industry groups and organisations,</w:t>
      </w:r>
      <w:r w:rsidRPr="00007084" w:rsidDel="00070ADD">
        <w:t xml:space="preserve"> </w:t>
      </w:r>
      <w:r w:rsidRPr="00007084">
        <w:t>which represent employers, who indicated their responses were underpinned by evidence from their own surveys of their members.</w:t>
      </w:r>
    </w:p>
    <w:p w14:paraId="42C20189" w14:textId="77777777" w:rsidR="00D5474D" w:rsidRDefault="00D5474D">
      <w:pPr>
        <w:spacing w:after="160" w:line="259" w:lineRule="auto"/>
        <w:rPr>
          <w:rFonts w:eastAsia="SimSun" w:cs="Times New Roman"/>
          <w:spacing w:val="-1"/>
          <w:szCs w:val="20"/>
          <w:lang w:val="en-GB" w:eastAsia="en-GB"/>
        </w:rPr>
      </w:pPr>
      <w:r>
        <w:br w:type="page"/>
      </w:r>
    </w:p>
    <w:p w14:paraId="307DC224" w14:textId="06B449CA" w:rsidR="00AD613B" w:rsidRDefault="00AD613B" w:rsidP="00AD613B">
      <w:pPr>
        <w:pStyle w:val="Caption"/>
      </w:pPr>
      <w:bookmarkStart w:id="10" w:name="_Ref174973065"/>
      <w:r w:rsidRPr="00276822">
        <w:lastRenderedPageBreak/>
        <w:t xml:space="preserve">Figure </w:t>
      </w:r>
      <w:r w:rsidRPr="00276822">
        <w:fldChar w:fldCharType="begin"/>
      </w:r>
      <w:r w:rsidRPr="00276822">
        <w:instrText xml:space="preserve"> SEQ Figure \* ARABIC </w:instrText>
      </w:r>
      <w:r w:rsidRPr="00276822">
        <w:fldChar w:fldCharType="separate"/>
      </w:r>
      <w:r w:rsidR="000D2208">
        <w:rPr>
          <w:noProof/>
        </w:rPr>
        <w:t>1</w:t>
      </w:r>
      <w:r w:rsidRPr="00276822">
        <w:fldChar w:fldCharType="end"/>
      </w:r>
      <w:bookmarkEnd w:id="10"/>
      <w:r w:rsidRPr="00276822">
        <w:t>: Responses indicating low, moderate, or high proportion of vacancies filled (%), by major group</w:t>
      </w:r>
      <w:r w:rsidRPr="00AD613B">
        <w:rPr>
          <w:rStyle w:val="FootnoteReference"/>
        </w:rPr>
        <w:footnoteReference w:id="9"/>
      </w:r>
    </w:p>
    <w:p w14:paraId="547B387E" w14:textId="381449F5" w:rsidR="00587791" w:rsidRPr="00900526" w:rsidRDefault="00C36A3F" w:rsidP="00D82C53">
      <w:pPr>
        <w:pStyle w:val="ListBullet"/>
        <w:numPr>
          <w:ilvl w:val="0"/>
          <w:numId w:val="0"/>
        </w:numPr>
        <w:ind w:left="284" w:hanging="284"/>
        <w:rPr>
          <w:sz w:val="2"/>
          <w:szCs w:val="2"/>
        </w:rPr>
      </w:pPr>
      <w:r>
        <w:rPr>
          <w:noProof/>
        </w:rPr>
        <w:drawing>
          <wp:inline distT="0" distB="0" distL="0" distR="0" wp14:anchorId="1DDC5FD1" wp14:editId="7D660E92">
            <wp:extent cx="5733105" cy="3067200"/>
            <wp:effectExtent l="0" t="0" r="1270" b="0"/>
            <wp:docPr id="1162332370" name="Chart 1">
              <a:extLst xmlns:a="http://schemas.openxmlformats.org/drawingml/2006/main">
                <a:ext uri="{147F2762-F138-4A5C-976F-8EAC2B608ADB}">
                  <a16:predDERef xmlns:a16="http://schemas.microsoft.com/office/drawing/2014/main" pred="{D9B94B96-B686-D869-0185-A3949C33D3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2662FE">
        <w:br/>
      </w:r>
    </w:p>
    <w:p w14:paraId="2F4D66E6" w14:textId="12182411" w:rsidR="00AD613B" w:rsidRDefault="00AD613B" w:rsidP="00587791">
      <w:pPr>
        <w:pStyle w:val="Source"/>
      </w:pPr>
      <w:r w:rsidRPr="00007084">
        <w:t xml:space="preserve">Source: Jobs and Skills Australia, 2024 </w:t>
      </w:r>
      <w:r w:rsidR="007A391B">
        <w:t>Occupation Shortage List</w:t>
      </w:r>
      <w:r w:rsidRPr="00007084">
        <w:t xml:space="preserve"> Stakeholder Survey.</w:t>
      </w:r>
    </w:p>
    <w:p w14:paraId="4D3D90C2" w14:textId="4B967FB4" w:rsidR="0004694F" w:rsidRDefault="0004694F" w:rsidP="0004694F">
      <w:r>
        <w:t>Results by states and territories are also presented</w:t>
      </w:r>
      <w:r w:rsidR="005C5509">
        <w:t xml:space="preserve"> (</w:t>
      </w:r>
      <w:r w:rsidR="005C5509">
        <w:fldChar w:fldCharType="begin"/>
      </w:r>
      <w:r w:rsidR="005C5509">
        <w:instrText xml:space="preserve"> REF _Ref169818284 \h </w:instrText>
      </w:r>
      <w:r w:rsidR="005C5509">
        <w:fldChar w:fldCharType="separate"/>
      </w:r>
      <w:r w:rsidR="000D2208" w:rsidRPr="00276822">
        <w:t xml:space="preserve">Figure </w:t>
      </w:r>
      <w:r w:rsidR="000D2208">
        <w:rPr>
          <w:noProof/>
        </w:rPr>
        <w:t>2</w:t>
      </w:r>
      <w:r w:rsidR="005C5509">
        <w:fldChar w:fldCharType="end"/>
      </w:r>
      <w:r w:rsidR="005C5509">
        <w:t>)</w:t>
      </w:r>
      <w:r>
        <w:t>. Based on responses within state or territory:</w:t>
      </w:r>
    </w:p>
    <w:p w14:paraId="4DE746CE" w14:textId="51D6CEA2" w:rsidR="0004694F" w:rsidRDefault="0004694F" w:rsidP="0004694F">
      <w:pPr>
        <w:pStyle w:val="ListBullet"/>
      </w:pPr>
      <w:r>
        <w:t>‘</w:t>
      </w:r>
      <w:proofErr w:type="gramStart"/>
      <w:r>
        <w:t>low</w:t>
      </w:r>
      <w:proofErr w:type="gramEnd"/>
      <w:r>
        <w:t xml:space="preserve"> proportion of vacancies filled’ was most selected for each state and territory, except for Queensland. For Queensland, ‘Moderate proportion of vacancies filled’ was the most selected response. </w:t>
      </w:r>
    </w:p>
    <w:p w14:paraId="3C942EFE" w14:textId="38C1FF15" w:rsidR="0004694F" w:rsidRDefault="0004694F" w:rsidP="0004694F">
      <w:pPr>
        <w:pStyle w:val="ListBullet"/>
      </w:pPr>
      <w:r>
        <w:t>South Australia had the same percentage of responses indicating ‘moderate proportion of vacancies filled’ as ‘low proportion of vacancies filled’.</w:t>
      </w:r>
    </w:p>
    <w:p w14:paraId="1BDB9E2B" w14:textId="0563A77E" w:rsidR="0004694F" w:rsidRDefault="0004694F" w:rsidP="0004694F">
      <w:pPr>
        <w:pStyle w:val="ListBullet"/>
      </w:pPr>
      <w:r>
        <w:t>Northern Territory (79%), Australian Capital Territory (64%) and Western Australia (55%) had the highest percentage of responses reporting ‘low proportion of vacancies filled’.</w:t>
      </w:r>
    </w:p>
    <w:p w14:paraId="7A61B1F9" w14:textId="5B1D3E99" w:rsidR="00587791" w:rsidRDefault="0004694F" w:rsidP="0004694F">
      <w:pPr>
        <w:pStyle w:val="ListBullet"/>
      </w:pPr>
      <w:r>
        <w:t>Tasmania (41%) and Victoria (37%) had the highest percentage of responses, indicating ‘high proportion of vacancies filled’.</w:t>
      </w:r>
    </w:p>
    <w:p w14:paraId="73A37553" w14:textId="7F004D06" w:rsidR="00E21569" w:rsidRPr="00276822" w:rsidRDefault="00E26D49" w:rsidP="00E21569">
      <w:pPr>
        <w:pStyle w:val="Caption"/>
      </w:pPr>
      <w:bookmarkStart w:id="11" w:name="_Ref169818284"/>
      <w:r>
        <w:rPr>
          <w:noProof/>
        </w:rPr>
        <w:lastRenderedPageBreak/>
        <w:drawing>
          <wp:anchor distT="0" distB="0" distL="114300" distR="114300" simplePos="0" relativeHeight="251658241" behindDoc="0" locked="0" layoutInCell="1" allowOverlap="1" wp14:anchorId="65CADB23" wp14:editId="1D3B3780">
            <wp:simplePos x="0" y="0"/>
            <wp:positionH relativeFrom="column">
              <wp:posOffset>0</wp:posOffset>
            </wp:positionH>
            <wp:positionV relativeFrom="paragraph">
              <wp:posOffset>378460</wp:posOffset>
            </wp:positionV>
            <wp:extent cx="5731200" cy="3067200"/>
            <wp:effectExtent l="0" t="0" r="3175" b="0"/>
            <wp:wrapTopAndBottom/>
            <wp:docPr id="1340307288" name="Chart 1">
              <a:extLst xmlns:a="http://schemas.openxmlformats.org/drawingml/2006/main">
                <a:ext uri="{FF2B5EF4-FFF2-40B4-BE49-F238E27FC236}">
                  <a16:creationId xmlns:a16="http://schemas.microsoft.com/office/drawing/2014/main" id="{E97EE0A1-546A-EEF7-AC02-6D6EAD30E1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00E21569" w:rsidRPr="00276822">
        <w:t xml:space="preserve">Figure </w:t>
      </w:r>
      <w:r w:rsidR="00E21569" w:rsidRPr="00276822">
        <w:fldChar w:fldCharType="begin"/>
      </w:r>
      <w:r w:rsidR="00E21569" w:rsidRPr="00276822">
        <w:instrText xml:space="preserve"> SEQ Figure \* ARABIC </w:instrText>
      </w:r>
      <w:r w:rsidR="00E21569" w:rsidRPr="00276822">
        <w:fldChar w:fldCharType="separate"/>
      </w:r>
      <w:r w:rsidR="000D2208">
        <w:rPr>
          <w:noProof/>
        </w:rPr>
        <w:t>2</w:t>
      </w:r>
      <w:r w:rsidR="00E21569" w:rsidRPr="00276822">
        <w:fldChar w:fldCharType="end"/>
      </w:r>
      <w:bookmarkEnd w:id="11"/>
      <w:r w:rsidR="00E21569" w:rsidRPr="00276822">
        <w:t xml:space="preserve">: Responses reporting low, moderate, or high proportion of vacancies filled (%), by states </w:t>
      </w:r>
      <w:r w:rsidR="00B51603">
        <w:br/>
      </w:r>
      <w:r w:rsidR="00E21569" w:rsidRPr="00276822">
        <w:t>and territories</w:t>
      </w:r>
      <w:r w:rsidR="00E21569" w:rsidRPr="00276822">
        <w:rPr>
          <w:rStyle w:val="FootnoteReference"/>
        </w:rPr>
        <w:footnoteReference w:id="10"/>
      </w:r>
    </w:p>
    <w:p w14:paraId="60D8EFEE" w14:textId="309DB5B7" w:rsidR="00E21569" w:rsidRPr="00007084" w:rsidRDefault="00E21569" w:rsidP="00E21569">
      <w:pPr>
        <w:pStyle w:val="Source"/>
      </w:pPr>
      <w:r w:rsidRPr="00007084">
        <w:t xml:space="preserve">Source: Jobs and Skills Australia, 2024 </w:t>
      </w:r>
      <w:r w:rsidR="007A391B">
        <w:t>Occupation Shortage List</w:t>
      </w:r>
      <w:r w:rsidRPr="00007084">
        <w:t xml:space="preserve"> Stakeholder Survey.</w:t>
      </w:r>
    </w:p>
    <w:p w14:paraId="5556D0CD" w14:textId="77777777" w:rsidR="00843AA3" w:rsidRPr="005F4B53" w:rsidRDefault="00843AA3" w:rsidP="00843AA3">
      <w:pPr>
        <w:pStyle w:val="Heading2"/>
      </w:pPr>
      <w:r w:rsidRPr="005F4B53">
        <w:t xml:space="preserve">Regionality of </w:t>
      </w:r>
      <w:r>
        <w:t>responses</w:t>
      </w:r>
    </w:p>
    <w:p w14:paraId="7E953C9C" w14:textId="77777777" w:rsidR="00843AA3" w:rsidRPr="0003607E" w:rsidRDefault="00843AA3" w:rsidP="00843AA3">
      <w:r w:rsidRPr="0003607E">
        <w:t>For the ‘proportion of vacancies filled’ questions, participants could also select whether responses applied to:</w:t>
      </w:r>
    </w:p>
    <w:p w14:paraId="3E431B57" w14:textId="77777777" w:rsidR="00843AA3" w:rsidRPr="00007084" w:rsidRDefault="00843AA3" w:rsidP="00843AA3">
      <w:pPr>
        <w:pStyle w:val="ListBullet"/>
      </w:pPr>
      <w:proofErr w:type="gramStart"/>
      <w:r w:rsidRPr="00007084">
        <w:t>Australia as a whole</w:t>
      </w:r>
      <w:proofErr w:type="gramEnd"/>
      <w:r w:rsidRPr="00007084">
        <w:t xml:space="preserve"> (national level), or state or territory as a whole; or </w:t>
      </w:r>
    </w:p>
    <w:p w14:paraId="2F7CBD63" w14:textId="77777777" w:rsidR="00843AA3" w:rsidRPr="00007084" w:rsidRDefault="00843AA3" w:rsidP="00843AA3">
      <w:pPr>
        <w:pStyle w:val="ListBullet"/>
      </w:pPr>
      <w:r w:rsidRPr="00007084">
        <w:t xml:space="preserve">only metropolitan (metro) or regional areas at the national level or state or territory level. </w:t>
      </w:r>
    </w:p>
    <w:p w14:paraId="5F7A3E34" w14:textId="77777777" w:rsidR="00843AA3" w:rsidRPr="00015D06" w:rsidRDefault="00843AA3" w:rsidP="00843AA3">
      <w:r w:rsidRPr="0003607E">
        <w:t>Considering responses for both the national level and states and territories, most responses (6</w:t>
      </w:r>
      <w:r>
        <w:t>1</w:t>
      </w:r>
      <w:r w:rsidRPr="0003607E">
        <w:t xml:space="preserve">%) </w:t>
      </w:r>
      <w:r>
        <w:t xml:space="preserve">indicated that their responses applied to </w:t>
      </w:r>
      <w:r w:rsidRPr="0003607E">
        <w:t>both metro and regional locations.</w:t>
      </w:r>
      <w:r w:rsidRPr="0044148A">
        <w:t xml:space="preserve"> </w:t>
      </w:r>
      <w:r w:rsidRPr="0003607E">
        <w:t>Another 2</w:t>
      </w:r>
      <w:r>
        <w:t>6</w:t>
      </w:r>
      <w:r w:rsidRPr="0003607E">
        <w:t xml:space="preserve">% of responses </w:t>
      </w:r>
      <w:r>
        <w:t xml:space="preserve">indicated that the responses </w:t>
      </w:r>
      <w:r w:rsidRPr="0003607E">
        <w:t xml:space="preserve">applied </w:t>
      </w:r>
      <w:r>
        <w:t xml:space="preserve">to </w:t>
      </w:r>
      <w:r w:rsidRPr="0003607E">
        <w:t xml:space="preserve">regional </w:t>
      </w:r>
      <w:r>
        <w:t xml:space="preserve">locations </w:t>
      </w:r>
      <w:r w:rsidRPr="0003607E">
        <w:t>only (Figure 3</w:t>
      </w:r>
      <w:r w:rsidRPr="00015D06">
        <w:t>).</w:t>
      </w:r>
    </w:p>
    <w:p w14:paraId="6FB1366A" w14:textId="23D25065" w:rsidR="00843AA3" w:rsidRPr="00276822" w:rsidRDefault="00843AA3" w:rsidP="00843AA3">
      <w:pPr>
        <w:pStyle w:val="Caption"/>
      </w:pPr>
      <w:r w:rsidRPr="00276822">
        <w:lastRenderedPageBreak/>
        <w:t xml:space="preserve">Figure </w:t>
      </w:r>
      <w:r w:rsidRPr="00276822">
        <w:fldChar w:fldCharType="begin"/>
      </w:r>
      <w:r w:rsidRPr="00276822">
        <w:instrText xml:space="preserve"> SEQ Figure \* ARABIC </w:instrText>
      </w:r>
      <w:r w:rsidRPr="00276822">
        <w:fldChar w:fldCharType="separate"/>
      </w:r>
      <w:r w:rsidR="000D2208">
        <w:rPr>
          <w:noProof/>
        </w:rPr>
        <w:t>3</w:t>
      </w:r>
      <w:r w:rsidRPr="00276822">
        <w:fldChar w:fldCharType="end"/>
      </w:r>
      <w:r w:rsidRPr="00276822">
        <w:t>: Regionality of survey responses by the proportion of vacancies filled (%)</w:t>
      </w:r>
    </w:p>
    <w:p w14:paraId="7C81856D" w14:textId="0F7720C7" w:rsidR="00843AA3" w:rsidRPr="00EF2283" w:rsidRDefault="00843AA3" w:rsidP="00843AA3">
      <w:pPr>
        <w:pStyle w:val="Source"/>
        <w:rPr>
          <w:szCs w:val="22"/>
        </w:rPr>
      </w:pPr>
      <w:r>
        <w:rPr>
          <w:noProof/>
        </w:rPr>
        <w:drawing>
          <wp:inline distT="0" distB="0" distL="0" distR="0" wp14:anchorId="4F37FB49" wp14:editId="5BAF1570">
            <wp:extent cx="5731200" cy="3067200"/>
            <wp:effectExtent l="0" t="0" r="3175" b="0"/>
            <wp:docPr id="2087628686" name="Chart 1" descr="Figure 3: Regionality of survey responses by the proportion of vacancies filled. The pie chart shows the majority of responses are represented by both metro and regional submissions (61%) followed by regional only (26%) and metro only (13%) submissions .">
              <a:extLst xmlns:a="http://schemas.openxmlformats.org/drawingml/2006/main">
                <a:ext uri="{FF2B5EF4-FFF2-40B4-BE49-F238E27FC236}">
                  <a16:creationId xmlns:a16="http://schemas.microsoft.com/office/drawing/2014/main" id="{4334F51C-36F6-CB4A-4868-538F02FDA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br/>
      </w:r>
      <w:r w:rsidRPr="00007084">
        <w:t xml:space="preserve">Source: Jobs and Skills Australia, 2024 </w:t>
      </w:r>
      <w:r w:rsidR="007A391B">
        <w:t>Occupation Shortage List</w:t>
      </w:r>
      <w:r w:rsidRPr="00007084">
        <w:t xml:space="preserve"> Stakeholder Survey.</w:t>
      </w:r>
    </w:p>
    <w:p w14:paraId="0FE8AFCB" w14:textId="77777777" w:rsidR="00843AA3" w:rsidRDefault="00843AA3" w:rsidP="00843AA3">
      <w:r w:rsidRPr="00F142DB">
        <w:t>Responses on the proportion of vacancies filled were analysed for each regionality category</w:t>
      </w:r>
      <w:r>
        <w:t xml:space="preserve"> (Figure 4)</w:t>
      </w:r>
      <w:r w:rsidRPr="00F142DB">
        <w:t>.</w:t>
      </w:r>
    </w:p>
    <w:p w14:paraId="6CACC8B3" w14:textId="77777777" w:rsidR="00843AA3" w:rsidRPr="00007084" w:rsidRDefault="00843AA3" w:rsidP="00843AA3">
      <w:pPr>
        <w:pStyle w:val="ListBullet"/>
      </w:pPr>
      <w:r w:rsidRPr="00007084">
        <w:t xml:space="preserve">Responses on regional-only locations predominantly reported low (46%) or moderate (41%) ‘proportion of vacancies filled’. </w:t>
      </w:r>
    </w:p>
    <w:p w14:paraId="3B9C5F95" w14:textId="77777777" w:rsidR="00843AA3" w:rsidRPr="00007084" w:rsidRDefault="00843AA3" w:rsidP="00843AA3">
      <w:pPr>
        <w:pStyle w:val="ListBullet"/>
      </w:pPr>
      <w:r w:rsidRPr="00007084">
        <w:t>Responses on metro-only locations predominately reported moderate (54%) or high (26%) ‘proportion of vacancies filled’.</w:t>
      </w:r>
    </w:p>
    <w:p w14:paraId="790BA7F9" w14:textId="77777777" w:rsidR="00843AA3" w:rsidRDefault="00843AA3" w:rsidP="00843AA3">
      <w:r w:rsidRPr="00B70084">
        <w:t>The results are consistent with other Jobs and Skills Australia analysis that show that recruitment challenges are more pronounced in regional areas.</w:t>
      </w:r>
    </w:p>
    <w:p w14:paraId="5228C7F5" w14:textId="06AAA2A6" w:rsidR="008040B3" w:rsidRPr="00276822" w:rsidRDefault="008040B3" w:rsidP="008040B3">
      <w:pPr>
        <w:pStyle w:val="Caption"/>
      </w:pPr>
      <w:r w:rsidRPr="00276822">
        <w:rPr>
          <w:noProof/>
        </w:rPr>
        <mc:AlternateContent>
          <mc:Choice Requires="wpg">
            <w:drawing>
              <wp:anchor distT="0" distB="0" distL="114300" distR="114300" simplePos="0" relativeHeight="251658242" behindDoc="0" locked="0" layoutInCell="1" allowOverlap="1" wp14:anchorId="4EB6BD5A" wp14:editId="60BEFEC3">
                <wp:simplePos x="0" y="0"/>
                <wp:positionH relativeFrom="margin">
                  <wp:align>right</wp:align>
                </wp:positionH>
                <wp:positionV relativeFrom="paragraph">
                  <wp:posOffset>315595</wp:posOffset>
                </wp:positionV>
                <wp:extent cx="5730875" cy="3060700"/>
                <wp:effectExtent l="0" t="0" r="3175" b="6350"/>
                <wp:wrapTopAndBottom/>
                <wp:docPr id="6" name="Group 7" descr="Figure 4: Low, moderate, or high proportion of vacancies filled, by regionality. Responses on regional-only locations predominantly reported low or moderate ‘proportion of vacancies filled’. ">
                  <a:extLst xmlns:a="http://schemas.openxmlformats.org/drawingml/2006/main">
                    <a:ext uri="{FF2B5EF4-FFF2-40B4-BE49-F238E27FC236}">
                      <a16:creationId xmlns:a16="http://schemas.microsoft.com/office/drawing/2014/main" id="{C0170941-4A21-14E3-2EBA-F42FB35844D7}"/>
                    </a:ext>
                  </a:extLst>
                </wp:docPr>
                <wp:cNvGraphicFramePr/>
                <a:graphic xmlns:a="http://schemas.openxmlformats.org/drawingml/2006/main">
                  <a:graphicData uri="http://schemas.microsoft.com/office/word/2010/wordprocessingGroup">
                    <wpg:wgp>
                      <wpg:cNvGrpSpPr/>
                      <wpg:grpSpPr>
                        <a:xfrm>
                          <a:off x="0" y="0"/>
                          <a:ext cx="5730875" cy="3061085"/>
                          <a:chOff x="0" y="0"/>
                          <a:chExt cx="5685417" cy="3600000"/>
                        </a:xfrm>
                      </wpg:grpSpPr>
                      <wpg:graphicFrame>
                        <wpg:cNvPr id="1926095242" name="Chart 1926095242">
                          <a:extLst>
                            <a:ext uri="{FF2B5EF4-FFF2-40B4-BE49-F238E27FC236}">
                              <a16:creationId xmlns:a16="http://schemas.microsoft.com/office/drawing/2014/main" id="{C5076F4A-F9E7-8108-ED5E-845C7EA52546}"/>
                            </a:ext>
                          </a:extLst>
                        </wpg:cNvPr>
                        <wpg:cNvFrPr/>
                        <wpg:xfrm>
                          <a:off x="0" y="0"/>
                          <a:ext cx="5685417" cy="3600000"/>
                        </wpg:xfrm>
                        <a:graphic>
                          <a:graphicData uri="http://schemas.openxmlformats.org/drawingml/2006/chart">
                            <c:chart xmlns:c="http://schemas.openxmlformats.org/drawingml/2006/chart" xmlns:r="http://schemas.openxmlformats.org/officeDocument/2006/relationships" r:id="rId20"/>
                          </a:graphicData>
                        </a:graphic>
                      </wpg:graphicFrame>
                      <wps:wsp>
                        <wps:cNvPr id="1679642632" name="Rectangle 1679642632">
                          <a:extLst>
                            <a:ext uri="{FF2B5EF4-FFF2-40B4-BE49-F238E27FC236}">
                              <a16:creationId xmlns:a16="http://schemas.microsoft.com/office/drawing/2014/main" id="{04D0EE43-FE44-0762-B4A1-F31736EC2B51}"/>
                            </a:ext>
                          </a:extLst>
                        </wps:cNvPr>
                        <wps:cNvSpPr/>
                        <wps:spPr>
                          <a:xfrm>
                            <a:off x="4361721" y="141713"/>
                            <a:ext cx="689250" cy="2751965"/>
                          </a:xfrm>
                          <a:prstGeom prst="rect">
                            <a:avLst/>
                          </a:prstGeom>
                          <a:noFill/>
                          <a:ln w="38100" cap="flat" cmpd="sng" algn="ctr">
                            <a:solidFill>
                              <a:srgbClr val="1192E8"/>
                            </a:solidFill>
                            <a:prstDash val="solid"/>
                            <a:miter lim="800000"/>
                          </a:ln>
                          <a:effectLst/>
                        </wps:spPr>
                        <wps:bodyPr rtlCol="0" anchor="t"/>
                      </wps:wsp>
                      <wps:wsp>
                        <wps:cNvPr id="1842671151" name="Rectangle 1842671151">
                          <a:extLst>
                            <a:ext uri="{FF2B5EF4-FFF2-40B4-BE49-F238E27FC236}">
                              <a16:creationId xmlns:a16="http://schemas.microsoft.com/office/drawing/2014/main" id="{48CDE9B9-825E-4A19-B448-60C801C2397B}"/>
                            </a:ext>
                          </a:extLst>
                        </wps:cNvPr>
                        <wps:cNvSpPr/>
                        <wps:spPr>
                          <a:xfrm>
                            <a:off x="2648941" y="141713"/>
                            <a:ext cx="688414" cy="2751965"/>
                          </a:xfrm>
                          <a:prstGeom prst="rect">
                            <a:avLst/>
                          </a:prstGeom>
                          <a:noFill/>
                          <a:ln w="38100" cap="flat" cmpd="sng" algn="ctr">
                            <a:solidFill>
                              <a:srgbClr val="EE538B"/>
                            </a:solidFill>
                            <a:prstDash val="solid"/>
                            <a:miter lim="800000"/>
                          </a:ln>
                          <a:effectLst/>
                        </wps:spPr>
                        <wps:bodyPr rtlCol="0" anchor="t"/>
                      </wps:wsp>
                      <wps:wsp>
                        <wps:cNvPr id="588255323" name="Rectangle 588255323">
                          <a:extLst>
                            <a:ext uri="{FF2B5EF4-FFF2-40B4-BE49-F238E27FC236}">
                              <a16:creationId xmlns:a16="http://schemas.microsoft.com/office/drawing/2014/main" id="{3D22066E-BC15-4C59-BDDE-3B7C9A23ABA7}"/>
                            </a:ext>
                          </a:extLst>
                        </wps:cNvPr>
                        <wps:cNvSpPr/>
                        <wps:spPr>
                          <a:xfrm>
                            <a:off x="929355" y="138037"/>
                            <a:ext cx="689250" cy="2751965"/>
                          </a:xfrm>
                          <a:prstGeom prst="rect">
                            <a:avLst/>
                          </a:prstGeom>
                          <a:noFill/>
                          <a:ln w="38100" cap="flat" cmpd="sng" algn="ctr">
                            <a:solidFill>
                              <a:srgbClr val="9F1853"/>
                            </a:solidFill>
                            <a:prstDash val="solid"/>
                            <a:miter lim="800000"/>
                          </a:ln>
                          <a:effectLst/>
                        </wps:spPr>
                        <wps:bodyPr rtlCol="0" anchor="t"/>
                      </wps:wsp>
                    </wpg:wgp>
                  </a:graphicData>
                </a:graphic>
                <wp14:sizeRelV relativeFrom="margin">
                  <wp14:pctHeight>0</wp14:pctHeight>
                </wp14:sizeRelV>
              </wp:anchor>
            </w:drawing>
          </mc:Choice>
          <mc:Fallback>
            <w:pict>
              <v:group w14:anchorId="65826AFA" id="Group 7" o:spid="_x0000_s1026" alt="Figure 4: Low, moderate, or high proportion of vacancies filled, by regionality. Responses on regional-only locations predominantly reported low or moderate ‘proportion of vacancies filled’. " style="position:absolute;margin-left:400.05pt;margin-top:24.85pt;width:451.25pt;height:241pt;z-index:251658242;mso-position-horizontal:right;mso-position-horizontal-relative:margin;mso-height-relative:margin" coordsize="56854,360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926095242" o:spid="_x0000_s1027" type="#_x0000_t75" style="position:absolute;width:56847;height:359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">
                  <v:imagedata r:id="rId21" o:title=""/>
                  <o:lock v:ext="edit" aspectratio="f"/>
                </v:shape>
                <v:rect id="Rectangle 1679642632" o:spid="_x0000_s1028" style="position:absolute;left:43617;top:1417;width:6892;height:2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" filled="f" strokecolor="#1192e8" strokeweight="3pt"/>
                <v:rect id="Rectangle 1842671151" o:spid="_x0000_s1029" style="position:absolute;left:26489;top:1417;width:6884;height:2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" filled="f" strokecolor="#ee538b" strokeweight="3pt"/>
                <v:rect id="Rectangle 588255323" o:spid="_x0000_s1030" style="position:absolute;left:9293;top:1380;width:6893;height:27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" filled="f" strokecolor="#9f1853" strokeweight="3pt"/>
                <w10:wrap type="topAndBottom" anchorx="margin"/>
              </v:group>
            </w:pict>
          </mc:Fallback>
        </mc:AlternateContent>
      </w:r>
      <w:r w:rsidRPr="00276822">
        <w:t xml:space="preserve">Figure </w:t>
      </w:r>
      <w:r w:rsidRPr="00276822">
        <w:fldChar w:fldCharType="begin"/>
      </w:r>
      <w:r w:rsidRPr="00276822">
        <w:instrText xml:space="preserve"> SEQ Figure \* ARABIC </w:instrText>
      </w:r>
      <w:r w:rsidRPr="00276822">
        <w:fldChar w:fldCharType="separate"/>
      </w:r>
      <w:r w:rsidR="000D2208">
        <w:rPr>
          <w:noProof/>
        </w:rPr>
        <w:t>4</w:t>
      </w:r>
      <w:r w:rsidRPr="00276822">
        <w:fldChar w:fldCharType="end"/>
      </w:r>
      <w:r w:rsidRPr="00276822">
        <w:t>: Low, moderate, or high proportion of vacancies filled (%), by regionality</w:t>
      </w:r>
    </w:p>
    <w:p w14:paraId="3F1C4708" w14:textId="450D12B6" w:rsidR="00887416" w:rsidRDefault="008040B3" w:rsidP="00052928">
      <w:pPr>
        <w:pStyle w:val="Source"/>
      </w:pPr>
      <w:r w:rsidRPr="008F492E">
        <w:t xml:space="preserve">Source: Jobs and Skills Australia, 2024 </w:t>
      </w:r>
      <w:r w:rsidR="007A391B">
        <w:t>Occupation Shortage List</w:t>
      </w:r>
      <w:r w:rsidRPr="008F492E">
        <w:t xml:space="preserve"> Stakeholder Survey.</w:t>
      </w:r>
      <w:r w:rsidR="00052928">
        <w:br/>
      </w:r>
      <w:r w:rsidR="00887416" w:rsidRPr="007313E3">
        <w:rPr>
          <w:iCs/>
        </w:rPr>
        <w:t>Note:</w:t>
      </w:r>
      <w:r w:rsidR="00887416" w:rsidRPr="00B70084">
        <w:rPr>
          <w:i/>
        </w:rPr>
        <w:t xml:space="preserve"> </w:t>
      </w:r>
      <w:r w:rsidR="00887416">
        <w:t>The outline colours around the columns match those in Figure 3 to highlight that these charts are associated.</w:t>
      </w:r>
    </w:p>
    <w:p w14:paraId="752FC045" w14:textId="77777777" w:rsidR="00C32462" w:rsidRPr="005F4B53" w:rsidRDefault="00C32462" w:rsidP="00C32462">
      <w:pPr>
        <w:pStyle w:val="Heading2"/>
      </w:pPr>
      <w:r>
        <w:lastRenderedPageBreak/>
        <w:t>Information on the undersupply of s</w:t>
      </w:r>
      <w:r w:rsidRPr="005F4B53">
        <w:t>kill</w:t>
      </w:r>
      <w:r>
        <w:t>s</w:t>
      </w:r>
      <w:r w:rsidRPr="005F4B53">
        <w:t xml:space="preserve"> </w:t>
      </w:r>
    </w:p>
    <w:p w14:paraId="43F01120" w14:textId="781F9CB6" w:rsidR="00C32462" w:rsidRPr="0003607E" w:rsidRDefault="00C32462" w:rsidP="00C32462">
      <w:r w:rsidRPr="0003607E">
        <w:t>The stakeholder survey also asked questions on the supply of skills</w:t>
      </w:r>
      <w:r w:rsidR="006F5AFF">
        <w:t xml:space="preserve"> (</w:t>
      </w:r>
      <w:r w:rsidR="00890C95">
        <w:fldChar w:fldCharType="begin"/>
      </w:r>
      <w:r w:rsidR="00890C95">
        <w:instrText xml:space="preserve"> REF _Ref169743181 \h </w:instrText>
      </w:r>
      <w:r w:rsidR="00890C95">
        <w:fldChar w:fldCharType="separate"/>
      </w:r>
      <w:r w:rsidR="000D2208" w:rsidRPr="00276822">
        <w:t xml:space="preserve">Figure </w:t>
      </w:r>
      <w:r w:rsidR="000D2208">
        <w:rPr>
          <w:noProof/>
        </w:rPr>
        <w:t>5</w:t>
      </w:r>
      <w:r w:rsidR="00890C95">
        <w:fldChar w:fldCharType="end"/>
      </w:r>
      <w:r w:rsidR="006F5AFF">
        <w:t>)</w:t>
      </w:r>
      <w:r w:rsidRPr="0003607E">
        <w:t>.</w:t>
      </w:r>
    </w:p>
    <w:p w14:paraId="6BCDCE6A" w14:textId="77777777" w:rsidR="00C32462" w:rsidRPr="00276822" w:rsidRDefault="00C32462" w:rsidP="00C32462">
      <w:pPr>
        <w:pStyle w:val="ListBullet"/>
      </w:pPr>
      <w:r w:rsidRPr="00276822">
        <w:t>Most responses reported an ‘undersupply of suitably skilled workers’ across most major groups.</w:t>
      </w:r>
      <w:r w:rsidRPr="00C32462">
        <w:rPr>
          <w:rStyle w:val="FootnoteReference"/>
        </w:rPr>
        <w:footnoteReference w:id="11"/>
      </w:r>
      <w:r w:rsidRPr="00276822">
        <w:t xml:space="preserve"> </w:t>
      </w:r>
    </w:p>
    <w:p w14:paraId="5174B7E3" w14:textId="77777777" w:rsidR="00C32462" w:rsidRPr="00276822" w:rsidRDefault="00C32462" w:rsidP="00C32462">
      <w:pPr>
        <w:pStyle w:val="ListBullet"/>
      </w:pPr>
      <w:r w:rsidRPr="00276822">
        <w:t>Within each major group, most responses indicated an undersupply of workers is an issue; particularly for the Technicians and Trades Workers (92%) and Community and Personal Services (89%) major groups.</w:t>
      </w:r>
    </w:p>
    <w:p w14:paraId="05BF5137" w14:textId="77777777" w:rsidR="00C32462" w:rsidRPr="00276822" w:rsidRDefault="00C32462" w:rsidP="00C32462">
      <w:pPr>
        <w:pStyle w:val="ListBullet"/>
      </w:pPr>
      <w:r w:rsidRPr="00276822">
        <w:t>Clerical and Administrative Workers is the only major group had the least percentage of responses that reported an undersupply of skills (14%).</w:t>
      </w:r>
    </w:p>
    <w:p w14:paraId="179B64FA" w14:textId="77777777" w:rsidR="00C32462" w:rsidRPr="00276822" w:rsidRDefault="00C32462" w:rsidP="00C32462">
      <w:pPr>
        <w:pStyle w:val="ListBullet"/>
      </w:pPr>
      <w:r w:rsidRPr="00276822">
        <w:t>Responses indicating an undersupply of skills for Professionals was 55%. This was well below the overall share of responses indicating undersupply of skills (79%).</w:t>
      </w:r>
    </w:p>
    <w:p w14:paraId="3F7D94ED" w14:textId="38A400DB" w:rsidR="00C32462" w:rsidRPr="00276822" w:rsidRDefault="00C32462" w:rsidP="00C32462">
      <w:pPr>
        <w:pStyle w:val="Caption"/>
      </w:pPr>
      <w:bookmarkStart w:id="12" w:name="_Ref169743181"/>
      <w:r w:rsidRPr="00276822">
        <w:t xml:space="preserve">Figure </w:t>
      </w:r>
      <w:r w:rsidRPr="00276822">
        <w:fldChar w:fldCharType="begin"/>
      </w:r>
      <w:r w:rsidRPr="00276822">
        <w:instrText xml:space="preserve"> SEQ Figure \* ARABIC </w:instrText>
      </w:r>
      <w:r w:rsidRPr="00276822">
        <w:fldChar w:fldCharType="separate"/>
      </w:r>
      <w:r w:rsidR="000D2208">
        <w:rPr>
          <w:noProof/>
        </w:rPr>
        <w:t>5</w:t>
      </w:r>
      <w:r w:rsidRPr="00276822">
        <w:fldChar w:fldCharType="end"/>
      </w:r>
      <w:bookmarkEnd w:id="12"/>
      <w:r w:rsidRPr="00276822">
        <w:t xml:space="preserve">: </w:t>
      </w:r>
      <w:r w:rsidR="00B71B5E">
        <w:t>Percentage of responses reporting u</w:t>
      </w:r>
      <w:r w:rsidRPr="00276822">
        <w:t>ndersupply of skills</w:t>
      </w:r>
      <w:r w:rsidR="00B71B5E">
        <w:t xml:space="preserve"> (%)</w:t>
      </w:r>
      <w:r w:rsidRPr="00276822">
        <w:t>, by major group</w:t>
      </w:r>
      <w:r w:rsidRPr="00276822">
        <w:rPr>
          <w:rStyle w:val="FootnoteReference"/>
        </w:rPr>
        <w:footnoteReference w:id="12"/>
      </w:r>
    </w:p>
    <w:p w14:paraId="235FBD87" w14:textId="4E952E79" w:rsidR="00C32462" w:rsidRPr="00E80AED" w:rsidRDefault="00C32462" w:rsidP="00052928">
      <w:pPr>
        <w:pStyle w:val="Source"/>
      </w:pPr>
      <w:r>
        <w:rPr>
          <w:noProof/>
        </w:rPr>
        <w:drawing>
          <wp:inline distT="0" distB="0" distL="0" distR="0" wp14:anchorId="3123013B" wp14:editId="6AB27866">
            <wp:extent cx="5731510" cy="3067200"/>
            <wp:effectExtent l="0" t="0" r="2540" b="0"/>
            <wp:docPr id="1506293112" name="Chart 1" descr="Figure 5: Undersupply of skills, by major group.  The bar chart is organised top down in increasing percentage of undersupply responses, from each major group, ranging from 14%-92%.">
              <a:extLst xmlns:a="http://schemas.openxmlformats.org/drawingml/2006/main">
                <a:ext uri="{FF2B5EF4-FFF2-40B4-BE49-F238E27FC236}">
                  <a16:creationId xmlns:a16="http://schemas.microsoft.com/office/drawing/2014/main" id="{AAA8DDF0-85F2-F2C3-1093-F5D6AD5B9E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br/>
      </w:r>
      <w:r w:rsidRPr="00276822">
        <w:t xml:space="preserve">Source: Jobs and Skills Australia, 2024 </w:t>
      </w:r>
      <w:r w:rsidR="003E66A5">
        <w:t>Occupation Shortage List</w:t>
      </w:r>
      <w:r w:rsidR="003E66A5" w:rsidRPr="00276822">
        <w:t xml:space="preserve"> </w:t>
      </w:r>
      <w:r w:rsidRPr="00276822">
        <w:t>Stakeholder Survey.</w:t>
      </w:r>
      <w:r w:rsidR="00052928">
        <w:br/>
      </w:r>
      <w:r w:rsidRPr="009304AC">
        <w:t>Note: Sales Workers major group was excluded from this analysis as there was an insufficient number of responses to provide meaningful analysis.</w:t>
      </w:r>
    </w:p>
    <w:p w14:paraId="2AF6B052" w14:textId="77777777" w:rsidR="00C32462" w:rsidRPr="005F4B53" w:rsidRDefault="00C32462" w:rsidP="00C32462">
      <w:pPr>
        <w:rPr>
          <w:rFonts w:cs="Arial"/>
        </w:rPr>
      </w:pPr>
      <w:r>
        <w:rPr>
          <w:rFonts w:cs="Arial"/>
        </w:rPr>
        <w:br w:type="page"/>
      </w:r>
    </w:p>
    <w:p w14:paraId="54D7102E" w14:textId="01E59BAF" w:rsidR="00C32462" w:rsidRPr="00276822" w:rsidRDefault="00C32462" w:rsidP="00C32462">
      <w:pPr>
        <w:pStyle w:val="Caption"/>
      </w:pPr>
      <w:r w:rsidRPr="00276822">
        <w:rPr>
          <w:noProof/>
        </w:rPr>
        <w:lastRenderedPageBreak/>
        <mc:AlternateContent>
          <mc:Choice Requires="wps">
            <w:drawing>
              <wp:anchor distT="182880" distB="182880" distL="182880" distR="182880" simplePos="0" relativeHeight="251658243" behindDoc="1" locked="0" layoutInCell="1" allowOverlap="1" wp14:anchorId="54AB4E48" wp14:editId="64D931B0">
                <wp:simplePos x="0" y="0"/>
                <wp:positionH relativeFrom="margin">
                  <wp:posOffset>-160020</wp:posOffset>
                </wp:positionH>
                <wp:positionV relativeFrom="margin">
                  <wp:posOffset>325120</wp:posOffset>
                </wp:positionV>
                <wp:extent cx="5855335" cy="7539990"/>
                <wp:effectExtent l="0" t="0" r="0" b="3810"/>
                <wp:wrapTopAndBottom/>
                <wp:docPr id="2126685437" name="Rectangle 1" descr="Box 1: Other qualitative information from the survey. We performed a word analysis, using an algorithm that captured the frequency of key words, on around 661 text responses and identified the most common themes.  This box surmises our findings and highlight key quo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539990"/>
                        </a:xfrm>
                        <a:prstGeom prst="rect">
                          <a:avLst/>
                        </a:prstGeom>
                        <a:solidFill>
                          <a:schemeClr val="tx2"/>
                        </a:solidFill>
                        <a:ln>
                          <a:noFill/>
                        </a:ln>
                      </wps:spPr>
                      <wps:txbx>
                        <w:txbxContent>
                          <w:p w14:paraId="7951FB9D" w14:textId="4322D239" w:rsidR="00C32462" w:rsidRPr="00A91A3B" w:rsidRDefault="00C32462" w:rsidP="00237C01">
                            <w:r w:rsidRPr="00A91A3B">
                              <w:t>We performed a word analysis on the 7 comment-type questions in the survey, using an algorithm that captured the frequency of key words. There were</w:t>
                            </w:r>
                            <w:r w:rsidR="0012495B">
                              <w:br/>
                            </w:r>
                            <w:r w:rsidRPr="00A91A3B">
                              <w:t xml:space="preserve"> 661 (of the 1,755) responses (38%) which had text in at least one of the comment-type questions. We identified the most common themes.</w:t>
                            </w:r>
                          </w:p>
                          <w:p w14:paraId="592EAA79" w14:textId="77777777" w:rsidR="00C32462" w:rsidRPr="00A91A3B" w:rsidRDefault="00C32462" w:rsidP="00237C01">
                            <w:r w:rsidRPr="00A91A3B">
                              <w:t>The most common (meaningful) words used were ‘train’, ‘qualification’ and ‘experience’, which occurred in 252 responses (38% of all responses with text). Participants reported that the pool of applicants lack skills, which in turn puts stress on the business and industry.</w:t>
                            </w:r>
                          </w:p>
                          <w:p w14:paraId="6E4EC849" w14:textId="77777777" w:rsidR="00C32462" w:rsidRPr="00A91A3B" w:rsidRDefault="00C32462" w:rsidP="00237C01">
                            <w:r w:rsidRPr="00A91A3B">
                              <w:t>‘Experience drain in industry over previous 3 years – not enough course graduates, graduates are not meeting skills and knowledge requirements and require ongoing training - not job ready’</w:t>
                            </w:r>
                          </w:p>
                          <w:p w14:paraId="5F667AAD" w14:textId="77777777" w:rsidR="00C32462" w:rsidRPr="00A91A3B" w:rsidRDefault="00C32462" w:rsidP="00237C01">
                            <w:pPr>
                              <w:rPr>
                                <w:rFonts w:eastAsia="Times New Roman"/>
                                <w:lang w:eastAsia="en-AU"/>
                              </w:rPr>
                            </w:pPr>
                            <w:r w:rsidRPr="00A91A3B">
                              <w:rPr>
                                <w:rFonts w:eastAsia="Times New Roman"/>
                                <w:lang w:eastAsia="en-AU"/>
                              </w:rPr>
                              <w:t>‘We consider this to be our entry level role, the qualification here is limiting but the experience required to successfully complete this role is thorough’.</w:t>
                            </w:r>
                          </w:p>
                          <w:p w14:paraId="797D16E3" w14:textId="29E7B7EA" w:rsidR="00C32462" w:rsidRPr="00A91A3B" w:rsidRDefault="00C32462" w:rsidP="00237C01">
                            <w:r w:rsidRPr="00A91A3B">
                              <w:t xml:space="preserve">Another group of keywords (‘retirement’, ‘retention’ and ‘moving’) occurred </w:t>
                            </w:r>
                            <w:r w:rsidR="0012495B">
                              <w:br/>
                            </w:r>
                            <w:r w:rsidRPr="00A91A3B">
                              <w:t>across 25 responses (4%). Participants identified that decreasing supply has a spiralling impact.</w:t>
                            </w:r>
                          </w:p>
                          <w:p w14:paraId="4EE3ECB6" w14:textId="77777777" w:rsidR="00C32462" w:rsidRPr="00A91A3B" w:rsidRDefault="00C32462" w:rsidP="00237C01">
                            <w:pPr>
                              <w:rPr>
                                <w:rFonts w:eastAsia="Times New Roman"/>
                                <w:lang w:eastAsia="en-AU"/>
                              </w:rPr>
                            </w:pPr>
                            <w:r w:rsidRPr="00A91A3B">
                              <w:t>‘</w:t>
                            </w:r>
                            <w:r w:rsidRPr="00A91A3B">
                              <w:rPr>
                                <w:rFonts w:eastAsia="Times New Roman"/>
                                <w:lang w:eastAsia="en-AU"/>
                              </w:rPr>
                              <w:t>Reasons are historical based on previous regional supply and expectations that workers were available to work [regionally, on-site]. That is not the case now and has been for the past 20 years due to falling regional youth populations and no desire for urbanites to leave the cities’.</w:t>
                            </w:r>
                          </w:p>
                          <w:p w14:paraId="18FCF1D7" w14:textId="77777777" w:rsidR="00C32462" w:rsidRPr="00A91A3B" w:rsidRDefault="00C32462" w:rsidP="00237C01">
                            <w:pPr>
                              <w:rPr>
                                <w:rFonts w:eastAsia="Times New Roman"/>
                                <w:lang w:eastAsia="en-AU"/>
                              </w:rPr>
                            </w:pPr>
                            <w:r w:rsidRPr="00A91A3B">
                              <w:rPr>
                                <w:rFonts w:eastAsia="Times New Roman"/>
                                <w:lang w:eastAsia="en-AU"/>
                              </w:rPr>
                              <w:t>‘Noting that key discussions around retention of staff post qualification completion has been a heavy topic of conversation as most trainees have been moving on to different business and industries. The retention of skilled staff to continue to assist with the on site training has taken a substantial hit.’</w:t>
                            </w:r>
                          </w:p>
                          <w:p w14:paraId="3AD671EA" w14:textId="77777777" w:rsidR="00C32462" w:rsidRPr="00A91A3B" w:rsidRDefault="00C32462" w:rsidP="00237C01">
                            <w:pPr>
                              <w:rPr>
                                <w:rFonts w:eastAsia="Times New Roman"/>
                                <w:lang w:eastAsia="en-AU"/>
                              </w:rPr>
                            </w:pPr>
                            <w:r w:rsidRPr="00A91A3B">
                              <w:rPr>
                                <w:rFonts w:eastAsia="Times New Roman"/>
                                <w:lang w:eastAsia="en-AU"/>
                              </w:rPr>
                              <w:t>‘Major shortage area due to higher demand and high level of retirements, reported by a number of agencies including local government.’</w:t>
                            </w:r>
                          </w:p>
                          <w:p w14:paraId="4FDCE94F" w14:textId="77777777" w:rsidR="00C32462" w:rsidRPr="00A91A3B" w:rsidRDefault="00C32462" w:rsidP="00237C01">
                            <w:r w:rsidRPr="00A91A3B">
                              <w:t>Some stakeholders reported that they continue to experience post-COVID-19 impacts. Keywords ‘COVID’, ‘pandemic’ and ‘lockdown’ occurred across 14 responses (2%). Some stakeholders found a lower fill rates due to security while others had increased market demands that current skill supplies are not meeting.</w:t>
                            </w:r>
                          </w:p>
                          <w:p w14:paraId="68EF6A97" w14:textId="77777777" w:rsidR="00C32462" w:rsidRPr="00A91A3B" w:rsidRDefault="00C32462" w:rsidP="00237C01">
                            <w:r w:rsidRPr="00A91A3B">
                              <w:t>‘</w:t>
                            </w:r>
                            <w:r w:rsidRPr="00A91A3B">
                              <w:rPr>
                                <w:rFonts w:eastAsia="Times New Roman"/>
                                <w:lang w:eastAsia="en-AU"/>
                              </w:rPr>
                              <w:t>It takes [time] to train someone up to a standard of safety and experience that they can operate independently. Covid has widened this gap and closing this gap is a slow process if training people from scratch is the way forward’.</w:t>
                            </w:r>
                          </w:p>
                          <w:p w14:paraId="43D91C77" w14:textId="77777777" w:rsidR="00C32462" w:rsidRPr="00A91A3B" w:rsidRDefault="00C32462" w:rsidP="00237C01">
                            <w:pPr>
                              <w:rPr>
                                <w:rFonts w:eastAsia="Times New Roman"/>
                                <w:lang w:eastAsia="en-AU"/>
                              </w:rPr>
                            </w:pPr>
                            <w:r w:rsidRPr="00A91A3B">
                              <w:t>‘</w:t>
                            </w:r>
                            <w:r w:rsidRPr="00A91A3B">
                              <w:rPr>
                                <w:rFonts w:eastAsia="Times New Roman"/>
                                <w:lang w:eastAsia="en-AU"/>
                              </w:rPr>
                              <w:t>Demand [for our products] during and post covid has been very high with very low [skill] supply’.</w:t>
                            </w:r>
                          </w:p>
                        </w:txbxContent>
                      </wps:txbx>
                      <wps:bodyPr rot="0" vert="horz" wrap="square" lIns="360000" tIns="360000" rIns="360000" bIns="360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AB4E48" id="Rectangle 1" o:spid="_x0000_s1026" alt="Box 1: Other qualitative information from the survey. We performed a word analysis, using an algorithm that captured the frequency of key words, on around 661 text responses and identified the most common themes.  This box surmises our findings and highlight key quotes" style="position:absolute;margin-left:-12.6pt;margin-top:25.6pt;width:461.05pt;height:593.7pt;z-index:-251658237;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" fillcolor="#4b0885 [3215]" stroked="f">
                <v:textbox inset="10mm,10mm,10mm,10mm">
                  <w:txbxContent>
                    <w:p w14:paraId="7951FB9D" w14:textId="4322D239" w:rsidR="00C32462" w:rsidRPr="00A91A3B" w:rsidRDefault="00C32462" w:rsidP="00237C01">
                      <w:r w:rsidRPr="00A91A3B">
                        <w:t>We performed a word analysis on the 7 comment-type questions in the survey, using an algorithm that captured the frequency of key words. There were</w:t>
                      </w:r>
                      <w:r w:rsidR="0012495B">
                        <w:br/>
                      </w:r>
                      <w:r w:rsidRPr="00A91A3B">
                        <w:t xml:space="preserve"> 661 (of the 1,755) responses (38%) which had text in at least one of the comment-type questions. We identified the most common themes.</w:t>
                      </w:r>
                    </w:p>
                    <w:p w14:paraId="592EAA79" w14:textId="77777777" w:rsidR="00C32462" w:rsidRPr="00A91A3B" w:rsidRDefault="00C32462" w:rsidP="00237C01">
                      <w:r w:rsidRPr="00A91A3B">
                        <w:t>The most common (meaningful) words used were ‘train’, ‘qualification’ and ‘experience’, which occurred in 252 responses (38% of all responses with text). Participants reported that the pool of applicants lack skills, which in turn puts stress on the business and industry.</w:t>
                      </w:r>
                    </w:p>
                    <w:p w14:paraId="6E4EC849" w14:textId="77777777" w:rsidR="00C32462" w:rsidRPr="00A91A3B" w:rsidRDefault="00C32462" w:rsidP="00237C01">
                      <w:r w:rsidRPr="00A91A3B">
                        <w:t>‘Experience drain in industry over previous 3 years – not enough course graduates, graduates are not meeting skills and knowledge requirements and require ongoing training - not job ready’</w:t>
                      </w:r>
                    </w:p>
                    <w:p w14:paraId="5F667AAD" w14:textId="77777777" w:rsidR="00C32462" w:rsidRPr="00A91A3B" w:rsidRDefault="00C32462" w:rsidP="00237C01">
                      <w:pPr>
                        <w:rPr>
                          <w:rFonts w:eastAsia="Times New Roman"/>
                          <w:lang w:eastAsia="en-AU"/>
                        </w:rPr>
                      </w:pPr>
                      <w:r w:rsidRPr="00A91A3B">
                        <w:rPr>
                          <w:rFonts w:eastAsia="Times New Roman"/>
                          <w:lang w:eastAsia="en-AU"/>
                        </w:rPr>
                        <w:t>‘We consider this to be our entry level role, the qualification here is limiting but the experience required to successfully complete this role is thorough’.</w:t>
                      </w:r>
                    </w:p>
                    <w:p w14:paraId="797D16E3" w14:textId="29E7B7EA" w:rsidR="00C32462" w:rsidRPr="00A91A3B" w:rsidRDefault="00C32462" w:rsidP="00237C01">
                      <w:r w:rsidRPr="00A91A3B">
                        <w:t xml:space="preserve">Another group of keywords (‘retirement’, ‘retention’ and ‘moving’) occurred </w:t>
                      </w:r>
                      <w:r w:rsidR="0012495B">
                        <w:br/>
                      </w:r>
                      <w:r w:rsidRPr="00A91A3B">
                        <w:t>across 25 responses (4%). Participants identified that decreasing supply has a spiralling impact.</w:t>
                      </w:r>
                    </w:p>
                    <w:p w14:paraId="4EE3ECB6" w14:textId="77777777" w:rsidR="00C32462" w:rsidRPr="00A91A3B" w:rsidRDefault="00C32462" w:rsidP="00237C01">
                      <w:pPr>
                        <w:rPr>
                          <w:rFonts w:eastAsia="Times New Roman"/>
                          <w:lang w:eastAsia="en-AU"/>
                        </w:rPr>
                      </w:pPr>
                      <w:r w:rsidRPr="00A91A3B">
                        <w:t>‘</w:t>
                      </w:r>
                      <w:r w:rsidRPr="00A91A3B">
                        <w:rPr>
                          <w:rFonts w:eastAsia="Times New Roman"/>
                          <w:lang w:eastAsia="en-AU"/>
                        </w:rPr>
                        <w:t xml:space="preserve">Reasons are historical based on previous regional supply and expectations that workers were available to work [regionally, on-site]. That is not the case now and has been for the past 20 years due to falling regional youth populations and no desire for urbanites to leave the </w:t>
                      </w:r>
                      <w:proofErr w:type="gramStart"/>
                      <w:r w:rsidRPr="00A91A3B">
                        <w:rPr>
                          <w:rFonts w:eastAsia="Times New Roman"/>
                          <w:lang w:eastAsia="en-AU"/>
                        </w:rPr>
                        <w:t>cities’</w:t>
                      </w:r>
                      <w:proofErr w:type="gramEnd"/>
                      <w:r w:rsidRPr="00A91A3B">
                        <w:rPr>
                          <w:rFonts w:eastAsia="Times New Roman"/>
                          <w:lang w:eastAsia="en-AU"/>
                        </w:rPr>
                        <w:t>.</w:t>
                      </w:r>
                    </w:p>
                    <w:p w14:paraId="18FCF1D7" w14:textId="77777777" w:rsidR="00C32462" w:rsidRPr="00A91A3B" w:rsidRDefault="00C32462" w:rsidP="00237C01">
                      <w:pPr>
                        <w:rPr>
                          <w:rFonts w:eastAsia="Times New Roman"/>
                          <w:lang w:eastAsia="en-AU"/>
                        </w:rPr>
                      </w:pPr>
                      <w:r w:rsidRPr="00A91A3B">
                        <w:rPr>
                          <w:rFonts w:eastAsia="Times New Roman"/>
                          <w:lang w:eastAsia="en-AU"/>
                        </w:rPr>
                        <w:t xml:space="preserve">‘Noting that key discussions around retention of staff post qualification completion </w:t>
                      </w:r>
                      <w:proofErr w:type="gramStart"/>
                      <w:r w:rsidRPr="00A91A3B">
                        <w:rPr>
                          <w:rFonts w:eastAsia="Times New Roman"/>
                          <w:lang w:eastAsia="en-AU"/>
                        </w:rPr>
                        <w:t>has</w:t>
                      </w:r>
                      <w:proofErr w:type="gramEnd"/>
                      <w:r w:rsidRPr="00A91A3B">
                        <w:rPr>
                          <w:rFonts w:eastAsia="Times New Roman"/>
                          <w:lang w:eastAsia="en-AU"/>
                        </w:rPr>
                        <w:t xml:space="preserve"> been a heavy topic of conversation as most trainees have been moving on to different business and industries. The retention of skilled staff to continue to assist with the </w:t>
                      </w:r>
                      <w:proofErr w:type="spellStart"/>
                      <w:proofErr w:type="gramStart"/>
                      <w:r w:rsidRPr="00A91A3B">
                        <w:rPr>
                          <w:rFonts w:eastAsia="Times New Roman"/>
                          <w:lang w:eastAsia="en-AU"/>
                        </w:rPr>
                        <w:t>on site</w:t>
                      </w:r>
                      <w:proofErr w:type="spellEnd"/>
                      <w:proofErr w:type="gramEnd"/>
                      <w:r w:rsidRPr="00A91A3B">
                        <w:rPr>
                          <w:rFonts w:eastAsia="Times New Roman"/>
                          <w:lang w:eastAsia="en-AU"/>
                        </w:rPr>
                        <w:t xml:space="preserve"> training has taken a substantial hit.’</w:t>
                      </w:r>
                    </w:p>
                    <w:p w14:paraId="3AD671EA" w14:textId="77777777" w:rsidR="00C32462" w:rsidRPr="00A91A3B" w:rsidRDefault="00C32462" w:rsidP="00237C01">
                      <w:pPr>
                        <w:rPr>
                          <w:rFonts w:eastAsia="Times New Roman"/>
                          <w:lang w:eastAsia="en-AU"/>
                        </w:rPr>
                      </w:pPr>
                      <w:r w:rsidRPr="00A91A3B">
                        <w:rPr>
                          <w:rFonts w:eastAsia="Times New Roman"/>
                          <w:lang w:eastAsia="en-AU"/>
                        </w:rPr>
                        <w:t>‘Major shortage area due to higher demand and high level of retirements, reported by a number of agencies including local government.’</w:t>
                      </w:r>
                    </w:p>
                    <w:p w14:paraId="4FDCE94F" w14:textId="77777777" w:rsidR="00C32462" w:rsidRPr="00A91A3B" w:rsidRDefault="00C32462" w:rsidP="00237C01">
                      <w:r w:rsidRPr="00A91A3B">
                        <w:t>Some stakeholders reported that they continue to experience post-COVID-19 impacts. Keywords ‘COVID’, ‘pandemic’ and ‘lockdown’ occurred across 14 responses (2%). Some stakeholders found a lower fill rates due to security while others had increased market demands that current skill supplies are not meeting.</w:t>
                      </w:r>
                    </w:p>
                    <w:p w14:paraId="68EF6A97" w14:textId="77777777" w:rsidR="00C32462" w:rsidRPr="00A91A3B" w:rsidRDefault="00C32462" w:rsidP="00237C01">
                      <w:r w:rsidRPr="00A91A3B">
                        <w:t>‘</w:t>
                      </w:r>
                      <w:r w:rsidRPr="00A91A3B">
                        <w:rPr>
                          <w:rFonts w:eastAsia="Times New Roman"/>
                          <w:lang w:eastAsia="en-AU"/>
                        </w:rPr>
                        <w:t>It takes [time] to train someone up to a standard of safety and experience that they can operate independently. Covid has widened this gap and closing this gap is a slow process if training people from scratch is the way forward’.</w:t>
                      </w:r>
                    </w:p>
                    <w:p w14:paraId="43D91C77" w14:textId="77777777" w:rsidR="00C32462" w:rsidRPr="00A91A3B" w:rsidRDefault="00C32462" w:rsidP="00237C01">
                      <w:pPr>
                        <w:rPr>
                          <w:rFonts w:eastAsia="Times New Roman"/>
                          <w:lang w:eastAsia="en-AU"/>
                        </w:rPr>
                      </w:pPr>
                      <w:r w:rsidRPr="00A91A3B">
                        <w:t>‘</w:t>
                      </w:r>
                      <w:r w:rsidRPr="00A91A3B">
                        <w:rPr>
                          <w:rFonts w:eastAsia="Times New Roman"/>
                          <w:lang w:eastAsia="en-AU"/>
                        </w:rPr>
                        <w:t>Demand [for our products] during and post covid has been very high with very low [skill] supply’.</w:t>
                      </w:r>
                    </w:p>
                  </w:txbxContent>
                </v:textbox>
                <w10:wrap type="topAndBottom" anchorx="margin" anchory="margin"/>
              </v:rect>
            </w:pict>
          </mc:Fallback>
        </mc:AlternateContent>
      </w:r>
      <w:r w:rsidRPr="00276822" w:rsidDel="00174895">
        <w:t>Box</w:t>
      </w:r>
      <w:r w:rsidRPr="00276822">
        <w:t xml:space="preserve"> </w:t>
      </w:r>
      <w:r w:rsidRPr="00276822">
        <w:fldChar w:fldCharType="begin"/>
      </w:r>
      <w:r w:rsidRPr="00276822">
        <w:instrText xml:space="preserve"> SEQ Box \* ARABIC </w:instrText>
      </w:r>
      <w:r w:rsidRPr="00276822">
        <w:fldChar w:fldCharType="separate"/>
      </w:r>
      <w:r w:rsidR="000D2208">
        <w:rPr>
          <w:noProof/>
        </w:rPr>
        <w:t>1</w:t>
      </w:r>
      <w:r w:rsidRPr="00276822">
        <w:fldChar w:fldCharType="end"/>
      </w:r>
      <w:r w:rsidRPr="00276822">
        <w:t>: Other qualitative information from the survey</w:t>
      </w:r>
    </w:p>
    <w:p w14:paraId="59949F1C" w14:textId="326A5402" w:rsidR="00C32462" w:rsidRPr="00B00CE9" w:rsidRDefault="00C32462" w:rsidP="00C32462">
      <w:pPr>
        <w:pStyle w:val="Source"/>
      </w:pPr>
      <w:r w:rsidRPr="006C3B36">
        <w:t xml:space="preserve">Source: Jobs and Skills Australia, 2024 </w:t>
      </w:r>
      <w:r w:rsidR="008E6BA9">
        <w:t>Occupation Shortage List</w:t>
      </w:r>
      <w:r w:rsidRPr="006C3B36">
        <w:t xml:space="preserve"> Stakeholder Survey.</w:t>
      </w:r>
    </w:p>
    <w:p w14:paraId="35A8CC50" w14:textId="77777777" w:rsidR="00C32462" w:rsidRDefault="00C32462" w:rsidP="00E80AED">
      <w:r>
        <w:br w:type="page"/>
      </w:r>
    </w:p>
    <w:p w14:paraId="27B2FC6B" w14:textId="77777777" w:rsidR="00C32462" w:rsidRPr="005F4B53" w:rsidRDefault="00C32462" w:rsidP="00A67E1C">
      <w:pPr>
        <w:pStyle w:val="Heading2"/>
      </w:pPr>
      <w:r>
        <w:lastRenderedPageBreak/>
        <w:t>Additional information on o</w:t>
      </w:r>
      <w:r w:rsidRPr="005F4B53">
        <w:t xml:space="preserve">ccupation </w:t>
      </w:r>
      <w:r>
        <w:t>vacancies and r</w:t>
      </w:r>
      <w:r w:rsidRPr="005F4B53">
        <w:t xml:space="preserve">ecruitment </w:t>
      </w:r>
    </w:p>
    <w:p w14:paraId="188A692B" w14:textId="77777777" w:rsidR="00C32462" w:rsidRPr="0035002F" w:rsidRDefault="00C32462" w:rsidP="00C32462">
      <w:r>
        <w:t>N</w:t>
      </w:r>
      <w:r w:rsidRPr="00906735">
        <w:t xml:space="preserve">ew questions were included in the 2024 stakeholder survey compared to previous years. These questions attempted to capture more quantitative information on advertised vacancies and vacancies filled. The aim </w:t>
      </w:r>
      <w:r w:rsidRPr="0035002F">
        <w:t>was to identify whether occupation vacancy fill rates calculated from the stakeholder survey mirrored modelling.</w:t>
      </w:r>
      <w:r w:rsidRPr="002934BF">
        <w:rPr>
          <w:rStyle w:val="FootnoteReference"/>
          <w:rFonts w:cs="Arial"/>
        </w:rPr>
        <w:footnoteReference w:id="13"/>
      </w:r>
      <w:r w:rsidRPr="002934BF">
        <w:t xml:space="preserve"> </w:t>
      </w:r>
      <w:r w:rsidRPr="0035002F">
        <w:rPr>
          <w:rStyle w:val="FootnoteReference"/>
          <w:rFonts w:cs="Arial"/>
        </w:rPr>
        <w:footnoteReference w:id="14"/>
      </w:r>
      <w:r w:rsidRPr="0035002F">
        <w:t xml:space="preserve"> </w:t>
      </w:r>
    </w:p>
    <w:p w14:paraId="10F1575D" w14:textId="77777777" w:rsidR="00C32462" w:rsidRPr="00007084" w:rsidRDefault="00C32462" w:rsidP="00C32462">
      <w:pPr>
        <w:pStyle w:val="ListBullet"/>
      </w:pPr>
      <w:r w:rsidRPr="00007084">
        <w:t>The weighted average fill rate was 64%.</w:t>
      </w:r>
      <w:r w:rsidRPr="003D2077">
        <w:rPr>
          <w:rStyle w:val="FootnoteReference"/>
        </w:rPr>
        <w:footnoteReference w:id="15"/>
      </w:r>
      <w:r w:rsidRPr="00007084">
        <w:t xml:space="preserve"> This is below the weighted average fill rate of 67% based on the modelling and the fill rate threshold of 67% used by Jobs and Skills Australia when defining an occupation in shortage.</w:t>
      </w:r>
      <w:r w:rsidRPr="00F302F3">
        <w:rPr>
          <w:rStyle w:val="FootnoteReference"/>
        </w:rPr>
        <w:footnoteReference w:id="16"/>
      </w:r>
      <w:r w:rsidRPr="00007084">
        <w:t xml:space="preserve"> However, the fill rate of 64% should be treated with caution as there was a wide spread of fill rates and very small sample sizes. </w:t>
      </w:r>
    </w:p>
    <w:p w14:paraId="15B13BDE" w14:textId="77777777" w:rsidR="00C32462" w:rsidRPr="00007084" w:rsidRDefault="00C32462" w:rsidP="00C32462">
      <w:pPr>
        <w:pStyle w:val="ListBullet"/>
      </w:pPr>
      <w:r w:rsidRPr="00007084">
        <w:t>Nearly 3 of every 5 of the responses (61%)</w:t>
      </w:r>
      <w:r w:rsidRPr="00007084" w:rsidDel="009B6DA2">
        <w:t xml:space="preserve"> </w:t>
      </w:r>
      <w:r w:rsidRPr="00007084">
        <w:t xml:space="preserve">reported vacancy fill rates below 67%. </w:t>
      </w:r>
    </w:p>
    <w:p w14:paraId="4B526626" w14:textId="1C30DC85" w:rsidR="00C32462" w:rsidRPr="0024057C" w:rsidRDefault="00C32462" w:rsidP="00C32462">
      <w:r w:rsidRPr="0024057C">
        <w:t>Most responses were for occupations within</w:t>
      </w:r>
      <w:r>
        <w:t xml:space="preserve"> </w:t>
      </w:r>
      <w:r w:rsidRPr="0024057C">
        <w:t>Technicians and Trades Workers</w:t>
      </w:r>
      <w:r>
        <w:t xml:space="preserve">, </w:t>
      </w:r>
      <w:r w:rsidRPr="0024057C">
        <w:t>Community and Personal Service Workers</w:t>
      </w:r>
      <w:r>
        <w:t xml:space="preserve"> </w:t>
      </w:r>
      <w:r w:rsidRPr="0024057C">
        <w:t>and Profession</w:t>
      </w:r>
      <w:r>
        <w:t>al</w:t>
      </w:r>
      <w:r w:rsidRPr="0024057C">
        <w:t>s</w:t>
      </w:r>
      <w:r w:rsidRPr="0024057C" w:rsidDel="00016786">
        <w:t xml:space="preserve"> </w:t>
      </w:r>
      <w:r w:rsidRPr="0024057C">
        <w:t>(</w:t>
      </w:r>
      <w:r>
        <w:fldChar w:fldCharType="begin"/>
      </w:r>
      <w:r>
        <w:instrText xml:space="preserve"> REF _Ref169745226 \h  \* MERGEFORMAT </w:instrText>
      </w:r>
      <w:r>
        <w:fldChar w:fldCharType="separate"/>
      </w:r>
      <w:r w:rsidR="000D2208" w:rsidRPr="00276822">
        <w:t xml:space="preserve">Figure </w:t>
      </w:r>
      <w:r w:rsidR="000D2208">
        <w:t>6</w:t>
      </w:r>
      <w:r>
        <w:fldChar w:fldCharType="end"/>
      </w:r>
      <w:r w:rsidRPr="0024057C">
        <w:t>).</w:t>
      </w:r>
      <w:r w:rsidRPr="0024057C">
        <w:rPr>
          <w:rStyle w:val="FootnoteReference"/>
          <w:rFonts w:cs="Arial"/>
        </w:rPr>
        <w:t xml:space="preserve"> </w:t>
      </w:r>
    </w:p>
    <w:p w14:paraId="3325A9FB" w14:textId="77777777" w:rsidR="00C32462" w:rsidRPr="00007084" w:rsidRDefault="00C32462" w:rsidP="00C32462">
      <w:pPr>
        <w:pStyle w:val="ListBullet"/>
      </w:pPr>
      <w:r w:rsidRPr="00007084">
        <w:t>Among these 3 major groups, Professionals had most responses with fill rates equal to or above 67%.</w:t>
      </w:r>
    </w:p>
    <w:p w14:paraId="46F6C46C" w14:textId="77777777" w:rsidR="00C32462" w:rsidRPr="00007084" w:rsidRDefault="00C32462" w:rsidP="00C32462">
      <w:pPr>
        <w:pStyle w:val="ListBullet"/>
      </w:pPr>
      <w:r w:rsidRPr="00007084">
        <w:t xml:space="preserve">Managers also had more responses indicating fill rates at or above 67% than responses below it. </w:t>
      </w:r>
    </w:p>
    <w:p w14:paraId="03DA2C98" w14:textId="77777777" w:rsidR="00C32462" w:rsidRPr="00007084" w:rsidRDefault="00C32462" w:rsidP="00C32462">
      <w:pPr>
        <w:pStyle w:val="ListBullet"/>
      </w:pPr>
      <w:r w:rsidRPr="00007084">
        <w:t>The vast number of responses for the Technicians and Trades Workers and Community and Personal Service Workers major group</w:t>
      </w:r>
      <w:r w:rsidRPr="00007084" w:rsidDel="006B6228">
        <w:t>s</w:t>
      </w:r>
      <w:r w:rsidRPr="00007084">
        <w:t xml:space="preserve"> had fill rates below 67%.</w:t>
      </w:r>
    </w:p>
    <w:p w14:paraId="63ED7006" w14:textId="77777777" w:rsidR="00C32462" w:rsidRPr="0035002F" w:rsidRDefault="00C32462" w:rsidP="00E80AED">
      <w:pPr>
        <w:pStyle w:val="ListBullet"/>
        <w:numPr>
          <w:ilvl w:val="0"/>
          <w:numId w:val="0"/>
        </w:numPr>
        <w:ind w:left="284" w:hanging="284"/>
        <w:rPr>
          <w:rFonts w:cs="Arial"/>
          <w:szCs w:val="22"/>
        </w:rPr>
      </w:pPr>
    </w:p>
    <w:p w14:paraId="26EF87D9" w14:textId="77F83714" w:rsidR="00C32462" w:rsidRPr="00B63CBF" w:rsidRDefault="00C32462" w:rsidP="00C32462">
      <w:pPr>
        <w:pStyle w:val="Caption"/>
      </w:pPr>
      <w:bookmarkStart w:id="13" w:name="_Ref169745226"/>
      <w:r w:rsidRPr="00276822">
        <w:lastRenderedPageBreak/>
        <w:t xml:space="preserve">Figure </w:t>
      </w:r>
      <w:r w:rsidRPr="00276822">
        <w:fldChar w:fldCharType="begin"/>
      </w:r>
      <w:r w:rsidRPr="00276822">
        <w:instrText xml:space="preserve"> SEQ Figure \* ARABIC </w:instrText>
      </w:r>
      <w:r w:rsidRPr="00276822">
        <w:fldChar w:fldCharType="separate"/>
      </w:r>
      <w:r w:rsidR="000D2208">
        <w:rPr>
          <w:noProof/>
        </w:rPr>
        <w:t>6</w:t>
      </w:r>
      <w:r w:rsidRPr="00276822">
        <w:fldChar w:fldCharType="end"/>
      </w:r>
      <w:bookmarkEnd w:id="13"/>
      <w:r w:rsidRPr="00276822">
        <w:t>: Number of responses indicating fill rates either above or below 67%</w:t>
      </w:r>
      <w:r w:rsidR="00B71B5E">
        <w:t xml:space="preserve"> (No.),</w:t>
      </w:r>
      <w:r w:rsidRPr="00276822">
        <w:t xml:space="preserve"> by major group</w:t>
      </w:r>
      <w:r w:rsidRPr="00A67E1C">
        <w:rPr>
          <w:rStyle w:val="FootnoteReference"/>
        </w:rPr>
        <w:footnoteReference w:id="17"/>
      </w:r>
    </w:p>
    <w:p w14:paraId="4E3B585D" w14:textId="39625945" w:rsidR="00C32462" w:rsidRDefault="00BA7992" w:rsidP="00C32462">
      <w:pPr>
        <w:pStyle w:val="Source"/>
      </w:pPr>
      <w:r>
        <w:rPr>
          <w:noProof/>
        </w:rPr>
        <w:drawing>
          <wp:inline distT="0" distB="0" distL="0" distR="0" wp14:anchorId="1EBBE6F7" wp14:editId="3D8C52ED">
            <wp:extent cx="5730875" cy="3067200"/>
            <wp:effectExtent l="0" t="0" r="3175" b="0"/>
            <wp:docPr id="819710730" name="Chart 1" descr="Figure 6: Number of responses indicating fill rates either above or below 67% by major groups. The bar chart shows the increasing number of major groups that presented a fill rate &lt; 67% based on the numeric responses available.">
              <a:extLst xmlns:a="http://schemas.openxmlformats.org/drawingml/2006/main">
                <a:ext uri="{FF2B5EF4-FFF2-40B4-BE49-F238E27FC236}">
                  <a16:creationId xmlns:a16="http://schemas.microsoft.com/office/drawing/2014/main" id="{DB9969FA-B194-8C2F-9BC2-7177B7795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C32462">
        <w:br/>
      </w:r>
      <w:r w:rsidR="00C32462" w:rsidRPr="00276822">
        <w:t xml:space="preserve">Source: Jobs and Skills Australia, 2024 </w:t>
      </w:r>
      <w:r w:rsidR="008E6BA9">
        <w:t>Occupation Shortage List</w:t>
      </w:r>
      <w:r w:rsidR="008E6BA9" w:rsidRPr="00276822">
        <w:t xml:space="preserve"> </w:t>
      </w:r>
      <w:r w:rsidR="00C32462" w:rsidRPr="00276822">
        <w:t>Stakeholder Survey.</w:t>
      </w:r>
    </w:p>
    <w:p w14:paraId="5148F42D" w14:textId="77777777" w:rsidR="00C32462" w:rsidRPr="00EF7426" w:rsidRDefault="00C32462" w:rsidP="00A67E1C">
      <w:pPr>
        <w:pStyle w:val="Heading2"/>
      </w:pPr>
      <w:r>
        <w:t>Reasons vacancies were not filled</w:t>
      </w:r>
    </w:p>
    <w:p w14:paraId="76CC4D1E" w14:textId="58804679" w:rsidR="00C32462" w:rsidRPr="008C5B1F" w:rsidRDefault="00C32462" w:rsidP="00C32462">
      <w:r w:rsidRPr="008C5B1F">
        <w:t>The stakeholder survey also collected information on reasons advertised vacancies were not filled</w:t>
      </w:r>
      <w:r>
        <w:t xml:space="preserve"> (</w:t>
      </w:r>
      <w:r w:rsidRPr="00380BB8">
        <w:fldChar w:fldCharType="begin"/>
      </w:r>
      <w:r w:rsidRPr="00F260FB">
        <w:instrText xml:space="preserve"> REF _Ref170488040 \h </w:instrText>
      </w:r>
      <w:r>
        <w:instrText xml:space="preserve"> \* MERGEFORMAT </w:instrText>
      </w:r>
      <w:r w:rsidRPr="00380BB8">
        <w:fldChar w:fldCharType="separate"/>
      </w:r>
      <w:r w:rsidR="000D2208" w:rsidRPr="00276822">
        <w:t xml:space="preserve">Figure </w:t>
      </w:r>
      <w:r w:rsidR="000D2208">
        <w:rPr>
          <w:noProof/>
        </w:rPr>
        <w:t>7</w:t>
      </w:r>
      <w:r w:rsidRPr="00380BB8">
        <w:fldChar w:fldCharType="end"/>
      </w:r>
      <w:r w:rsidRPr="00F260FB">
        <w:t>)</w:t>
      </w:r>
      <w:r w:rsidRPr="008C5B1F">
        <w:t>.</w:t>
      </w:r>
      <w:r w:rsidRPr="008C5B1F">
        <w:rPr>
          <w:rStyle w:val="FootnoteReference"/>
          <w:rFonts w:cs="Arial"/>
        </w:rPr>
        <w:footnoteReference w:id="18"/>
      </w:r>
    </w:p>
    <w:p w14:paraId="16B771E2" w14:textId="3F1B3CD2" w:rsidR="00C32462" w:rsidRPr="00276822" w:rsidRDefault="00C32462" w:rsidP="00C32462">
      <w:pPr>
        <w:pStyle w:val="ListBullet"/>
      </w:pPr>
      <w:r w:rsidRPr="00276822">
        <w:t>The most prominent reason provided for vacancies not being filled (72%) was insufficient applicants, followed by a lack of applicant experience (51%).</w:t>
      </w:r>
    </w:p>
    <w:p w14:paraId="1698B9DB" w14:textId="77777777" w:rsidR="00C32462" w:rsidRPr="00276822" w:rsidRDefault="00C32462" w:rsidP="00C32462">
      <w:pPr>
        <w:pStyle w:val="ListBullet"/>
      </w:pPr>
      <w:r w:rsidRPr="00276822">
        <w:t>There were just under 40% of responses indicating a lack of qualifications and/or technical capabilities as a reason that vacancies were not filled.</w:t>
      </w:r>
    </w:p>
    <w:p w14:paraId="7C1EB65C" w14:textId="77777777" w:rsidR="00C32462" w:rsidRPr="00276822" w:rsidRDefault="00C32462" w:rsidP="00C32462">
      <w:pPr>
        <w:pStyle w:val="ListBullet"/>
      </w:pPr>
      <w:r w:rsidRPr="00276822">
        <w:t>On average, each response provided 2 distinct reasons that vacancies were not filled.</w:t>
      </w:r>
    </w:p>
    <w:p w14:paraId="4146E347" w14:textId="77777777" w:rsidR="00C32462" w:rsidRPr="00276822" w:rsidRDefault="00C32462" w:rsidP="00C32462">
      <w:pPr>
        <w:pStyle w:val="ListBullet"/>
      </w:pPr>
      <w:r w:rsidRPr="00276822">
        <w:t xml:space="preserve">The above results align well with SERA data on reasons vacancies remained unfilled. </w:t>
      </w:r>
    </w:p>
    <w:p w14:paraId="5789FE5F" w14:textId="669607E0" w:rsidR="00C32462" w:rsidRPr="00276822" w:rsidRDefault="00C32462" w:rsidP="00C32462">
      <w:pPr>
        <w:pStyle w:val="Caption"/>
      </w:pPr>
      <w:bookmarkStart w:id="14" w:name="_Ref170488040"/>
      <w:bookmarkStart w:id="15" w:name="_Ref170488034"/>
      <w:r w:rsidRPr="00276822">
        <w:lastRenderedPageBreak/>
        <w:t xml:space="preserve">Figure </w:t>
      </w:r>
      <w:r w:rsidRPr="00276822">
        <w:fldChar w:fldCharType="begin"/>
      </w:r>
      <w:r w:rsidRPr="00276822">
        <w:instrText xml:space="preserve"> SEQ Figure \* ARABIC </w:instrText>
      </w:r>
      <w:r w:rsidRPr="00276822">
        <w:fldChar w:fldCharType="separate"/>
      </w:r>
      <w:r w:rsidR="000D2208">
        <w:rPr>
          <w:noProof/>
        </w:rPr>
        <w:t>7</w:t>
      </w:r>
      <w:r w:rsidRPr="00276822">
        <w:fldChar w:fldCharType="end"/>
      </w:r>
      <w:bookmarkEnd w:id="14"/>
      <w:r w:rsidRPr="00276822">
        <w:t>: Percentage of response indicating reasons vacancies were not filled</w:t>
      </w:r>
      <w:bookmarkEnd w:id="15"/>
      <w:r w:rsidR="00B41537">
        <w:t xml:space="preserve"> (%)</w:t>
      </w:r>
    </w:p>
    <w:p w14:paraId="63F06BB6" w14:textId="20D65B9A" w:rsidR="00C32462" w:rsidRPr="005F4B53" w:rsidRDefault="00C32462" w:rsidP="00C32462">
      <w:pPr>
        <w:pStyle w:val="Source"/>
      </w:pPr>
      <w:r>
        <w:rPr>
          <w:noProof/>
        </w:rPr>
        <w:drawing>
          <wp:inline distT="0" distB="0" distL="0" distR="0" wp14:anchorId="50130574" wp14:editId="0E324F04">
            <wp:extent cx="5731200" cy="3067200"/>
            <wp:effectExtent l="0" t="0" r="3175" b="0"/>
            <wp:docPr id="1232795092" name="Chart 1" descr="Figure 7: Reasons vacancies were not filled. The bar chart shows the increasing proportion of responses that has chosen each of the specific reason for vacancies to not be filled with the highest being insufficient applicants (72%) and the lowest being communication skills (17%) (excluding Other)">
              <a:extLst xmlns:a="http://schemas.openxmlformats.org/drawingml/2006/main">
                <a:ext uri="{FF2B5EF4-FFF2-40B4-BE49-F238E27FC236}">
                  <a16:creationId xmlns:a16="http://schemas.microsoft.com/office/drawing/2014/main" id="{8591DF8B-473A-4F69-DBE3-CE9C4CE054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br/>
      </w:r>
      <w:r w:rsidRPr="00276822">
        <w:t xml:space="preserve">Source: Jobs and Skills Australia, 2024 </w:t>
      </w:r>
      <w:r w:rsidR="008E6BA9">
        <w:t>Occupation Shortage List</w:t>
      </w:r>
      <w:r w:rsidR="008E6BA9" w:rsidRPr="00276822">
        <w:t xml:space="preserve"> </w:t>
      </w:r>
      <w:r w:rsidRPr="00276822">
        <w:t>Stakeholder Survey.</w:t>
      </w:r>
    </w:p>
    <w:p w14:paraId="39444D20" w14:textId="19AF888D" w:rsidR="00C32462" w:rsidRPr="005F4B53" w:rsidRDefault="00F567DB" w:rsidP="00A67E1C">
      <w:pPr>
        <w:pStyle w:val="Heading2"/>
      </w:pPr>
      <w:r>
        <w:t>Completeness</w:t>
      </w:r>
      <w:r w:rsidR="00C32462">
        <w:t xml:space="preserve"> of the survey responses</w:t>
      </w:r>
    </w:p>
    <w:p w14:paraId="0C4F92EE" w14:textId="0971D0BE" w:rsidR="00C32462" w:rsidRPr="00F64F4C" w:rsidRDefault="00C32462" w:rsidP="00C32462">
      <w:r w:rsidRPr="00ED25D2">
        <w:t>The stakeholder survey had 16 questions. The quality of the survey responses is based on whethe</w:t>
      </w:r>
      <w:r w:rsidRPr="00F64F4C">
        <w:t>r the number of questions answered varied</w:t>
      </w:r>
      <w:r w:rsidR="00F54770">
        <w:t xml:space="preserve"> (</w:t>
      </w:r>
      <w:r w:rsidR="00A3641F">
        <w:fldChar w:fldCharType="begin"/>
      </w:r>
      <w:r w:rsidR="00A3641F">
        <w:instrText xml:space="preserve"> REF _Ref174973723 \h </w:instrText>
      </w:r>
      <w:r w:rsidR="00A3641F">
        <w:fldChar w:fldCharType="separate"/>
      </w:r>
      <w:r w:rsidR="000D2208" w:rsidRPr="00276822">
        <w:t xml:space="preserve">Figure </w:t>
      </w:r>
      <w:r w:rsidR="000D2208">
        <w:rPr>
          <w:noProof/>
        </w:rPr>
        <w:t>8</w:t>
      </w:r>
      <w:r w:rsidR="00A3641F">
        <w:fldChar w:fldCharType="end"/>
      </w:r>
      <w:r w:rsidR="00F54770">
        <w:t>)</w:t>
      </w:r>
      <w:r w:rsidRPr="00F64F4C">
        <w:t>.</w:t>
      </w:r>
    </w:p>
    <w:p w14:paraId="63C460D1" w14:textId="77777777" w:rsidR="00C32462" w:rsidRPr="00276822" w:rsidRDefault="00C32462" w:rsidP="00C32462">
      <w:pPr>
        <w:pStyle w:val="ListBullet"/>
      </w:pPr>
      <w:r w:rsidRPr="00276822">
        <w:t xml:space="preserve">Nearly half of the participants (48%) answered between 5-8 questions. </w:t>
      </w:r>
    </w:p>
    <w:p w14:paraId="7FC32024" w14:textId="77777777" w:rsidR="00C32462" w:rsidRPr="00276822" w:rsidRDefault="00C32462" w:rsidP="00C32462">
      <w:pPr>
        <w:pStyle w:val="ListBullet"/>
      </w:pPr>
      <w:r w:rsidRPr="00276822">
        <w:t xml:space="preserve">Close to a third (30%) completed most of the survey (13-16 questions); 21% answered between 9-12 questions; and another 2% only answered between 1 and 4 questions. </w:t>
      </w:r>
    </w:p>
    <w:p w14:paraId="7BB50CB2" w14:textId="77777777" w:rsidR="00C32462" w:rsidRPr="00276822" w:rsidRDefault="00C32462" w:rsidP="00C32462">
      <w:pPr>
        <w:pStyle w:val="ListBullet"/>
      </w:pPr>
      <w:r w:rsidRPr="00276822">
        <w:t xml:space="preserve">Where a respondent answered 4 or fewer questions, results were not be used. </w:t>
      </w:r>
    </w:p>
    <w:p w14:paraId="6BB5002C" w14:textId="0A352D5B" w:rsidR="00C32462" w:rsidRPr="00A56E49" w:rsidRDefault="00920488" w:rsidP="00C32462">
      <w:pPr>
        <w:pStyle w:val="Caption"/>
      </w:pPr>
      <w:bookmarkStart w:id="16" w:name="_Ref174973723"/>
      <w:r w:rsidRPr="00276822">
        <w:t xml:space="preserve">Figure </w:t>
      </w:r>
      <w:r w:rsidRPr="00276822">
        <w:fldChar w:fldCharType="begin"/>
      </w:r>
      <w:r w:rsidRPr="00276822">
        <w:instrText xml:space="preserve"> SEQ Figure \* ARABIC </w:instrText>
      </w:r>
      <w:r w:rsidRPr="00276822">
        <w:fldChar w:fldCharType="separate"/>
      </w:r>
      <w:r w:rsidR="000D2208">
        <w:rPr>
          <w:noProof/>
        </w:rPr>
        <w:t>8</w:t>
      </w:r>
      <w:r w:rsidRPr="00276822">
        <w:fldChar w:fldCharType="end"/>
      </w:r>
      <w:bookmarkEnd w:id="16"/>
      <w:r w:rsidRPr="00276822">
        <w:t>:</w:t>
      </w:r>
      <w:r w:rsidR="00C32462" w:rsidRPr="00A56E49">
        <w:t xml:space="preserve"> Distribution of </w:t>
      </w:r>
      <w:r w:rsidR="00C32462">
        <w:t>survey completions</w:t>
      </w:r>
      <w:r w:rsidR="00B41537">
        <w:t xml:space="preserve"> (%)</w:t>
      </w:r>
      <w:r w:rsidR="00C32462">
        <w:t xml:space="preserve">, based on number of </w:t>
      </w:r>
      <w:r w:rsidR="00C32462" w:rsidRPr="00A56E49">
        <w:t>questions answered</w:t>
      </w:r>
    </w:p>
    <w:p w14:paraId="65509968" w14:textId="0295E0DD" w:rsidR="00E21569" w:rsidRPr="00DD1E6A" w:rsidRDefault="00C32462" w:rsidP="00DD1E6A">
      <w:pPr>
        <w:pStyle w:val="Source"/>
      </w:pPr>
      <w:r>
        <w:rPr>
          <w:noProof/>
        </w:rPr>
        <w:drawing>
          <wp:inline distT="0" distB="0" distL="0" distR="0" wp14:anchorId="14EEFD9C" wp14:editId="4D65F137">
            <wp:extent cx="5731200" cy="3067200"/>
            <wp:effectExtent l="0" t="0" r="3175" b="0"/>
            <wp:docPr id="808138914" name="Chart 1" descr="Figure 8: Distribution of responses by the number of questions answered. The stakeholder survey had 16 questions. The histogram groups together scores of each responses with a majority of responses scoring 5-8 (48%).">
              <a:extLst xmlns:a="http://schemas.openxmlformats.org/drawingml/2006/main">
                <a:ext uri="{FF2B5EF4-FFF2-40B4-BE49-F238E27FC236}">
                  <a16:creationId xmlns:a16="http://schemas.microsoft.com/office/drawing/2014/main" id="{3E0ABBD2-5A42-6AD0-D65E-C58A49E9C8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Del="00304598">
        <w:rPr>
          <w:noProof/>
        </w:rPr>
        <w:t xml:space="preserve"> </w:t>
      </w:r>
      <w:r>
        <w:br/>
      </w:r>
      <w:r w:rsidRPr="00276822">
        <w:t xml:space="preserve">Source: Jobs and Skills Australia, 2024 </w:t>
      </w:r>
      <w:r w:rsidR="008E6BA9">
        <w:t>Occupation Shortage List</w:t>
      </w:r>
      <w:r w:rsidR="008E6BA9" w:rsidRPr="00276822">
        <w:t xml:space="preserve"> </w:t>
      </w:r>
      <w:r w:rsidRPr="00276822">
        <w:t>Stakeholder Survey.</w:t>
      </w:r>
      <w:bookmarkEnd w:id="0"/>
      <w:bookmarkEnd w:id="1"/>
      <w:bookmarkEnd w:id="2"/>
    </w:p>
    <w:sectPr w:rsidR="00E21569" w:rsidRPr="00DD1E6A" w:rsidSect="00DA463C">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C7076" w14:textId="77777777" w:rsidR="003B321E" w:rsidRDefault="003B321E" w:rsidP="008C0056">
      <w:r>
        <w:separator/>
      </w:r>
    </w:p>
  </w:endnote>
  <w:endnote w:type="continuationSeparator" w:id="0">
    <w:p w14:paraId="631C33C1" w14:textId="77777777" w:rsidR="003B321E" w:rsidRDefault="003B321E" w:rsidP="008C0056">
      <w:r>
        <w:continuationSeparator/>
      </w:r>
    </w:p>
  </w:endnote>
  <w:endnote w:type="continuationNotice" w:id="1">
    <w:p w14:paraId="5EBFC348" w14:textId="77777777" w:rsidR="003B321E" w:rsidRDefault="003B321E"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1DE9E510" w14:textId="2C6E5887"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4471FF">
              <w:t>2024 Occupation Shortage List</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298338"/>
      <w:docPartObj>
        <w:docPartGallery w:val="Page Numbers (Bottom of Page)"/>
        <w:docPartUnique/>
      </w:docPartObj>
    </w:sdtPr>
    <w:sdtEndPr>
      <w:rPr>
        <w:noProof/>
      </w:rPr>
    </w:sdtEndPr>
    <w:sdtContent>
      <w:p w14:paraId="1506E6C8" w14:textId="4C38E808" w:rsidR="00B30EAB" w:rsidRDefault="00B30EAB" w:rsidP="00AD7B64">
        <w:pPr>
          <w:pStyle w:val="Footer"/>
          <w:tabs>
            <w:tab w:val="clear" w:pos="9026"/>
            <w:tab w:val="right" w:pos="14697"/>
          </w:tabs>
        </w:pPr>
        <w:r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EndPr/>
          <w:sdtContent>
            <w:r w:rsidR="004471FF">
              <w:t>2024 Occupation Shortage List</w:t>
            </w:r>
          </w:sdtContent>
        </w:sdt>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9F14" w14:textId="77777777" w:rsidR="003B321E" w:rsidRDefault="003B321E" w:rsidP="008C0056">
      <w:r>
        <w:separator/>
      </w:r>
    </w:p>
  </w:footnote>
  <w:footnote w:type="continuationSeparator" w:id="0">
    <w:p w14:paraId="7745E8D5" w14:textId="77777777" w:rsidR="003B321E" w:rsidRDefault="003B321E" w:rsidP="008C0056">
      <w:r>
        <w:continuationSeparator/>
      </w:r>
    </w:p>
  </w:footnote>
  <w:footnote w:type="continuationNotice" w:id="1">
    <w:p w14:paraId="7C59F14A" w14:textId="77777777" w:rsidR="003B321E" w:rsidRDefault="003B321E" w:rsidP="008C0056"/>
  </w:footnote>
  <w:footnote w:id="2">
    <w:p w14:paraId="37D385A6" w14:textId="7B6DACB3" w:rsidR="00F03658" w:rsidRDefault="00F03658">
      <w:pPr>
        <w:pStyle w:val="FootnoteText"/>
      </w:pPr>
      <w:r>
        <w:rPr>
          <w:rStyle w:val="FootnoteReference"/>
        </w:rPr>
        <w:footnoteRef/>
      </w:r>
      <w:r>
        <w:t xml:space="preserve"> </w:t>
      </w:r>
      <w:r w:rsidRPr="00A44C4C">
        <w:t xml:space="preserve">ANZSCO is a skill-based classification used to classify all occupations and jobs in the Australian and New Zealand labour markets. It is organised into a 5-level hierarchy: major groups, sub-major groups, minor groups, unit groups and occupations. </w:t>
      </w:r>
      <w:r>
        <w:t xml:space="preserve">Occupation refers to the most granular </w:t>
      </w:r>
      <w:proofErr w:type="gramStart"/>
      <w:r>
        <w:t>6 digit</w:t>
      </w:r>
      <w:proofErr w:type="gramEnd"/>
      <w:r>
        <w:t xml:space="preserve"> ANZSCO and is the level that the report refers to.</w:t>
      </w:r>
      <w:r w:rsidRPr="00A44C4C">
        <w:t xml:space="preserve"> For more details on ANZSCO refer to the </w:t>
      </w:r>
      <w:hyperlink r:id="rId1" w:history="1">
        <w:r w:rsidR="009A3B29" w:rsidRPr="009A3B29">
          <w:rPr>
            <w:rStyle w:val="Hyperlink"/>
          </w:rPr>
          <w:t>Australian Bureau of Statistics</w:t>
        </w:r>
        <w:r w:rsidRPr="009A3B29">
          <w:rPr>
            <w:rStyle w:val="Hyperlink"/>
          </w:rPr>
          <w:t xml:space="preserve"> website</w:t>
        </w:r>
      </w:hyperlink>
      <w:r w:rsidRPr="00A44C4C">
        <w:t>.</w:t>
      </w:r>
    </w:p>
  </w:footnote>
  <w:footnote w:id="3">
    <w:p w14:paraId="7139DE46" w14:textId="08528660" w:rsidR="00DC7E72" w:rsidRPr="00E80AED" w:rsidRDefault="00DC7E72" w:rsidP="00574D69">
      <w:pPr>
        <w:pStyle w:val="FootnoteText"/>
        <w:rPr>
          <w:szCs w:val="16"/>
        </w:rPr>
      </w:pPr>
      <w:r w:rsidRPr="00E80AED">
        <w:rPr>
          <w:rStyle w:val="FootnoteReference"/>
          <w:szCs w:val="16"/>
        </w:rPr>
        <w:footnoteRef/>
      </w:r>
      <w:r w:rsidRPr="00E80AED">
        <w:rPr>
          <w:szCs w:val="16"/>
        </w:rPr>
        <w:t xml:space="preserve"> </w:t>
      </w:r>
      <w:r w:rsidR="00334D1B" w:rsidRPr="00E80AED">
        <w:rPr>
          <w:szCs w:val="16"/>
        </w:rPr>
        <w:t xml:space="preserve">There were 96 </w:t>
      </w:r>
      <w:r w:rsidR="00CE14BC" w:rsidRPr="00E80AED">
        <w:rPr>
          <w:szCs w:val="16"/>
        </w:rPr>
        <w:t>organisations which responded</w:t>
      </w:r>
      <w:r w:rsidR="00CD4D9A" w:rsidRPr="00E80AED">
        <w:rPr>
          <w:szCs w:val="16"/>
        </w:rPr>
        <w:t xml:space="preserve"> however only</w:t>
      </w:r>
      <w:r w:rsidR="00245FE1" w:rsidRPr="00E80AED">
        <w:rPr>
          <w:szCs w:val="16"/>
        </w:rPr>
        <w:t xml:space="preserve"> 80 provided </w:t>
      </w:r>
      <w:r w:rsidRPr="00E80AED">
        <w:rPr>
          <w:szCs w:val="16"/>
        </w:rPr>
        <w:t>sufficient evidence</w:t>
      </w:r>
      <w:r w:rsidR="00F16034" w:rsidRPr="00E80AED">
        <w:rPr>
          <w:szCs w:val="16"/>
        </w:rPr>
        <w:t xml:space="preserve"> </w:t>
      </w:r>
      <w:r w:rsidR="00574D69" w:rsidRPr="00E80AED">
        <w:rPr>
          <w:szCs w:val="16"/>
        </w:rPr>
        <w:t>as part of their survey response to materially inform Jobs and Skills Australia’s occupation assessments</w:t>
      </w:r>
      <w:r w:rsidR="00245FE1" w:rsidRPr="00E80AED">
        <w:rPr>
          <w:szCs w:val="16"/>
        </w:rPr>
        <w:t>.</w:t>
      </w:r>
    </w:p>
  </w:footnote>
  <w:footnote w:id="4">
    <w:p w14:paraId="55E953D4" w14:textId="0D182DE2" w:rsidR="00A0513A" w:rsidRDefault="00A0513A">
      <w:pPr>
        <w:pStyle w:val="FootnoteText"/>
      </w:pPr>
      <w:r w:rsidRPr="00E80AED">
        <w:rPr>
          <w:rStyle w:val="FootnoteReference"/>
          <w:szCs w:val="16"/>
        </w:rPr>
        <w:footnoteRef/>
      </w:r>
      <w:r w:rsidRPr="00E80AED">
        <w:rPr>
          <w:szCs w:val="16"/>
        </w:rPr>
        <w:t xml:space="preserve"> </w:t>
      </w:r>
      <w:r w:rsidR="00EA3515" w:rsidRPr="00E80AED">
        <w:rPr>
          <w:szCs w:val="16"/>
        </w:rPr>
        <w:t>More o</w:t>
      </w:r>
      <w:r w:rsidR="009410FF" w:rsidRPr="00E80AED">
        <w:rPr>
          <w:szCs w:val="16"/>
        </w:rPr>
        <w:t xml:space="preserve">rganisation types </w:t>
      </w:r>
      <w:r w:rsidRPr="00E80AED">
        <w:rPr>
          <w:szCs w:val="16"/>
        </w:rPr>
        <w:t>were added in 202</w:t>
      </w:r>
      <w:r w:rsidR="009B0994" w:rsidRPr="00E80AED">
        <w:rPr>
          <w:szCs w:val="16"/>
        </w:rPr>
        <w:t>4.</w:t>
      </w:r>
    </w:p>
  </w:footnote>
  <w:footnote w:id="5">
    <w:p w14:paraId="47452650" w14:textId="77777777" w:rsidR="005C6BAA" w:rsidRPr="00E80AED" w:rsidRDefault="005C6BAA" w:rsidP="005C6BAA">
      <w:pPr>
        <w:pStyle w:val="FootnoteText"/>
        <w:rPr>
          <w:szCs w:val="16"/>
        </w:rPr>
      </w:pPr>
      <w:r w:rsidRPr="00E80AED">
        <w:rPr>
          <w:rStyle w:val="FootnoteReference"/>
          <w:szCs w:val="16"/>
        </w:rPr>
        <w:footnoteRef/>
      </w:r>
      <w:r w:rsidRPr="00E80AED">
        <w:rPr>
          <w:szCs w:val="16"/>
        </w:rPr>
        <w:t xml:space="preserve"> The 2024 OSL Methodology paper includes more details on the OSL scope and the exclusion criteria. </w:t>
      </w:r>
    </w:p>
  </w:footnote>
  <w:footnote w:id="6">
    <w:p w14:paraId="42DB9970" w14:textId="77777777" w:rsidR="005C6BAA" w:rsidRDefault="005C6BAA" w:rsidP="005C6BAA">
      <w:pPr>
        <w:pStyle w:val="FootnoteText"/>
      </w:pPr>
      <w:r w:rsidRPr="00E80AED">
        <w:rPr>
          <w:rStyle w:val="FootnoteReference"/>
          <w:szCs w:val="16"/>
        </w:rPr>
        <w:footnoteRef/>
      </w:r>
      <w:r w:rsidRPr="00E80AED">
        <w:rPr>
          <w:szCs w:val="16"/>
        </w:rPr>
        <w:t xml:space="preserve"> Nec is</w:t>
      </w:r>
      <w:r w:rsidRPr="00E80AED" w:rsidDel="007A166D">
        <w:rPr>
          <w:szCs w:val="16"/>
        </w:rPr>
        <w:t xml:space="preserve"> </w:t>
      </w:r>
      <w:r w:rsidRPr="00E80AED">
        <w:rPr>
          <w:szCs w:val="16"/>
        </w:rPr>
        <w:t xml:space="preserve">an acronym for Not elsewhere classified. All occupations which are not separately identified in the ANZSCO classification structure are included in the 'nec' category of the 4-digit ANZSCO (unit group) to which they relate. Nec is used when there is a lack of numerical significance in Australia or New Zealand. See the Australian Bureau of Statistics </w:t>
      </w:r>
      <w:hyperlink r:id="rId2" w:history="1">
        <w:r w:rsidRPr="00E80AED">
          <w:rPr>
            <w:rStyle w:val="Hyperlink"/>
            <w:szCs w:val="16"/>
          </w:rPr>
          <w:t>website</w:t>
        </w:r>
      </w:hyperlink>
      <w:r w:rsidRPr="00E80AED">
        <w:rPr>
          <w:szCs w:val="16"/>
        </w:rPr>
        <w:t xml:space="preserve"> for more information. </w:t>
      </w:r>
    </w:p>
  </w:footnote>
  <w:footnote w:id="7">
    <w:p w14:paraId="7632757B" w14:textId="7D5CFA7B" w:rsidR="009C7E40" w:rsidRPr="00E80AED" w:rsidRDefault="009C7E40" w:rsidP="009C7E40">
      <w:pPr>
        <w:pStyle w:val="FootnoteText"/>
        <w:rPr>
          <w:szCs w:val="16"/>
        </w:rPr>
      </w:pPr>
      <w:r w:rsidRPr="00E80AED">
        <w:rPr>
          <w:rStyle w:val="FootnoteReference"/>
          <w:szCs w:val="16"/>
        </w:rPr>
        <w:footnoteRef/>
      </w:r>
      <w:r w:rsidRPr="00E80AED">
        <w:rPr>
          <w:szCs w:val="16"/>
        </w:rPr>
        <w:t xml:space="preserve"> Occupations rated as shortage in the OSL are based on many sources of information, including modelling, additional data analysis and research, results from </w:t>
      </w:r>
      <w:r w:rsidR="00663E62">
        <w:rPr>
          <w:szCs w:val="16"/>
        </w:rPr>
        <w:t>the</w:t>
      </w:r>
      <w:r w:rsidRPr="00E80AED">
        <w:rPr>
          <w:szCs w:val="16"/>
        </w:rPr>
        <w:t xml:space="preserve"> stakeholder survey and consultation with stakeholders. Worth noting is that the final rating is based on the collective body of evidence and not just findings from a single, particular source. </w:t>
      </w:r>
    </w:p>
  </w:footnote>
  <w:footnote w:id="8">
    <w:p w14:paraId="08D1F642" w14:textId="77777777" w:rsidR="009C7E40" w:rsidRDefault="009C7E40" w:rsidP="009C7E40">
      <w:pPr>
        <w:pStyle w:val="FootnoteText"/>
      </w:pPr>
      <w:r w:rsidRPr="00E80AED">
        <w:rPr>
          <w:rStyle w:val="FootnoteReference"/>
          <w:szCs w:val="16"/>
        </w:rPr>
        <w:footnoteRef/>
      </w:r>
      <w:r w:rsidRPr="00E80AED">
        <w:rPr>
          <w:szCs w:val="16"/>
        </w:rPr>
        <w:t xml:space="preserve"> There were 1,419 responses to the question, ‘For all the members and organisations you represent (including your own organisation), which proportion of vacancies were filled in the period January – December 2023?’.</w:t>
      </w:r>
    </w:p>
  </w:footnote>
  <w:footnote w:id="9">
    <w:p w14:paraId="6C394EAB" w14:textId="75C13D2D" w:rsidR="00AD613B" w:rsidRDefault="00AD613B" w:rsidP="00AD613B">
      <w:pPr>
        <w:pStyle w:val="FootnoteText"/>
      </w:pPr>
      <w:r>
        <w:rPr>
          <w:rStyle w:val="FootnoteReference"/>
        </w:rPr>
        <w:footnoteRef/>
      </w:r>
      <w:r>
        <w:t xml:space="preserve"> </w:t>
      </w:r>
      <w:r w:rsidRPr="00B747F2">
        <w:t xml:space="preserve">For ease of reporting and visualising, ANZSCO major groups in </w:t>
      </w:r>
      <w:r w:rsidR="00E34B83">
        <w:t xml:space="preserve">Figure </w:t>
      </w:r>
      <w:r w:rsidR="00E34B83">
        <w:fldChar w:fldCharType="begin"/>
      </w:r>
      <w:r w:rsidR="00E34B83">
        <w:instrText xml:space="preserve"> SEQ Figure \* ARABIC </w:instrText>
      </w:r>
      <w:r w:rsidR="00E34B83">
        <w:fldChar w:fldCharType="separate"/>
      </w:r>
      <w:r w:rsidR="000D2208">
        <w:rPr>
          <w:b/>
          <w:bCs/>
          <w:noProof/>
          <w:lang w:val="en-US"/>
        </w:rPr>
        <w:t>Error! Main Document Only.</w:t>
      </w:r>
      <w:r w:rsidR="00E34B83">
        <w:fldChar w:fldCharType="end"/>
      </w:r>
      <w:r w:rsidR="00E34B83">
        <w:t xml:space="preserve"> </w:t>
      </w:r>
      <w:r w:rsidRPr="00B747F2">
        <w:t>have been ordered from lowest-to-highest percentage of responses for the category, low proportion of vacancies filled (rather than by ANZSCO number).</w:t>
      </w:r>
    </w:p>
  </w:footnote>
  <w:footnote w:id="10">
    <w:p w14:paraId="2A5016AD" w14:textId="7C7D5CC1" w:rsidR="00E21569" w:rsidRDefault="00E21569" w:rsidP="00E21569">
      <w:pPr>
        <w:pStyle w:val="FootnoteText"/>
      </w:pPr>
      <w:r>
        <w:rPr>
          <w:rStyle w:val="FootnoteReference"/>
        </w:rPr>
        <w:footnoteRef/>
      </w:r>
      <w:r>
        <w:t xml:space="preserve"> </w:t>
      </w:r>
      <w:r w:rsidRPr="005E5C22">
        <w:t xml:space="preserve">For ease of reporting and visualising, </w:t>
      </w:r>
      <w:r>
        <w:t xml:space="preserve">the states and territories </w:t>
      </w:r>
      <w:r w:rsidRPr="005E5C22">
        <w:t xml:space="preserve">in </w:t>
      </w:r>
      <w:r w:rsidRPr="00E33E8E">
        <w:fldChar w:fldCharType="begin"/>
      </w:r>
      <w:r w:rsidRPr="00E33E8E">
        <w:instrText xml:space="preserve"> REF _Ref169818284 \h </w:instrText>
      </w:r>
      <w:r>
        <w:instrText xml:space="preserve"> \* MERGEFORMAT </w:instrText>
      </w:r>
      <w:r w:rsidRPr="00E33E8E">
        <w:fldChar w:fldCharType="separate"/>
      </w:r>
      <w:r w:rsidR="000D2208" w:rsidRPr="00276822">
        <w:t xml:space="preserve">Figure </w:t>
      </w:r>
      <w:r w:rsidR="000D2208">
        <w:rPr>
          <w:noProof/>
        </w:rPr>
        <w:t>2</w:t>
      </w:r>
      <w:r w:rsidRPr="00E33E8E">
        <w:fldChar w:fldCharType="end"/>
      </w:r>
      <w:r w:rsidRPr="005E5C22">
        <w:t xml:space="preserve"> have been ordered from lowest-to-highest percentage of responses for the category, low proportion of vacancies filled (rather than by </w:t>
      </w:r>
      <w:r>
        <w:t>the size of jurisdiction as is normally done in the OSL</w:t>
      </w:r>
      <w:r w:rsidRPr="005E5C22">
        <w:t>).</w:t>
      </w:r>
    </w:p>
  </w:footnote>
  <w:footnote w:id="11">
    <w:p w14:paraId="78D22719" w14:textId="77777777" w:rsidR="00C32462" w:rsidRDefault="00C32462" w:rsidP="00C32462">
      <w:pPr>
        <w:pStyle w:val="FootnoteText"/>
      </w:pPr>
      <w:r>
        <w:rPr>
          <w:rStyle w:val="FootnoteReference"/>
        </w:rPr>
        <w:footnoteRef/>
      </w:r>
      <w:r>
        <w:t xml:space="preserve"> There were 624 responses to the question, ‘</w:t>
      </w:r>
      <w:r w:rsidRPr="0015131D">
        <w:t>Select the level of suitably skilled workers for the period January – December 2023</w:t>
      </w:r>
      <w:r>
        <w:t xml:space="preserve">’. </w:t>
      </w:r>
    </w:p>
  </w:footnote>
  <w:footnote w:id="12">
    <w:p w14:paraId="3132E81D" w14:textId="133A26E7" w:rsidR="00C32462" w:rsidRDefault="00C32462" w:rsidP="00C32462">
      <w:pPr>
        <w:pStyle w:val="FootnoteText"/>
      </w:pPr>
      <w:r>
        <w:rPr>
          <w:rStyle w:val="FootnoteReference"/>
        </w:rPr>
        <w:footnoteRef/>
      </w:r>
      <w:r>
        <w:t xml:space="preserve"> </w:t>
      </w:r>
      <w:r w:rsidRPr="005E5C22">
        <w:t xml:space="preserve">For ease of reporting and visualising, </w:t>
      </w:r>
      <w:r>
        <w:t xml:space="preserve">the major groups </w:t>
      </w:r>
      <w:r w:rsidRPr="005E5C22">
        <w:t xml:space="preserve">in </w:t>
      </w:r>
      <w:r>
        <w:fldChar w:fldCharType="begin"/>
      </w:r>
      <w:r>
        <w:instrText xml:space="preserve"> REF _Ref169743181 \h  \* MERGEFORMAT </w:instrText>
      </w:r>
      <w:r>
        <w:fldChar w:fldCharType="separate"/>
      </w:r>
      <w:r w:rsidR="000D2208" w:rsidRPr="00276822">
        <w:t xml:space="preserve">Figure </w:t>
      </w:r>
      <w:r w:rsidR="000D2208">
        <w:t>5</w:t>
      </w:r>
      <w:r>
        <w:fldChar w:fldCharType="end"/>
      </w:r>
      <w:r>
        <w:t xml:space="preserve"> </w:t>
      </w:r>
      <w:r w:rsidRPr="005E5C22">
        <w:t xml:space="preserve">have been ordered from lowest-to-highest percentage of responses for the category, </w:t>
      </w:r>
      <w:r>
        <w:t>undersupply of skills</w:t>
      </w:r>
      <w:r w:rsidRPr="005E5C22">
        <w:t xml:space="preserve"> (rather than </w:t>
      </w:r>
      <w:r>
        <w:t>ANZSCO number</w:t>
      </w:r>
      <w:r w:rsidRPr="005E5C22">
        <w:t>).</w:t>
      </w:r>
    </w:p>
  </w:footnote>
  <w:footnote w:id="13">
    <w:p w14:paraId="08FF6818" w14:textId="77777777" w:rsidR="00C32462" w:rsidRPr="00F64F4C" w:rsidRDefault="00C32462" w:rsidP="00C32462">
      <w:pPr>
        <w:pStyle w:val="FootnoteText"/>
        <w:rPr>
          <w:color w:val="auto"/>
        </w:rPr>
      </w:pPr>
      <w:r>
        <w:rPr>
          <w:rStyle w:val="FootnoteReference"/>
        </w:rPr>
        <w:footnoteRef/>
      </w:r>
      <w:r>
        <w:t xml:space="preserve"> </w:t>
      </w:r>
      <w:r w:rsidRPr="00F64F4C">
        <w:rPr>
          <w:color w:val="auto"/>
        </w:rPr>
        <w:t xml:space="preserve">There were </w:t>
      </w:r>
      <w:r>
        <w:rPr>
          <w:color w:val="auto"/>
        </w:rPr>
        <w:t>193</w:t>
      </w:r>
      <w:r w:rsidRPr="00F64F4C">
        <w:rPr>
          <w:color w:val="auto"/>
        </w:rPr>
        <w:t xml:space="preserve"> responses used for these calculations. There were </w:t>
      </w:r>
      <w:r>
        <w:rPr>
          <w:color w:val="auto"/>
        </w:rPr>
        <w:t>199</w:t>
      </w:r>
      <w:r w:rsidRPr="00F64F4C">
        <w:rPr>
          <w:color w:val="auto"/>
        </w:rPr>
        <w:t xml:space="preserve"> responses to at least one of the questions, 'How many vacancies were advertised for the period January – December 2023?' and 'How many of those advertised vacancies were filled?'. In total </w:t>
      </w:r>
      <w:r>
        <w:rPr>
          <w:color w:val="auto"/>
        </w:rPr>
        <w:t>6</w:t>
      </w:r>
      <w:r w:rsidRPr="00F64F4C">
        <w:rPr>
          <w:color w:val="auto"/>
        </w:rPr>
        <w:t xml:space="preserve"> responses were excluded: 3 because the number of vacancies filled exceeded the number advertised; and </w:t>
      </w:r>
      <w:r>
        <w:rPr>
          <w:color w:val="auto"/>
        </w:rPr>
        <w:t>3</w:t>
      </w:r>
      <w:r w:rsidRPr="00F64F4C">
        <w:rPr>
          <w:color w:val="auto"/>
        </w:rPr>
        <w:t xml:space="preserve"> because they reported zero vacancies.</w:t>
      </w:r>
    </w:p>
  </w:footnote>
  <w:footnote w:id="14">
    <w:p w14:paraId="4949261A" w14:textId="22B6937D" w:rsidR="00C32462" w:rsidRPr="00F64F4C" w:rsidRDefault="00C32462" w:rsidP="00C32462">
      <w:pPr>
        <w:pStyle w:val="FootnoteText"/>
        <w:rPr>
          <w:color w:val="auto"/>
        </w:rPr>
      </w:pPr>
      <w:r w:rsidRPr="00F64F4C">
        <w:rPr>
          <w:rStyle w:val="FootnoteReference"/>
          <w:color w:val="auto"/>
        </w:rPr>
        <w:footnoteRef/>
      </w:r>
      <w:r w:rsidRPr="00F64F4C">
        <w:rPr>
          <w:color w:val="auto"/>
        </w:rPr>
        <w:t xml:space="preserve"> A vacancy fill rate is the percentage of advertised vacancies that are filled by employers. This is the key proxy measure of occupation shortage used by Jobs and Skills Australia. It is upon this measure that assessments are made to determine whether fill rates indicate an occupation shortage or not.</w:t>
      </w:r>
    </w:p>
  </w:footnote>
  <w:footnote w:id="15">
    <w:p w14:paraId="164794EE" w14:textId="20C63002" w:rsidR="00C32462" w:rsidRDefault="00C32462" w:rsidP="00C32462">
      <w:pPr>
        <w:pStyle w:val="FootnoteText"/>
      </w:pPr>
      <w:r>
        <w:rPr>
          <w:rStyle w:val="FootnoteReference"/>
        </w:rPr>
        <w:footnoteRef/>
      </w:r>
      <w:r>
        <w:t xml:space="preserve"> The weights are based on employment levels based on the</w:t>
      </w:r>
      <w:r w:rsidRPr="00953D9E">
        <w:t xml:space="preserve"> </w:t>
      </w:r>
      <w:r w:rsidR="00876B01">
        <w:t>A</w:t>
      </w:r>
      <w:r w:rsidR="009A3B29">
        <w:t xml:space="preserve">ustralian </w:t>
      </w:r>
      <w:r w:rsidR="00876B01">
        <w:t>B</w:t>
      </w:r>
      <w:r w:rsidR="009A3B29">
        <w:t xml:space="preserve">ureau of </w:t>
      </w:r>
      <w:r w:rsidR="00876B01">
        <w:t>S</w:t>
      </w:r>
      <w:r w:rsidR="009A3B29">
        <w:t>tatistics</w:t>
      </w:r>
      <w:r w:rsidR="00876B01">
        <w:t xml:space="preserve">, </w:t>
      </w:r>
      <w:r w:rsidRPr="00953D9E">
        <w:rPr>
          <w:rFonts w:cs="Arial"/>
          <w:color w:val="auto"/>
        </w:rPr>
        <w:t>2021 Census of Population and Housing.</w:t>
      </w:r>
      <w:r>
        <w:rPr>
          <w:rFonts w:cs="Arial"/>
          <w:color w:val="auto"/>
        </w:rPr>
        <w:t xml:space="preserve"> The employment levels were based on the experimental 2022 ANZSCO figures.</w:t>
      </w:r>
    </w:p>
  </w:footnote>
  <w:footnote w:id="16">
    <w:p w14:paraId="53292E00" w14:textId="20B5F36F" w:rsidR="00C32462" w:rsidRDefault="00C32462" w:rsidP="00C32462">
      <w:pPr>
        <w:pStyle w:val="FootnoteText"/>
      </w:pPr>
      <w:r w:rsidRPr="00F64F4C">
        <w:rPr>
          <w:rStyle w:val="FootnoteReference"/>
          <w:color w:val="auto"/>
        </w:rPr>
        <w:footnoteRef/>
      </w:r>
      <w:r w:rsidRPr="00F64F4C">
        <w:rPr>
          <w:color w:val="auto"/>
        </w:rPr>
        <w:t xml:space="preserve"> An occupation is defined as being in shortage using the following rules: occupation fill rate is below 67% in both metro and regional areas; and occupation fill rate is below 67% in an area that has majority employment share. </w:t>
      </w:r>
      <w:r>
        <w:rPr>
          <w:color w:val="auto"/>
        </w:rPr>
        <w:t xml:space="preserve">There are other rules and steps involved in occupation assessments. </w:t>
      </w:r>
      <w:r w:rsidRPr="00F64F4C">
        <w:rPr>
          <w:color w:val="auto"/>
        </w:rPr>
        <w:t xml:space="preserve">More details on the occupation shortage </w:t>
      </w:r>
      <w:r>
        <w:t>definitions and steps used to produce the OSL are in the 2024 OSL Methodology paper.</w:t>
      </w:r>
    </w:p>
  </w:footnote>
  <w:footnote w:id="17">
    <w:p w14:paraId="6DD69109" w14:textId="25E865B6" w:rsidR="00C32462" w:rsidRDefault="00C32462" w:rsidP="00C32462">
      <w:pPr>
        <w:pStyle w:val="FootnoteText"/>
      </w:pPr>
      <w:r w:rsidRPr="004E58C8">
        <w:rPr>
          <w:rStyle w:val="FootnoteReference"/>
        </w:rPr>
        <w:footnoteRef/>
      </w:r>
      <w:r w:rsidRPr="0012007B">
        <w:rPr>
          <w:rStyle w:val="FootnoteReference"/>
        </w:rPr>
        <w:t xml:space="preserve"> </w:t>
      </w:r>
      <w:r w:rsidRPr="005E5C22">
        <w:t xml:space="preserve">For ease of reporting and visualising, </w:t>
      </w:r>
      <w:r>
        <w:t xml:space="preserve">the major groups </w:t>
      </w:r>
      <w:r w:rsidRPr="005E5C22">
        <w:t>in</w:t>
      </w:r>
      <w:r>
        <w:t xml:space="preserve"> </w:t>
      </w:r>
      <w:r>
        <w:fldChar w:fldCharType="begin"/>
      </w:r>
      <w:r>
        <w:instrText xml:space="preserve"> REF _Ref169745226 \h  \* MERGEFORMAT </w:instrText>
      </w:r>
      <w:r>
        <w:fldChar w:fldCharType="separate"/>
      </w:r>
      <w:r w:rsidR="000D2208" w:rsidRPr="00276822">
        <w:t xml:space="preserve">Figure </w:t>
      </w:r>
      <w:r w:rsidR="000D2208">
        <w:t>6</w:t>
      </w:r>
      <w:r>
        <w:fldChar w:fldCharType="end"/>
      </w:r>
      <w:r w:rsidRPr="005E5C22">
        <w:t xml:space="preserve"> have been ordered from lowest-to-highest </w:t>
      </w:r>
      <w:r>
        <w:t>number</w:t>
      </w:r>
      <w:r w:rsidRPr="005E5C22">
        <w:t xml:space="preserve"> of responses for the category, </w:t>
      </w:r>
      <w:r>
        <w:t xml:space="preserve">fill rate &lt; 67% </w:t>
      </w:r>
      <w:r w:rsidRPr="005E5C22">
        <w:t xml:space="preserve">(rather than </w:t>
      </w:r>
      <w:r>
        <w:t>ANZSCO number</w:t>
      </w:r>
      <w:r w:rsidRPr="005E5C22">
        <w:t>).</w:t>
      </w:r>
    </w:p>
  </w:footnote>
  <w:footnote w:id="18">
    <w:p w14:paraId="5B86FAB5" w14:textId="77777777" w:rsidR="00C32462" w:rsidRPr="00E11CB2" w:rsidRDefault="00C32462" w:rsidP="00C32462">
      <w:pPr>
        <w:pStyle w:val="FootnoteText"/>
      </w:pPr>
      <w:r>
        <w:rPr>
          <w:rStyle w:val="FootnoteReference"/>
        </w:rPr>
        <w:footnoteRef/>
      </w:r>
      <w:r>
        <w:t xml:space="preserve"> There we</w:t>
      </w:r>
      <w:r w:rsidRPr="00E70B85">
        <w:rPr>
          <w:color w:val="auto"/>
        </w:rPr>
        <w:t xml:space="preserve">re </w:t>
      </w:r>
      <w:r>
        <w:rPr>
          <w:color w:val="auto"/>
        </w:rPr>
        <w:t>246</w:t>
      </w:r>
      <w:r w:rsidRPr="00E70B85">
        <w:rPr>
          <w:color w:val="auto"/>
        </w:rPr>
        <w:t xml:space="preserve"> responses </w:t>
      </w:r>
      <w:r>
        <w:t>to the question, ‘</w:t>
      </w:r>
      <w:r w:rsidRPr="008E050B">
        <w:t>Which reasons were the main ones the vacancies were not filled?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999C" w14:textId="5F1B0228" w:rsidR="00A8077F" w:rsidRDefault="00A8077F">
    <w:pPr>
      <w:pStyle w:val="Header"/>
    </w:pPr>
    <w:r>
      <w:t>Australian Government Jobs and Skills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AFDE" w14:textId="3670767A" w:rsidR="00DA463C" w:rsidRPr="00DA463C" w:rsidRDefault="00DA463C" w:rsidP="00DA4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912068A"/>
    <w:multiLevelType w:val="hybridMultilevel"/>
    <w:tmpl w:val="02BAD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5"/>
  </w:num>
  <w:num w:numId="2" w16cid:durableId="1668050683">
    <w:abstractNumId w:val="11"/>
  </w:num>
  <w:num w:numId="3" w16cid:durableId="1683042470">
    <w:abstractNumId w:val="6"/>
  </w:num>
  <w:num w:numId="4" w16cid:durableId="133523604">
    <w:abstractNumId w:val="13"/>
  </w:num>
  <w:num w:numId="5" w16cid:durableId="1994024302">
    <w:abstractNumId w:val="14"/>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 w:numId="16" w16cid:durableId="1387990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126C2"/>
    <w:rsid w:val="00022BA7"/>
    <w:rsid w:val="00025BD0"/>
    <w:rsid w:val="000261A3"/>
    <w:rsid w:val="0003316F"/>
    <w:rsid w:val="00037EB9"/>
    <w:rsid w:val="000404CE"/>
    <w:rsid w:val="0004100D"/>
    <w:rsid w:val="00041073"/>
    <w:rsid w:val="00042611"/>
    <w:rsid w:val="00044AC3"/>
    <w:rsid w:val="0004694F"/>
    <w:rsid w:val="000470F5"/>
    <w:rsid w:val="00050AF9"/>
    <w:rsid w:val="00051330"/>
    <w:rsid w:val="00051CBE"/>
    <w:rsid w:val="00052928"/>
    <w:rsid w:val="0005518A"/>
    <w:rsid w:val="0005530D"/>
    <w:rsid w:val="000572BD"/>
    <w:rsid w:val="00060EBB"/>
    <w:rsid w:val="0007792F"/>
    <w:rsid w:val="00082868"/>
    <w:rsid w:val="00086F48"/>
    <w:rsid w:val="00087275"/>
    <w:rsid w:val="00090416"/>
    <w:rsid w:val="000905B1"/>
    <w:rsid w:val="00093F7D"/>
    <w:rsid w:val="00095E11"/>
    <w:rsid w:val="00096E71"/>
    <w:rsid w:val="000A145A"/>
    <w:rsid w:val="000A7F1E"/>
    <w:rsid w:val="000B1352"/>
    <w:rsid w:val="000B4743"/>
    <w:rsid w:val="000B6324"/>
    <w:rsid w:val="000B7FD8"/>
    <w:rsid w:val="000C0BA2"/>
    <w:rsid w:val="000C271C"/>
    <w:rsid w:val="000C3B32"/>
    <w:rsid w:val="000D2208"/>
    <w:rsid w:val="000D5FCE"/>
    <w:rsid w:val="000D6745"/>
    <w:rsid w:val="000E38BA"/>
    <w:rsid w:val="000E4ACA"/>
    <w:rsid w:val="000E5D2F"/>
    <w:rsid w:val="000E7042"/>
    <w:rsid w:val="000F7280"/>
    <w:rsid w:val="00101FBF"/>
    <w:rsid w:val="00102DE9"/>
    <w:rsid w:val="00102E32"/>
    <w:rsid w:val="001134ED"/>
    <w:rsid w:val="0012366F"/>
    <w:rsid w:val="00123DFA"/>
    <w:rsid w:val="0012495B"/>
    <w:rsid w:val="00124D9E"/>
    <w:rsid w:val="00125C36"/>
    <w:rsid w:val="001306D6"/>
    <w:rsid w:val="001306E0"/>
    <w:rsid w:val="00131E99"/>
    <w:rsid w:val="001375CC"/>
    <w:rsid w:val="00142242"/>
    <w:rsid w:val="00143208"/>
    <w:rsid w:val="001516BF"/>
    <w:rsid w:val="001534EA"/>
    <w:rsid w:val="00164614"/>
    <w:rsid w:val="0017574A"/>
    <w:rsid w:val="00175949"/>
    <w:rsid w:val="00186DC1"/>
    <w:rsid w:val="00192B87"/>
    <w:rsid w:val="00192BED"/>
    <w:rsid w:val="0019476C"/>
    <w:rsid w:val="00196AB6"/>
    <w:rsid w:val="001A2184"/>
    <w:rsid w:val="001A22A8"/>
    <w:rsid w:val="001A22E7"/>
    <w:rsid w:val="001B7035"/>
    <w:rsid w:val="001B7F1C"/>
    <w:rsid w:val="001C0CB2"/>
    <w:rsid w:val="001C0D18"/>
    <w:rsid w:val="001C381D"/>
    <w:rsid w:val="001C4C00"/>
    <w:rsid w:val="001C6BA8"/>
    <w:rsid w:val="001D3D1B"/>
    <w:rsid w:val="001D4E40"/>
    <w:rsid w:val="001E0923"/>
    <w:rsid w:val="001E4423"/>
    <w:rsid w:val="001E56C1"/>
    <w:rsid w:val="001E58C4"/>
    <w:rsid w:val="001F108B"/>
    <w:rsid w:val="001F36D6"/>
    <w:rsid w:val="001F59D3"/>
    <w:rsid w:val="00201372"/>
    <w:rsid w:val="00201984"/>
    <w:rsid w:val="00202ED7"/>
    <w:rsid w:val="00204C08"/>
    <w:rsid w:val="00206249"/>
    <w:rsid w:val="00210680"/>
    <w:rsid w:val="00215EEC"/>
    <w:rsid w:val="002210CC"/>
    <w:rsid w:val="002245FC"/>
    <w:rsid w:val="0023157C"/>
    <w:rsid w:val="00233A75"/>
    <w:rsid w:val="00237C01"/>
    <w:rsid w:val="0024392D"/>
    <w:rsid w:val="00244550"/>
    <w:rsid w:val="00245FE1"/>
    <w:rsid w:val="0024685C"/>
    <w:rsid w:val="002618DF"/>
    <w:rsid w:val="00261B4C"/>
    <w:rsid w:val="00261D00"/>
    <w:rsid w:val="002633D9"/>
    <w:rsid w:val="002662FE"/>
    <w:rsid w:val="00280AC6"/>
    <w:rsid w:val="002824C3"/>
    <w:rsid w:val="00282F57"/>
    <w:rsid w:val="00287FC8"/>
    <w:rsid w:val="002927DB"/>
    <w:rsid w:val="002950ED"/>
    <w:rsid w:val="00296166"/>
    <w:rsid w:val="002A4B17"/>
    <w:rsid w:val="002C30E8"/>
    <w:rsid w:val="002C494D"/>
    <w:rsid w:val="002D1C7B"/>
    <w:rsid w:val="002D21EA"/>
    <w:rsid w:val="002D5A65"/>
    <w:rsid w:val="002D5B69"/>
    <w:rsid w:val="002D68E2"/>
    <w:rsid w:val="002E0E18"/>
    <w:rsid w:val="002E5983"/>
    <w:rsid w:val="002E5B03"/>
    <w:rsid w:val="002E6E2F"/>
    <w:rsid w:val="002F3EB5"/>
    <w:rsid w:val="002F40AF"/>
    <w:rsid w:val="002F5690"/>
    <w:rsid w:val="002F5E11"/>
    <w:rsid w:val="002F7B19"/>
    <w:rsid w:val="003060CC"/>
    <w:rsid w:val="00306575"/>
    <w:rsid w:val="00306C0E"/>
    <w:rsid w:val="00310CA1"/>
    <w:rsid w:val="003122CC"/>
    <w:rsid w:val="00313B29"/>
    <w:rsid w:val="00314E27"/>
    <w:rsid w:val="00323B9A"/>
    <w:rsid w:val="00327AB4"/>
    <w:rsid w:val="00331E39"/>
    <w:rsid w:val="00334D1B"/>
    <w:rsid w:val="003369B7"/>
    <w:rsid w:val="0033752C"/>
    <w:rsid w:val="003453FE"/>
    <w:rsid w:val="0035131B"/>
    <w:rsid w:val="00366923"/>
    <w:rsid w:val="00367AFE"/>
    <w:rsid w:val="003708C1"/>
    <w:rsid w:val="00374E1D"/>
    <w:rsid w:val="00377897"/>
    <w:rsid w:val="00385788"/>
    <w:rsid w:val="00385ABF"/>
    <w:rsid w:val="00385F87"/>
    <w:rsid w:val="0039047E"/>
    <w:rsid w:val="0039115D"/>
    <w:rsid w:val="003926FD"/>
    <w:rsid w:val="00397477"/>
    <w:rsid w:val="003A2337"/>
    <w:rsid w:val="003A6449"/>
    <w:rsid w:val="003B1679"/>
    <w:rsid w:val="003B321E"/>
    <w:rsid w:val="003B3ED8"/>
    <w:rsid w:val="003B474F"/>
    <w:rsid w:val="003D2077"/>
    <w:rsid w:val="003D48E5"/>
    <w:rsid w:val="003E0796"/>
    <w:rsid w:val="003E0B70"/>
    <w:rsid w:val="003E3395"/>
    <w:rsid w:val="003E66A5"/>
    <w:rsid w:val="003E7A84"/>
    <w:rsid w:val="003F1578"/>
    <w:rsid w:val="003F30FB"/>
    <w:rsid w:val="003F4510"/>
    <w:rsid w:val="003F715C"/>
    <w:rsid w:val="00403976"/>
    <w:rsid w:val="00404973"/>
    <w:rsid w:val="0041316B"/>
    <w:rsid w:val="00414490"/>
    <w:rsid w:val="00414A4A"/>
    <w:rsid w:val="00417674"/>
    <w:rsid w:val="00422AD4"/>
    <w:rsid w:val="00424FC3"/>
    <w:rsid w:val="00431BE4"/>
    <w:rsid w:val="00431BFC"/>
    <w:rsid w:val="004328EA"/>
    <w:rsid w:val="004376FB"/>
    <w:rsid w:val="00440C82"/>
    <w:rsid w:val="00440F0F"/>
    <w:rsid w:val="004440ED"/>
    <w:rsid w:val="004457F0"/>
    <w:rsid w:val="004471FF"/>
    <w:rsid w:val="00451327"/>
    <w:rsid w:val="00451B5F"/>
    <w:rsid w:val="00452532"/>
    <w:rsid w:val="00465736"/>
    <w:rsid w:val="00467C84"/>
    <w:rsid w:val="004773D3"/>
    <w:rsid w:val="004959E6"/>
    <w:rsid w:val="004A6C8B"/>
    <w:rsid w:val="004B6E42"/>
    <w:rsid w:val="004C542A"/>
    <w:rsid w:val="004C6C1E"/>
    <w:rsid w:val="004C705B"/>
    <w:rsid w:val="004D02CB"/>
    <w:rsid w:val="004D0F14"/>
    <w:rsid w:val="004D22A5"/>
    <w:rsid w:val="004D24DB"/>
    <w:rsid w:val="004D3224"/>
    <w:rsid w:val="004D3A08"/>
    <w:rsid w:val="004D6F4F"/>
    <w:rsid w:val="004E0B8B"/>
    <w:rsid w:val="004E3B43"/>
    <w:rsid w:val="004E7D8C"/>
    <w:rsid w:val="004F2369"/>
    <w:rsid w:val="004F4C41"/>
    <w:rsid w:val="004F5082"/>
    <w:rsid w:val="004F6E39"/>
    <w:rsid w:val="00506CD7"/>
    <w:rsid w:val="005109B7"/>
    <w:rsid w:val="00510E28"/>
    <w:rsid w:val="00513816"/>
    <w:rsid w:val="00513C8F"/>
    <w:rsid w:val="0051507F"/>
    <w:rsid w:val="00517367"/>
    <w:rsid w:val="00525AD7"/>
    <w:rsid w:val="005321EE"/>
    <w:rsid w:val="00532929"/>
    <w:rsid w:val="00535972"/>
    <w:rsid w:val="00535B10"/>
    <w:rsid w:val="005411A8"/>
    <w:rsid w:val="00543D06"/>
    <w:rsid w:val="005446B5"/>
    <w:rsid w:val="005522A8"/>
    <w:rsid w:val="005533B5"/>
    <w:rsid w:val="005553CE"/>
    <w:rsid w:val="005600C2"/>
    <w:rsid w:val="00567E50"/>
    <w:rsid w:val="0057143D"/>
    <w:rsid w:val="00572133"/>
    <w:rsid w:val="00574D69"/>
    <w:rsid w:val="00575E9A"/>
    <w:rsid w:val="00583177"/>
    <w:rsid w:val="00584E9E"/>
    <w:rsid w:val="005850A0"/>
    <w:rsid w:val="00587791"/>
    <w:rsid w:val="00592584"/>
    <w:rsid w:val="005964AC"/>
    <w:rsid w:val="00597EF7"/>
    <w:rsid w:val="005A0B81"/>
    <w:rsid w:val="005A2035"/>
    <w:rsid w:val="005A2862"/>
    <w:rsid w:val="005B2318"/>
    <w:rsid w:val="005B5A7A"/>
    <w:rsid w:val="005B60AC"/>
    <w:rsid w:val="005C1000"/>
    <w:rsid w:val="005C2CB9"/>
    <w:rsid w:val="005C541A"/>
    <w:rsid w:val="005C5509"/>
    <w:rsid w:val="005C5BF0"/>
    <w:rsid w:val="005C6471"/>
    <w:rsid w:val="005C6BAA"/>
    <w:rsid w:val="005D467D"/>
    <w:rsid w:val="005D4AEC"/>
    <w:rsid w:val="005D6DFD"/>
    <w:rsid w:val="005E11B1"/>
    <w:rsid w:val="005E18D8"/>
    <w:rsid w:val="005E6E30"/>
    <w:rsid w:val="005F1E8D"/>
    <w:rsid w:val="005F2573"/>
    <w:rsid w:val="005F635B"/>
    <w:rsid w:val="00601D23"/>
    <w:rsid w:val="006029D6"/>
    <w:rsid w:val="00602AD9"/>
    <w:rsid w:val="00605004"/>
    <w:rsid w:val="006066C4"/>
    <w:rsid w:val="00613044"/>
    <w:rsid w:val="0062100E"/>
    <w:rsid w:val="00631632"/>
    <w:rsid w:val="00635255"/>
    <w:rsid w:val="00637822"/>
    <w:rsid w:val="0064002D"/>
    <w:rsid w:val="00642A9A"/>
    <w:rsid w:val="00645FF3"/>
    <w:rsid w:val="006514E4"/>
    <w:rsid w:val="006529AD"/>
    <w:rsid w:val="00655BCA"/>
    <w:rsid w:val="006606E0"/>
    <w:rsid w:val="00662715"/>
    <w:rsid w:val="00663E62"/>
    <w:rsid w:val="00664E09"/>
    <w:rsid w:val="006670A4"/>
    <w:rsid w:val="00671BF2"/>
    <w:rsid w:val="00673243"/>
    <w:rsid w:val="00677034"/>
    <w:rsid w:val="006809D3"/>
    <w:rsid w:val="00680F2F"/>
    <w:rsid w:val="00683B9A"/>
    <w:rsid w:val="00683F7A"/>
    <w:rsid w:val="00686C4F"/>
    <w:rsid w:val="00693BA4"/>
    <w:rsid w:val="00693E00"/>
    <w:rsid w:val="006B6736"/>
    <w:rsid w:val="006B6C94"/>
    <w:rsid w:val="006C06BF"/>
    <w:rsid w:val="006C282B"/>
    <w:rsid w:val="006C2D0B"/>
    <w:rsid w:val="006D2345"/>
    <w:rsid w:val="006D3281"/>
    <w:rsid w:val="006E1136"/>
    <w:rsid w:val="006E5DEA"/>
    <w:rsid w:val="006E682F"/>
    <w:rsid w:val="006F2171"/>
    <w:rsid w:val="006F5AFF"/>
    <w:rsid w:val="006F6CE7"/>
    <w:rsid w:val="006F7520"/>
    <w:rsid w:val="00702CB5"/>
    <w:rsid w:val="00703260"/>
    <w:rsid w:val="0070399A"/>
    <w:rsid w:val="00705775"/>
    <w:rsid w:val="00706431"/>
    <w:rsid w:val="00707598"/>
    <w:rsid w:val="00710DAA"/>
    <w:rsid w:val="007117F1"/>
    <w:rsid w:val="007119BB"/>
    <w:rsid w:val="007125AB"/>
    <w:rsid w:val="00716D79"/>
    <w:rsid w:val="00717636"/>
    <w:rsid w:val="007177A7"/>
    <w:rsid w:val="0072540A"/>
    <w:rsid w:val="0072616C"/>
    <w:rsid w:val="00731500"/>
    <w:rsid w:val="0073513A"/>
    <w:rsid w:val="007371B3"/>
    <w:rsid w:val="007374F9"/>
    <w:rsid w:val="00741895"/>
    <w:rsid w:val="00746A43"/>
    <w:rsid w:val="00754AB9"/>
    <w:rsid w:val="007563EE"/>
    <w:rsid w:val="00756E24"/>
    <w:rsid w:val="007576ED"/>
    <w:rsid w:val="00767C3A"/>
    <w:rsid w:val="00775C0E"/>
    <w:rsid w:val="00782490"/>
    <w:rsid w:val="00782FCF"/>
    <w:rsid w:val="007866FA"/>
    <w:rsid w:val="00797A3D"/>
    <w:rsid w:val="007A12F9"/>
    <w:rsid w:val="007A391B"/>
    <w:rsid w:val="007A3F61"/>
    <w:rsid w:val="007A5668"/>
    <w:rsid w:val="007A64A5"/>
    <w:rsid w:val="007A7572"/>
    <w:rsid w:val="007B0EC1"/>
    <w:rsid w:val="007B100A"/>
    <w:rsid w:val="007B15E1"/>
    <w:rsid w:val="007B21A5"/>
    <w:rsid w:val="007B2AD6"/>
    <w:rsid w:val="007B3938"/>
    <w:rsid w:val="007B6D60"/>
    <w:rsid w:val="007C2CE2"/>
    <w:rsid w:val="007C6AEC"/>
    <w:rsid w:val="007C70B3"/>
    <w:rsid w:val="007D2404"/>
    <w:rsid w:val="007D4ED8"/>
    <w:rsid w:val="007D799D"/>
    <w:rsid w:val="007E019B"/>
    <w:rsid w:val="007E6109"/>
    <w:rsid w:val="007F7DBD"/>
    <w:rsid w:val="00802F0D"/>
    <w:rsid w:val="008040B3"/>
    <w:rsid w:val="00810BCF"/>
    <w:rsid w:val="0081136A"/>
    <w:rsid w:val="00811B37"/>
    <w:rsid w:val="008139CC"/>
    <w:rsid w:val="00814D30"/>
    <w:rsid w:val="00815179"/>
    <w:rsid w:val="00817562"/>
    <w:rsid w:val="0082794E"/>
    <w:rsid w:val="00832805"/>
    <w:rsid w:val="00833DD6"/>
    <w:rsid w:val="00837EDC"/>
    <w:rsid w:val="00840DAA"/>
    <w:rsid w:val="0084197B"/>
    <w:rsid w:val="00843AA3"/>
    <w:rsid w:val="00843BC9"/>
    <w:rsid w:val="0084740A"/>
    <w:rsid w:val="00857878"/>
    <w:rsid w:val="00857E1B"/>
    <w:rsid w:val="00861259"/>
    <w:rsid w:val="008634C2"/>
    <w:rsid w:val="008636D9"/>
    <w:rsid w:val="00864EEA"/>
    <w:rsid w:val="00865E4F"/>
    <w:rsid w:val="00866663"/>
    <w:rsid w:val="00866A6F"/>
    <w:rsid w:val="008709F3"/>
    <w:rsid w:val="00873BE7"/>
    <w:rsid w:val="00876B01"/>
    <w:rsid w:val="00876CFE"/>
    <w:rsid w:val="0087706C"/>
    <w:rsid w:val="00886A15"/>
    <w:rsid w:val="00887193"/>
    <w:rsid w:val="00887416"/>
    <w:rsid w:val="00890C95"/>
    <w:rsid w:val="00894588"/>
    <w:rsid w:val="008A5586"/>
    <w:rsid w:val="008A6964"/>
    <w:rsid w:val="008B3E8F"/>
    <w:rsid w:val="008C0056"/>
    <w:rsid w:val="008C21E1"/>
    <w:rsid w:val="008D76F6"/>
    <w:rsid w:val="008E46AE"/>
    <w:rsid w:val="008E6BA9"/>
    <w:rsid w:val="008F2F17"/>
    <w:rsid w:val="008F2F5C"/>
    <w:rsid w:val="008F492E"/>
    <w:rsid w:val="008F5797"/>
    <w:rsid w:val="008F7E48"/>
    <w:rsid w:val="00900526"/>
    <w:rsid w:val="0090091A"/>
    <w:rsid w:val="009062AE"/>
    <w:rsid w:val="00910E4A"/>
    <w:rsid w:val="00917116"/>
    <w:rsid w:val="00920488"/>
    <w:rsid w:val="00923B0D"/>
    <w:rsid w:val="0092478E"/>
    <w:rsid w:val="009247E8"/>
    <w:rsid w:val="009314F0"/>
    <w:rsid w:val="0093348E"/>
    <w:rsid w:val="00937A11"/>
    <w:rsid w:val="009410FF"/>
    <w:rsid w:val="009417F7"/>
    <w:rsid w:val="009426F3"/>
    <w:rsid w:val="00952858"/>
    <w:rsid w:val="00963C9F"/>
    <w:rsid w:val="00963F49"/>
    <w:rsid w:val="0096517C"/>
    <w:rsid w:val="00966619"/>
    <w:rsid w:val="00971C33"/>
    <w:rsid w:val="00973117"/>
    <w:rsid w:val="009743D5"/>
    <w:rsid w:val="009834D2"/>
    <w:rsid w:val="009858C3"/>
    <w:rsid w:val="0099035C"/>
    <w:rsid w:val="00990F80"/>
    <w:rsid w:val="00991526"/>
    <w:rsid w:val="00991DED"/>
    <w:rsid w:val="009958B0"/>
    <w:rsid w:val="00996B8C"/>
    <w:rsid w:val="00997F6C"/>
    <w:rsid w:val="009A0A07"/>
    <w:rsid w:val="009A0E76"/>
    <w:rsid w:val="009A3B29"/>
    <w:rsid w:val="009A5BC4"/>
    <w:rsid w:val="009B0994"/>
    <w:rsid w:val="009B0BC5"/>
    <w:rsid w:val="009B34AC"/>
    <w:rsid w:val="009B62C8"/>
    <w:rsid w:val="009C3CB0"/>
    <w:rsid w:val="009C4CA6"/>
    <w:rsid w:val="009C56D1"/>
    <w:rsid w:val="009C7E40"/>
    <w:rsid w:val="009D18C2"/>
    <w:rsid w:val="009D5A36"/>
    <w:rsid w:val="009D6549"/>
    <w:rsid w:val="009D7995"/>
    <w:rsid w:val="009E1A25"/>
    <w:rsid w:val="009E295A"/>
    <w:rsid w:val="009E34D5"/>
    <w:rsid w:val="009E4054"/>
    <w:rsid w:val="009E62E9"/>
    <w:rsid w:val="009E6CA9"/>
    <w:rsid w:val="009E718A"/>
    <w:rsid w:val="009F12DB"/>
    <w:rsid w:val="009F4D35"/>
    <w:rsid w:val="009F7A5A"/>
    <w:rsid w:val="00A03C15"/>
    <w:rsid w:val="00A0498D"/>
    <w:rsid w:val="00A04DF0"/>
    <w:rsid w:val="00A0513A"/>
    <w:rsid w:val="00A06FA5"/>
    <w:rsid w:val="00A070B7"/>
    <w:rsid w:val="00A13691"/>
    <w:rsid w:val="00A14752"/>
    <w:rsid w:val="00A20A30"/>
    <w:rsid w:val="00A20C6A"/>
    <w:rsid w:val="00A2405F"/>
    <w:rsid w:val="00A2435C"/>
    <w:rsid w:val="00A3043E"/>
    <w:rsid w:val="00A327E6"/>
    <w:rsid w:val="00A3641F"/>
    <w:rsid w:val="00A36734"/>
    <w:rsid w:val="00A369AC"/>
    <w:rsid w:val="00A414BC"/>
    <w:rsid w:val="00A43021"/>
    <w:rsid w:val="00A4461A"/>
    <w:rsid w:val="00A459DE"/>
    <w:rsid w:val="00A50D02"/>
    <w:rsid w:val="00A5508E"/>
    <w:rsid w:val="00A62216"/>
    <w:rsid w:val="00A65913"/>
    <w:rsid w:val="00A67582"/>
    <w:rsid w:val="00A67E1C"/>
    <w:rsid w:val="00A70A4D"/>
    <w:rsid w:val="00A7229C"/>
    <w:rsid w:val="00A74E0F"/>
    <w:rsid w:val="00A8077F"/>
    <w:rsid w:val="00A80E09"/>
    <w:rsid w:val="00A82DF9"/>
    <w:rsid w:val="00A8484E"/>
    <w:rsid w:val="00A851E3"/>
    <w:rsid w:val="00A9012A"/>
    <w:rsid w:val="00A91A3B"/>
    <w:rsid w:val="00A93A77"/>
    <w:rsid w:val="00A93DF6"/>
    <w:rsid w:val="00A9691C"/>
    <w:rsid w:val="00A97976"/>
    <w:rsid w:val="00AA1D47"/>
    <w:rsid w:val="00AA3BB9"/>
    <w:rsid w:val="00AA5C14"/>
    <w:rsid w:val="00AA7620"/>
    <w:rsid w:val="00AB2592"/>
    <w:rsid w:val="00AC03C2"/>
    <w:rsid w:val="00AC08D2"/>
    <w:rsid w:val="00AC0A48"/>
    <w:rsid w:val="00AC1BEE"/>
    <w:rsid w:val="00AC3E56"/>
    <w:rsid w:val="00AC4BDA"/>
    <w:rsid w:val="00AD0C81"/>
    <w:rsid w:val="00AD613B"/>
    <w:rsid w:val="00AD7B64"/>
    <w:rsid w:val="00AE1EED"/>
    <w:rsid w:val="00AE42A0"/>
    <w:rsid w:val="00AE68CA"/>
    <w:rsid w:val="00AF10B5"/>
    <w:rsid w:val="00AF2783"/>
    <w:rsid w:val="00AF57B3"/>
    <w:rsid w:val="00B01AFC"/>
    <w:rsid w:val="00B04E3B"/>
    <w:rsid w:val="00B07FF6"/>
    <w:rsid w:val="00B1078F"/>
    <w:rsid w:val="00B10FC9"/>
    <w:rsid w:val="00B11937"/>
    <w:rsid w:val="00B12498"/>
    <w:rsid w:val="00B20CB1"/>
    <w:rsid w:val="00B21E09"/>
    <w:rsid w:val="00B26C3D"/>
    <w:rsid w:val="00B275AC"/>
    <w:rsid w:val="00B27734"/>
    <w:rsid w:val="00B27D99"/>
    <w:rsid w:val="00B30EAB"/>
    <w:rsid w:val="00B32201"/>
    <w:rsid w:val="00B34589"/>
    <w:rsid w:val="00B366DB"/>
    <w:rsid w:val="00B37667"/>
    <w:rsid w:val="00B41537"/>
    <w:rsid w:val="00B44B46"/>
    <w:rsid w:val="00B44BFF"/>
    <w:rsid w:val="00B5117D"/>
    <w:rsid w:val="00B51603"/>
    <w:rsid w:val="00B52F13"/>
    <w:rsid w:val="00B532DB"/>
    <w:rsid w:val="00B545CC"/>
    <w:rsid w:val="00B54794"/>
    <w:rsid w:val="00B55DB5"/>
    <w:rsid w:val="00B56F8B"/>
    <w:rsid w:val="00B63CBF"/>
    <w:rsid w:val="00B659CB"/>
    <w:rsid w:val="00B67D34"/>
    <w:rsid w:val="00B70770"/>
    <w:rsid w:val="00B71B5E"/>
    <w:rsid w:val="00B71DE8"/>
    <w:rsid w:val="00B72A6C"/>
    <w:rsid w:val="00B72B74"/>
    <w:rsid w:val="00B752BF"/>
    <w:rsid w:val="00B80151"/>
    <w:rsid w:val="00B81068"/>
    <w:rsid w:val="00B8365C"/>
    <w:rsid w:val="00B922B6"/>
    <w:rsid w:val="00B94111"/>
    <w:rsid w:val="00B94F0A"/>
    <w:rsid w:val="00B95FED"/>
    <w:rsid w:val="00BA18F6"/>
    <w:rsid w:val="00BA4854"/>
    <w:rsid w:val="00BA69AB"/>
    <w:rsid w:val="00BA7992"/>
    <w:rsid w:val="00BB2ACB"/>
    <w:rsid w:val="00BB5F94"/>
    <w:rsid w:val="00BB6BA4"/>
    <w:rsid w:val="00BB763C"/>
    <w:rsid w:val="00BC1D7E"/>
    <w:rsid w:val="00BD4959"/>
    <w:rsid w:val="00BD5583"/>
    <w:rsid w:val="00BE0FFD"/>
    <w:rsid w:val="00BE13B4"/>
    <w:rsid w:val="00BE2AB7"/>
    <w:rsid w:val="00BE4587"/>
    <w:rsid w:val="00BE5400"/>
    <w:rsid w:val="00BE68F3"/>
    <w:rsid w:val="00BF3528"/>
    <w:rsid w:val="00BF416D"/>
    <w:rsid w:val="00BF6D17"/>
    <w:rsid w:val="00BF77FE"/>
    <w:rsid w:val="00C00FD5"/>
    <w:rsid w:val="00C03955"/>
    <w:rsid w:val="00C03E36"/>
    <w:rsid w:val="00C06EFE"/>
    <w:rsid w:val="00C105D4"/>
    <w:rsid w:val="00C12F77"/>
    <w:rsid w:val="00C151A2"/>
    <w:rsid w:val="00C15D61"/>
    <w:rsid w:val="00C22F90"/>
    <w:rsid w:val="00C23135"/>
    <w:rsid w:val="00C23B40"/>
    <w:rsid w:val="00C27FFB"/>
    <w:rsid w:val="00C318C8"/>
    <w:rsid w:val="00C32462"/>
    <w:rsid w:val="00C337DD"/>
    <w:rsid w:val="00C36A3F"/>
    <w:rsid w:val="00C377E3"/>
    <w:rsid w:val="00C40E20"/>
    <w:rsid w:val="00C47B20"/>
    <w:rsid w:val="00C50200"/>
    <w:rsid w:val="00C63D38"/>
    <w:rsid w:val="00C6447C"/>
    <w:rsid w:val="00C744F1"/>
    <w:rsid w:val="00C75A0D"/>
    <w:rsid w:val="00C83737"/>
    <w:rsid w:val="00C84B60"/>
    <w:rsid w:val="00C870B3"/>
    <w:rsid w:val="00C91F4E"/>
    <w:rsid w:val="00C957E0"/>
    <w:rsid w:val="00C970B1"/>
    <w:rsid w:val="00CA5DE1"/>
    <w:rsid w:val="00CB146E"/>
    <w:rsid w:val="00CB41F2"/>
    <w:rsid w:val="00CB5919"/>
    <w:rsid w:val="00CD0493"/>
    <w:rsid w:val="00CD1F19"/>
    <w:rsid w:val="00CD4D9A"/>
    <w:rsid w:val="00CE03A4"/>
    <w:rsid w:val="00CE0939"/>
    <w:rsid w:val="00CE14BC"/>
    <w:rsid w:val="00CE1816"/>
    <w:rsid w:val="00CE2459"/>
    <w:rsid w:val="00CE5130"/>
    <w:rsid w:val="00CE6EEC"/>
    <w:rsid w:val="00CE71A4"/>
    <w:rsid w:val="00CE7202"/>
    <w:rsid w:val="00CF277F"/>
    <w:rsid w:val="00CF30BD"/>
    <w:rsid w:val="00CF78B0"/>
    <w:rsid w:val="00D03812"/>
    <w:rsid w:val="00D045C6"/>
    <w:rsid w:val="00D048F7"/>
    <w:rsid w:val="00D04CB1"/>
    <w:rsid w:val="00D05054"/>
    <w:rsid w:val="00D10911"/>
    <w:rsid w:val="00D125F6"/>
    <w:rsid w:val="00D12938"/>
    <w:rsid w:val="00D20379"/>
    <w:rsid w:val="00D21F38"/>
    <w:rsid w:val="00D238E3"/>
    <w:rsid w:val="00D241DE"/>
    <w:rsid w:val="00D24EE9"/>
    <w:rsid w:val="00D2513B"/>
    <w:rsid w:val="00D26A23"/>
    <w:rsid w:val="00D31218"/>
    <w:rsid w:val="00D31FDA"/>
    <w:rsid w:val="00D4055A"/>
    <w:rsid w:val="00D40C85"/>
    <w:rsid w:val="00D4302A"/>
    <w:rsid w:val="00D436E8"/>
    <w:rsid w:val="00D4404A"/>
    <w:rsid w:val="00D446E5"/>
    <w:rsid w:val="00D500BB"/>
    <w:rsid w:val="00D51039"/>
    <w:rsid w:val="00D5474D"/>
    <w:rsid w:val="00D56072"/>
    <w:rsid w:val="00D56B38"/>
    <w:rsid w:val="00D64A57"/>
    <w:rsid w:val="00D6519A"/>
    <w:rsid w:val="00D658D0"/>
    <w:rsid w:val="00D70F5A"/>
    <w:rsid w:val="00D70F8A"/>
    <w:rsid w:val="00D71EFE"/>
    <w:rsid w:val="00D733C7"/>
    <w:rsid w:val="00D73C7A"/>
    <w:rsid w:val="00D73EA4"/>
    <w:rsid w:val="00D759F7"/>
    <w:rsid w:val="00D82891"/>
    <w:rsid w:val="00D82C53"/>
    <w:rsid w:val="00D8323E"/>
    <w:rsid w:val="00D84CD9"/>
    <w:rsid w:val="00D8583A"/>
    <w:rsid w:val="00D90788"/>
    <w:rsid w:val="00D92118"/>
    <w:rsid w:val="00D96A1E"/>
    <w:rsid w:val="00D977AA"/>
    <w:rsid w:val="00D97AF0"/>
    <w:rsid w:val="00DA463C"/>
    <w:rsid w:val="00DA5E72"/>
    <w:rsid w:val="00DB0916"/>
    <w:rsid w:val="00DC6534"/>
    <w:rsid w:val="00DC69D9"/>
    <w:rsid w:val="00DC6A05"/>
    <w:rsid w:val="00DC6BC0"/>
    <w:rsid w:val="00DC7E72"/>
    <w:rsid w:val="00DD1E6A"/>
    <w:rsid w:val="00DD32CF"/>
    <w:rsid w:val="00DD4A34"/>
    <w:rsid w:val="00DE251A"/>
    <w:rsid w:val="00DE3BD2"/>
    <w:rsid w:val="00DE4605"/>
    <w:rsid w:val="00DF37AA"/>
    <w:rsid w:val="00DF4455"/>
    <w:rsid w:val="00DF5FDC"/>
    <w:rsid w:val="00DF6401"/>
    <w:rsid w:val="00E00E83"/>
    <w:rsid w:val="00E148D1"/>
    <w:rsid w:val="00E148F7"/>
    <w:rsid w:val="00E20C56"/>
    <w:rsid w:val="00E21569"/>
    <w:rsid w:val="00E215EC"/>
    <w:rsid w:val="00E21A5F"/>
    <w:rsid w:val="00E255B8"/>
    <w:rsid w:val="00E26D49"/>
    <w:rsid w:val="00E32512"/>
    <w:rsid w:val="00E331DA"/>
    <w:rsid w:val="00E34B83"/>
    <w:rsid w:val="00E419B6"/>
    <w:rsid w:val="00E464AC"/>
    <w:rsid w:val="00E47E48"/>
    <w:rsid w:val="00E56D6D"/>
    <w:rsid w:val="00E570C0"/>
    <w:rsid w:val="00E57ACE"/>
    <w:rsid w:val="00E600A5"/>
    <w:rsid w:val="00E6056C"/>
    <w:rsid w:val="00E61856"/>
    <w:rsid w:val="00E61ADA"/>
    <w:rsid w:val="00E624A1"/>
    <w:rsid w:val="00E67A7A"/>
    <w:rsid w:val="00E71029"/>
    <w:rsid w:val="00E7130A"/>
    <w:rsid w:val="00E72414"/>
    <w:rsid w:val="00E7418D"/>
    <w:rsid w:val="00E774F0"/>
    <w:rsid w:val="00E77E72"/>
    <w:rsid w:val="00E80980"/>
    <w:rsid w:val="00E80AED"/>
    <w:rsid w:val="00E82EEB"/>
    <w:rsid w:val="00E8392F"/>
    <w:rsid w:val="00E85606"/>
    <w:rsid w:val="00E911D1"/>
    <w:rsid w:val="00E97F1F"/>
    <w:rsid w:val="00EA04CB"/>
    <w:rsid w:val="00EA11A4"/>
    <w:rsid w:val="00EA2309"/>
    <w:rsid w:val="00EA3515"/>
    <w:rsid w:val="00EA714A"/>
    <w:rsid w:val="00EB1123"/>
    <w:rsid w:val="00EB60F8"/>
    <w:rsid w:val="00EB6B00"/>
    <w:rsid w:val="00EB6B22"/>
    <w:rsid w:val="00EC0E37"/>
    <w:rsid w:val="00ED1D58"/>
    <w:rsid w:val="00ED2051"/>
    <w:rsid w:val="00ED538C"/>
    <w:rsid w:val="00ED5A24"/>
    <w:rsid w:val="00ED5D22"/>
    <w:rsid w:val="00EE49FB"/>
    <w:rsid w:val="00EF10E5"/>
    <w:rsid w:val="00EF6841"/>
    <w:rsid w:val="00F01D0D"/>
    <w:rsid w:val="00F01D6B"/>
    <w:rsid w:val="00F03658"/>
    <w:rsid w:val="00F06BC4"/>
    <w:rsid w:val="00F10A19"/>
    <w:rsid w:val="00F11DE4"/>
    <w:rsid w:val="00F154E4"/>
    <w:rsid w:val="00F16034"/>
    <w:rsid w:val="00F16142"/>
    <w:rsid w:val="00F2332D"/>
    <w:rsid w:val="00F2586E"/>
    <w:rsid w:val="00F25D3A"/>
    <w:rsid w:val="00F302F3"/>
    <w:rsid w:val="00F32D7A"/>
    <w:rsid w:val="00F3610A"/>
    <w:rsid w:val="00F40DA7"/>
    <w:rsid w:val="00F43668"/>
    <w:rsid w:val="00F4374D"/>
    <w:rsid w:val="00F43CEF"/>
    <w:rsid w:val="00F47BAF"/>
    <w:rsid w:val="00F5169E"/>
    <w:rsid w:val="00F54770"/>
    <w:rsid w:val="00F567DB"/>
    <w:rsid w:val="00F61B23"/>
    <w:rsid w:val="00F627D7"/>
    <w:rsid w:val="00F63A24"/>
    <w:rsid w:val="00F739F5"/>
    <w:rsid w:val="00F8257B"/>
    <w:rsid w:val="00F84B7F"/>
    <w:rsid w:val="00F87D34"/>
    <w:rsid w:val="00F97459"/>
    <w:rsid w:val="00F97B7E"/>
    <w:rsid w:val="00FB5B2B"/>
    <w:rsid w:val="00FB6595"/>
    <w:rsid w:val="00FC25C0"/>
    <w:rsid w:val="00FD1FBC"/>
    <w:rsid w:val="00FE1090"/>
    <w:rsid w:val="00FE7CF4"/>
    <w:rsid w:val="00FF42FD"/>
    <w:rsid w:val="00FF45A8"/>
    <w:rsid w:val="00FF53A9"/>
    <w:rsid w:val="00FF6A8E"/>
    <w:rsid w:val="00FF6BE6"/>
    <w:rsid w:val="06AB0A35"/>
    <w:rsid w:val="0B142BD3"/>
    <w:rsid w:val="111A55C0"/>
    <w:rsid w:val="34331303"/>
    <w:rsid w:val="3456B0C6"/>
    <w:rsid w:val="3E78CC45"/>
    <w:rsid w:val="44724731"/>
    <w:rsid w:val="697D607D"/>
    <w:rsid w:val="6ACF6E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D61EAF1D-AEA4-49B4-A3F6-96E74381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qFormat/>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link w:val="CaptionChar"/>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character" w:customStyle="1" w:styleId="CaptionChar">
    <w:name w:val="Caption Char"/>
    <w:basedOn w:val="DefaultParagraphFont"/>
    <w:link w:val="Caption"/>
    <w:uiPriority w:val="35"/>
    <w:rsid w:val="009314F0"/>
    <w:rPr>
      <w:rFonts w:ascii="Arial" w:hAnsi="Arial"/>
      <w:b/>
      <w:bCs/>
      <w:sz w:val="18"/>
      <w:szCs w:val="18"/>
    </w:rPr>
  </w:style>
  <w:style w:type="paragraph" w:styleId="FootnoteText">
    <w:name w:val="footnote text"/>
    <w:basedOn w:val="Normal"/>
    <w:link w:val="FootnoteTextChar"/>
    <w:autoRedefine/>
    <w:uiPriority w:val="99"/>
    <w:semiHidden/>
    <w:unhideWhenUsed/>
    <w:rsid w:val="00E80AED"/>
    <w:pPr>
      <w:spacing w:after="0" w:line="240" w:lineRule="auto"/>
    </w:pPr>
    <w:rPr>
      <w:color w:val="000000" w:themeColor="text1"/>
      <w:sz w:val="16"/>
      <w:szCs w:val="20"/>
    </w:rPr>
  </w:style>
  <w:style w:type="character" w:customStyle="1" w:styleId="FootnoteTextChar">
    <w:name w:val="Footnote Text Char"/>
    <w:basedOn w:val="DefaultParagraphFont"/>
    <w:link w:val="FootnoteText"/>
    <w:uiPriority w:val="99"/>
    <w:semiHidden/>
    <w:rsid w:val="00E80AED"/>
    <w:rPr>
      <w:rFonts w:ascii="Arial" w:hAnsi="Arial"/>
      <w:color w:val="000000" w:themeColor="text1"/>
      <w:sz w:val="16"/>
      <w:szCs w:val="20"/>
    </w:rPr>
  </w:style>
  <w:style w:type="character" w:styleId="FootnoteReference">
    <w:name w:val="footnote reference"/>
    <w:basedOn w:val="DefaultParagraphFont"/>
    <w:uiPriority w:val="99"/>
    <w:semiHidden/>
    <w:unhideWhenUsed/>
    <w:rsid w:val="005C6BAA"/>
    <w:rPr>
      <w:vertAlign w:val="superscript"/>
    </w:rPr>
  </w:style>
  <w:style w:type="paragraph" w:styleId="Revision">
    <w:name w:val="Revision"/>
    <w:hidden/>
    <w:uiPriority w:val="99"/>
    <w:semiHidden/>
    <w:rsid w:val="008636D9"/>
    <w:pPr>
      <w:spacing w:after="0" w:line="240" w:lineRule="auto"/>
    </w:pPr>
    <w:rPr>
      <w:rFonts w:ascii="Arial" w:hAnsi="Arial"/>
    </w:rPr>
  </w:style>
  <w:style w:type="character" w:styleId="FollowedHyperlink">
    <w:name w:val="FollowedHyperlink"/>
    <w:basedOn w:val="DefaultParagraphFont"/>
    <w:uiPriority w:val="99"/>
    <w:semiHidden/>
    <w:unhideWhenUsed/>
    <w:rsid w:val="009A3B29"/>
    <w:rPr>
      <w:color w:val="4B08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776019">
      <w:bodyDiv w:val="1"/>
      <w:marLeft w:val="0"/>
      <w:marRight w:val="0"/>
      <w:marTop w:val="0"/>
      <w:marBottom w:val="0"/>
      <w:divBdr>
        <w:top w:val="none" w:sz="0" w:space="0" w:color="auto"/>
        <w:left w:val="none" w:sz="0" w:space="0" w:color="auto"/>
        <w:bottom w:val="none" w:sz="0" w:space="0" w:color="auto"/>
        <w:right w:val="none" w:sz="0" w:space="0" w:color="auto"/>
      </w:divBdr>
    </w:div>
    <w:div w:id="19069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7.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chart" Target="charts/chart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hart" Target="charts/chart5.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classifications/anzsco-australian-and-new-zealand-standard-classification-occupations/latest-release" TargetMode="External"/><Relationship Id="rId1" Type="http://schemas.openxmlformats.org/officeDocument/2006/relationships/hyperlink" Target="https://www.abs.gov.au/statistics/classifications/anzsco-australian-and-new-zealand-standard-classification-occupations/latest-releas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haredservicescentre.sharepoint.com/sites/DESE-Workforce-Analysis-TEAM/Shared%20Documents/General/04.%20SPL%20documents/Stakeholder%20Survey%20Snapshot/calculation%20check%20myside%20(version%201%20-%20RS%20checki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haredservicescentre.sharepoint.com/sites/DESE-Workforce-Analysis-TEAM/Shared%20Documents/General/04.%20SPL%20documents/Stakeholder%20Survey%20Snapshot/calculation%20check%20myside%20(version%201%20-%20RS%20checki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sharedservicescentre.sharepoint.com/sites/DESE-Workforce-Analysis-TEAM/Shared%20Documents/General/04.%20SPL%20documents/Stakeholder%20Survey%20Snapshot/calculation%20check%20myside%20(version%201%20-%20RS%20checking).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sharedservicescentre.sharepoint.com/sites/DESE-Workforce-Analysis-TEAM/Shared%20Documents/General/04.%20SPL%20documents/Stakeholder%20Survey%20Snapshot/calculation%20check%20myside%20(version%201%20-%20RS%20checking).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sharedservicescentre.sharepoint.com/sites/DESE-Workforce-Analysis-TEAM/Shared%20Documents/General/04.%20SPL%20documents/Stakeholder%20Survey%20Snapshot/calculation%20check%20myside%20(version%201%20-%20RS%20checking).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https://sharedservicescentre.sharepoint.com/sites/DESE-Workforce-Analysis-TEAM/Shared%20Documents/General/04.%20SPL%20documents/Stakeholder%20Survey%20Snapshot/calculation%20check%20myside%20(version%201%20-%20RS%20checking).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haredservicescentre.sharepoint.com/sites/DESE-Workforce-Analysis-TEAM/Shared%20Documents/General/04.%20SPL%20documents/Stakeholder%20Survey%20Snapshot/calculation%20check%20myside%20(version%201%20-%20RS%20checking).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haredservicescentre.sharepoint.com/sites/DESE-Workforce-Analysis-TEAM/Shared%20Documents/General/04.%20SPL%20documents/Stakeholder%20Survey%20Snapshot/calculation%20check%20myside%20(version%201%20-%20RS%20checking).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2"/>
          <c:order val="0"/>
          <c:tx>
            <c:strRef>
              <c:f>'[calculation check myside (version 1 - RS checking).xlsx]Fig 1 occ by anzsco'!$U$43</c:f>
              <c:strCache>
                <c:ptCount val="1"/>
                <c:pt idx="0">
                  <c:v>Low</c:v>
                </c:pt>
              </c:strCache>
            </c:strRef>
          </c:tx>
          <c:spPr>
            <a:solidFill>
              <a:schemeClr val="accent3"/>
            </a:solidFill>
            <a:ln>
              <a:noFill/>
            </a:ln>
            <a:effectLst/>
          </c:spPr>
          <c:invertIfNegative val="0"/>
          <c:cat>
            <c:strRef>
              <c:f>'[calculation check myside (version 1 - RS checking).xlsx]Fig 1 occ by anzsco'!$N$54:$N$62</c:f>
              <c:strCache>
                <c:ptCount val="9"/>
                <c:pt idx="0">
                  <c:v>Total</c:v>
                </c:pt>
                <c:pt idx="1">
                  <c:v>Labourers</c:v>
                </c:pt>
                <c:pt idx="2">
                  <c:v>Community &amp; Personal Service Workers</c:v>
                </c:pt>
                <c:pt idx="3">
                  <c:v>Technicians &amp; Trades Workers</c:v>
                </c:pt>
                <c:pt idx="4">
                  <c:v>Professionals</c:v>
                </c:pt>
                <c:pt idx="5">
                  <c:v>Machinery Operators &amp; Drivers</c:v>
                </c:pt>
                <c:pt idx="6">
                  <c:v>Managers</c:v>
                </c:pt>
                <c:pt idx="7">
                  <c:v>Sales Workers</c:v>
                </c:pt>
                <c:pt idx="8">
                  <c:v>Clerical &amp; Administrative Workers</c:v>
                </c:pt>
              </c:strCache>
            </c:strRef>
          </c:cat>
          <c:val>
            <c:numRef>
              <c:f>'[calculation check myside (version 1 - RS checking).xlsx]Fig 1 occ by anzsco'!$Q$54:$Q$62</c:f>
              <c:numCache>
                <c:formatCode>0%</c:formatCode>
                <c:ptCount val="9"/>
                <c:pt idx="0">
                  <c:v>0.46370683579985905</c:v>
                </c:pt>
                <c:pt idx="1">
                  <c:v>0.73529411764705888</c:v>
                </c:pt>
                <c:pt idx="2">
                  <c:v>0.57587548638132291</c:v>
                </c:pt>
                <c:pt idx="3">
                  <c:v>0.54186046511627906</c:v>
                </c:pt>
                <c:pt idx="4">
                  <c:v>0.39798488664987408</c:v>
                </c:pt>
                <c:pt idx="5">
                  <c:v>0.37647058823529411</c:v>
                </c:pt>
                <c:pt idx="6">
                  <c:v>0.36551724137931035</c:v>
                </c:pt>
                <c:pt idx="7">
                  <c:v>0.15384615384615385</c:v>
                </c:pt>
                <c:pt idx="8">
                  <c:v>0.1206896551724138</c:v>
                </c:pt>
              </c:numCache>
            </c:numRef>
          </c:val>
          <c:extLst>
            <c:ext xmlns:c16="http://schemas.microsoft.com/office/drawing/2014/chart" uri="{C3380CC4-5D6E-409C-BE32-E72D297353CC}">
              <c16:uniqueId val="{00000000-7370-4D70-BF60-C32F60554109}"/>
            </c:ext>
          </c:extLst>
        </c:ser>
        <c:ser>
          <c:idx val="1"/>
          <c:order val="1"/>
          <c:tx>
            <c:strRef>
              <c:f>'[calculation check myside (version 1 - RS checking).xlsx]Fig 1 occ by anzsco'!$T$43</c:f>
              <c:strCache>
                <c:ptCount val="1"/>
                <c:pt idx="0">
                  <c:v>Moderate</c:v>
                </c:pt>
              </c:strCache>
            </c:strRef>
          </c:tx>
          <c:spPr>
            <a:solidFill>
              <a:schemeClr val="accent2"/>
            </a:solidFill>
            <a:ln>
              <a:noFill/>
            </a:ln>
            <a:effectLst/>
          </c:spPr>
          <c:invertIfNegative val="0"/>
          <c:cat>
            <c:strRef>
              <c:f>'[calculation check myside (version 1 - RS checking).xlsx]Fig 1 occ by anzsco'!$N$54:$N$62</c:f>
              <c:strCache>
                <c:ptCount val="9"/>
                <c:pt idx="0">
                  <c:v>Total</c:v>
                </c:pt>
                <c:pt idx="1">
                  <c:v>Labourers</c:v>
                </c:pt>
                <c:pt idx="2">
                  <c:v>Community &amp; Personal Service Workers</c:v>
                </c:pt>
                <c:pt idx="3">
                  <c:v>Technicians &amp; Trades Workers</c:v>
                </c:pt>
                <c:pt idx="4">
                  <c:v>Professionals</c:v>
                </c:pt>
                <c:pt idx="5">
                  <c:v>Machinery Operators &amp; Drivers</c:v>
                </c:pt>
                <c:pt idx="6">
                  <c:v>Managers</c:v>
                </c:pt>
                <c:pt idx="7">
                  <c:v>Sales Workers</c:v>
                </c:pt>
                <c:pt idx="8">
                  <c:v>Clerical &amp; Administrative Workers</c:v>
                </c:pt>
              </c:strCache>
            </c:strRef>
          </c:cat>
          <c:val>
            <c:numRef>
              <c:f>'[calculation check myside (version 1 - RS checking).xlsx]Fig 1 occ by anzsco'!$P$54:$P$62</c:f>
              <c:numCache>
                <c:formatCode>0%</c:formatCode>
                <c:ptCount val="9"/>
                <c:pt idx="0">
                  <c:v>0.36363636363636365</c:v>
                </c:pt>
                <c:pt idx="1">
                  <c:v>0.23529411764705882</c:v>
                </c:pt>
                <c:pt idx="2">
                  <c:v>0.31517509727626458</c:v>
                </c:pt>
                <c:pt idx="3">
                  <c:v>0.33720930232558138</c:v>
                </c:pt>
                <c:pt idx="4">
                  <c:v>0.35516372795969775</c:v>
                </c:pt>
                <c:pt idx="5">
                  <c:v>0.52941176470588236</c:v>
                </c:pt>
                <c:pt idx="6">
                  <c:v>0.42758620689655175</c:v>
                </c:pt>
                <c:pt idx="7">
                  <c:v>0.61538461538461542</c:v>
                </c:pt>
                <c:pt idx="8">
                  <c:v>0.44827586206896552</c:v>
                </c:pt>
              </c:numCache>
            </c:numRef>
          </c:val>
          <c:extLst>
            <c:ext xmlns:c16="http://schemas.microsoft.com/office/drawing/2014/chart" uri="{C3380CC4-5D6E-409C-BE32-E72D297353CC}">
              <c16:uniqueId val="{00000001-7370-4D70-BF60-C32F60554109}"/>
            </c:ext>
          </c:extLst>
        </c:ser>
        <c:ser>
          <c:idx val="0"/>
          <c:order val="2"/>
          <c:tx>
            <c:strRef>
              <c:f>'[calculation check myside (version 1 - RS checking).xlsx]Fig 1 occ by anzsco'!$S$43</c:f>
              <c:strCache>
                <c:ptCount val="1"/>
                <c:pt idx="0">
                  <c:v>High</c:v>
                </c:pt>
              </c:strCache>
            </c:strRef>
          </c:tx>
          <c:spPr>
            <a:solidFill>
              <a:schemeClr val="accent1"/>
            </a:solidFill>
            <a:ln>
              <a:noFill/>
            </a:ln>
            <a:effectLst/>
          </c:spPr>
          <c:invertIfNegative val="0"/>
          <c:cat>
            <c:strRef>
              <c:f>'[calculation check myside (version 1 - RS checking).xlsx]Fig 1 occ by anzsco'!$N$54:$N$62</c:f>
              <c:strCache>
                <c:ptCount val="9"/>
                <c:pt idx="0">
                  <c:v>Total</c:v>
                </c:pt>
                <c:pt idx="1">
                  <c:v>Labourers</c:v>
                </c:pt>
                <c:pt idx="2">
                  <c:v>Community &amp; Personal Service Workers</c:v>
                </c:pt>
                <c:pt idx="3">
                  <c:v>Technicians &amp; Trades Workers</c:v>
                </c:pt>
                <c:pt idx="4">
                  <c:v>Professionals</c:v>
                </c:pt>
                <c:pt idx="5">
                  <c:v>Machinery Operators &amp; Drivers</c:v>
                </c:pt>
                <c:pt idx="6">
                  <c:v>Managers</c:v>
                </c:pt>
                <c:pt idx="7">
                  <c:v>Sales Workers</c:v>
                </c:pt>
                <c:pt idx="8">
                  <c:v>Clerical &amp; Administrative Workers</c:v>
                </c:pt>
              </c:strCache>
            </c:strRef>
          </c:cat>
          <c:val>
            <c:numRef>
              <c:f>'[calculation check myside (version 1 - RS checking).xlsx]Fig 1 occ by anzsco'!$O$54:$O$62</c:f>
              <c:numCache>
                <c:formatCode>0%</c:formatCode>
                <c:ptCount val="9"/>
                <c:pt idx="0">
                  <c:v>0.1726568005637773</c:v>
                </c:pt>
                <c:pt idx="1">
                  <c:v>2.9411764705882353E-2</c:v>
                </c:pt>
                <c:pt idx="2">
                  <c:v>0.10894941634241245</c:v>
                </c:pt>
                <c:pt idx="3">
                  <c:v>0.12093023255813953</c:v>
                </c:pt>
                <c:pt idx="4">
                  <c:v>0.24685138539042822</c:v>
                </c:pt>
                <c:pt idx="5">
                  <c:v>9.4117647058823528E-2</c:v>
                </c:pt>
                <c:pt idx="6">
                  <c:v>0.20689655172413793</c:v>
                </c:pt>
                <c:pt idx="7">
                  <c:v>0.23076923076923078</c:v>
                </c:pt>
                <c:pt idx="8">
                  <c:v>0.43103448275862066</c:v>
                </c:pt>
              </c:numCache>
            </c:numRef>
          </c:val>
          <c:extLst>
            <c:ext xmlns:c16="http://schemas.microsoft.com/office/drawing/2014/chart" uri="{C3380CC4-5D6E-409C-BE32-E72D297353CC}">
              <c16:uniqueId val="{00000002-7370-4D70-BF60-C32F60554109}"/>
            </c:ext>
          </c:extLst>
        </c:ser>
        <c:dLbls>
          <c:showLegendKey val="0"/>
          <c:showVal val="0"/>
          <c:showCatName val="0"/>
          <c:showSerName val="0"/>
          <c:showPercent val="0"/>
          <c:showBubbleSize val="0"/>
        </c:dLbls>
        <c:gapWidth val="219"/>
        <c:overlap val="100"/>
        <c:axId val="135716000"/>
        <c:axId val="135706880"/>
      </c:barChart>
      <c:catAx>
        <c:axId val="135716000"/>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706880"/>
        <c:crosses val="autoZero"/>
        <c:auto val="1"/>
        <c:lblAlgn val="ctr"/>
        <c:lblOffset val="100"/>
        <c:noMultiLvlLbl val="0"/>
      </c:catAx>
      <c:valAx>
        <c:axId val="13570688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71600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2"/>
          <c:order val="0"/>
          <c:tx>
            <c:strRef>
              <c:f>'[calculation check myside (version 1 - RS checking).xlsx]Fig 2 .occ fill by state'!$N$12</c:f>
              <c:strCache>
                <c:ptCount val="1"/>
                <c:pt idx="0">
                  <c:v>Low</c:v>
                </c:pt>
              </c:strCache>
            </c:strRef>
          </c:tx>
          <c:spPr>
            <a:solidFill>
              <a:schemeClr val="accent3"/>
            </a:solidFill>
            <a:ln>
              <a:noFill/>
            </a:ln>
            <a:effectLst/>
          </c:spPr>
          <c:invertIfNegative val="0"/>
          <c:cat>
            <c:strRef>
              <c:f>'[calculation check myside (version 1 - RS checking).xlsx]Fig 2 .occ fill by state'!$O$11:$W$11</c:f>
              <c:strCache>
                <c:ptCount val="9"/>
                <c:pt idx="0">
                  <c:v>Australia</c:v>
                </c:pt>
                <c:pt idx="1">
                  <c:v>Northern Territory</c:v>
                </c:pt>
                <c:pt idx="2">
                  <c:v>Australian Central Territory</c:v>
                </c:pt>
                <c:pt idx="3">
                  <c:v>Western Australia</c:v>
                </c:pt>
                <c:pt idx="4">
                  <c:v>Victoria</c:v>
                </c:pt>
                <c:pt idx="5">
                  <c:v>South Australia</c:v>
                </c:pt>
                <c:pt idx="6">
                  <c:v>New South Wales</c:v>
                </c:pt>
                <c:pt idx="7">
                  <c:v>Tasmania</c:v>
                </c:pt>
                <c:pt idx="8">
                  <c:v>Queensland</c:v>
                </c:pt>
              </c:strCache>
            </c:strRef>
          </c:cat>
          <c:val>
            <c:numRef>
              <c:f>'[calculation check myside (version 1 - RS checking).xlsx]Fig 2 .occ fill by state'!$O$12:$W$12</c:f>
              <c:numCache>
                <c:formatCode>0%</c:formatCode>
                <c:ptCount val="9"/>
                <c:pt idx="0">
                  <c:v>0.40218579234972679</c:v>
                </c:pt>
                <c:pt idx="1">
                  <c:v>0.78947368421052633</c:v>
                </c:pt>
                <c:pt idx="2">
                  <c:v>0.63636363636363635</c:v>
                </c:pt>
                <c:pt idx="3">
                  <c:v>0.55000000000000004</c:v>
                </c:pt>
                <c:pt idx="4">
                  <c:v>0.48076923076923078</c:v>
                </c:pt>
                <c:pt idx="5">
                  <c:v>0.4777777777777778</c:v>
                </c:pt>
                <c:pt idx="6">
                  <c:v>0.45669291338582679</c:v>
                </c:pt>
                <c:pt idx="7">
                  <c:v>0.44827586206896552</c:v>
                </c:pt>
                <c:pt idx="8">
                  <c:v>0.43269230769230771</c:v>
                </c:pt>
              </c:numCache>
            </c:numRef>
          </c:val>
          <c:extLst>
            <c:ext xmlns:c16="http://schemas.microsoft.com/office/drawing/2014/chart" uri="{C3380CC4-5D6E-409C-BE32-E72D297353CC}">
              <c16:uniqueId val="{00000000-937A-4658-ABC9-FAFE73782156}"/>
            </c:ext>
          </c:extLst>
        </c:ser>
        <c:ser>
          <c:idx val="1"/>
          <c:order val="1"/>
          <c:tx>
            <c:strRef>
              <c:f>'[calculation check myside (version 1 - RS checking).xlsx]Fig 2 .occ fill by state'!$N$13</c:f>
              <c:strCache>
                <c:ptCount val="1"/>
                <c:pt idx="0">
                  <c:v>Moderate</c:v>
                </c:pt>
              </c:strCache>
            </c:strRef>
          </c:tx>
          <c:spPr>
            <a:solidFill>
              <a:schemeClr val="accent2"/>
            </a:solidFill>
            <a:ln>
              <a:noFill/>
            </a:ln>
            <a:effectLst/>
          </c:spPr>
          <c:invertIfNegative val="0"/>
          <c:cat>
            <c:strRef>
              <c:f>'[calculation check myside (version 1 - RS checking).xlsx]Fig 2 .occ fill by state'!$O$11:$W$11</c:f>
              <c:strCache>
                <c:ptCount val="9"/>
                <c:pt idx="0">
                  <c:v>Australia</c:v>
                </c:pt>
                <c:pt idx="1">
                  <c:v>Northern Territory</c:v>
                </c:pt>
                <c:pt idx="2">
                  <c:v>Australian Central Territory</c:v>
                </c:pt>
                <c:pt idx="3">
                  <c:v>Western Australia</c:v>
                </c:pt>
                <c:pt idx="4">
                  <c:v>Victoria</c:v>
                </c:pt>
                <c:pt idx="5">
                  <c:v>South Australia</c:v>
                </c:pt>
                <c:pt idx="6">
                  <c:v>New South Wales</c:v>
                </c:pt>
                <c:pt idx="7">
                  <c:v>Tasmania</c:v>
                </c:pt>
                <c:pt idx="8">
                  <c:v>Queensland</c:v>
                </c:pt>
              </c:strCache>
            </c:strRef>
          </c:cat>
          <c:val>
            <c:numRef>
              <c:f>'[calculation check myside (version 1 - RS checking).xlsx]Fig 2 .occ fill by state'!$O$13:$W$13</c:f>
              <c:numCache>
                <c:formatCode>0%</c:formatCode>
                <c:ptCount val="9"/>
                <c:pt idx="0">
                  <c:v>0.33333333333333331</c:v>
                </c:pt>
                <c:pt idx="1">
                  <c:v>0.15789473684210525</c:v>
                </c:pt>
                <c:pt idx="2">
                  <c:v>0.22727272727272727</c:v>
                </c:pt>
                <c:pt idx="3">
                  <c:v>0.36428571428571427</c:v>
                </c:pt>
                <c:pt idx="4">
                  <c:v>0.15384615384615385</c:v>
                </c:pt>
                <c:pt idx="5">
                  <c:v>0.4777777777777778</c:v>
                </c:pt>
                <c:pt idx="6">
                  <c:v>0.40157480314960631</c:v>
                </c:pt>
                <c:pt idx="7">
                  <c:v>0.13793103448275862</c:v>
                </c:pt>
                <c:pt idx="8">
                  <c:v>0.44230769230769229</c:v>
                </c:pt>
              </c:numCache>
            </c:numRef>
          </c:val>
          <c:extLst>
            <c:ext xmlns:c16="http://schemas.microsoft.com/office/drawing/2014/chart" uri="{C3380CC4-5D6E-409C-BE32-E72D297353CC}">
              <c16:uniqueId val="{00000001-937A-4658-ABC9-FAFE73782156}"/>
            </c:ext>
          </c:extLst>
        </c:ser>
        <c:ser>
          <c:idx val="0"/>
          <c:order val="2"/>
          <c:tx>
            <c:strRef>
              <c:f>'[calculation check myside (version 1 - RS checking).xlsx]Fig 2 .occ fill by state'!$N$14</c:f>
              <c:strCache>
                <c:ptCount val="1"/>
                <c:pt idx="0">
                  <c:v>High</c:v>
                </c:pt>
              </c:strCache>
            </c:strRef>
          </c:tx>
          <c:spPr>
            <a:solidFill>
              <a:schemeClr val="accent1"/>
            </a:solidFill>
            <a:ln>
              <a:noFill/>
            </a:ln>
            <a:effectLst/>
          </c:spPr>
          <c:invertIfNegative val="0"/>
          <c:cat>
            <c:strRef>
              <c:f>'[calculation check myside (version 1 - RS checking).xlsx]Fig 2 .occ fill by state'!$O$11:$W$11</c:f>
              <c:strCache>
                <c:ptCount val="9"/>
                <c:pt idx="0">
                  <c:v>Australia</c:v>
                </c:pt>
                <c:pt idx="1">
                  <c:v>Northern Territory</c:v>
                </c:pt>
                <c:pt idx="2">
                  <c:v>Australian Central Territory</c:v>
                </c:pt>
                <c:pt idx="3">
                  <c:v>Western Australia</c:v>
                </c:pt>
                <c:pt idx="4">
                  <c:v>Victoria</c:v>
                </c:pt>
                <c:pt idx="5">
                  <c:v>South Australia</c:v>
                </c:pt>
                <c:pt idx="6">
                  <c:v>New South Wales</c:v>
                </c:pt>
                <c:pt idx="7">
                  <c:v>Tasmania</c:v>
                </c:pt>
                <c:pt idx="8">
                  <c:v>Queensland</c:v>
                </c:pt>
              </c:strCache>
            </c:strRef>
          </c:cat>
          <c:val>
            <c:numRef>
              <c:f>'[calculation check myside (version 1 - RS checking).xlsx]Fig 2 .occ fill by state'!$O$14:$W$14</c:f>
              <c:numCache>
                <c:formatCode>0%</c:formatCode>
                <c:ptCount val="9"/>
                <c:pt idx="0">
                  <c:v>0.2644808743169399</c:v>
                </c:pt>
                <c:pt idx="1">
                  <c:v>5.2631578947368418E-2</c:v>
                </c:pt>
                <c:pt idx="2">
                  <c:v>0.13636363636363635</c:v>
                </c:pt>
                <c:pt idx="3">
                  <c:v>8.5714285714285715E-2</c:v>
                </c:pt>
                <c:pt idx="4">
                  <c:v>0.36538461538461536</c:v>
                </c:pt>
                <c:pt idx="5">
                  <c:v>4.4444444444444446E-2</c:v>
                </c:pt>
                <c:pt idx="6">
                  <c:v>0.14173228346456693</c:v>
                </c:pt>
                <c:pt idx="7">
                  <c:v>0.41379310344827586</c:v>
                </c:pt>
                <c:pt idx="8">
                  <c:v>0.125</c:v>
                </c:pt>
              </c:numCache>
            </c:numRef>
          </c:val>
          <c:extLst>
            <c:ext xmlns:c16="http://schemas.microsoft.com/office/drawing/2014/chart" uri="{C3380CC4-5D6E-409C-BE32-E72D297353CC}">
              <c16:uniqueId val="{00000002-937A-4658-ABC9-FAFE73782156}"/>
            </c:ext>
          </c:extLst>
        </c:ser>
        <c:dLbls>
          <c:showLegendKey val="0"/>
          <c:showVal val="0"/>
          <c:showCatName val="0"/>
          <c:showSerName val="0"/>
          <c:showPercent val="0"/>
          <c:showBubbleSize val="0"/>
        </c:dLbls>
        <c:gapWidth val="219"/>
        <c:overlap val="100"/>
        <c:axId val="1173993055"/>
        <c:axId val="1173992095"/>
      </c:barChart>
      <c:catAx>
        <c:axId val="1173993055"/>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3992095"/>
        <c:crosses val="autoZero"/>
        <c:auto val="1"/>
        <c:lblAlgn val="ctr"/>
        <c:lblOffset val="100"/>
        <c:noMultiLvlLbl val="0"/>
      </c:catAx>
      <c:valAx>
        <c:axId val="1173992095"/>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3993055"/>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olidFill>
              <a:schemeClr val="accent4"/>
            </a:solidFill>
          </c:spPr>
          <c:dPt>
            <c:idx val="0"/>
            <c:bubble3D val="0"/>
            <c:spPr>
              <a:solidFill>
                <a:schemeClr val="accent5"/>
              </a:solidFill>
              <a:ln w="19050">
                <a:solidFill>
                  <a:schemeClr val="lt1"/>
                </a:solidFill>
              </a:ln>
              <a:effectLst/>
            </c:spPr>
            <c:extLst>
              <c:ext xmlns:c16="http://schemas.microsoft.com/office/drawing/2014/chart" uri="{C3380CC4-5D6E-409C-BE32-E72D297353CC}">
                <c16:uniqueId val="{00000001-DBD8-4254-A8B7-0AFC06585086}"/>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DBD8-4254-A8B7-0AFC06585086}"/>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DBD8-4254-A8B7-0AFC06585086}"/>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DBD8-4254-A8B7-0AFC065850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 3 occ by metro or regional'!$W$4:$W$6</c:f>
              <c:strCache>
                <c:ptCount val="3"/>
                <c:pt idx="0">
                  <c:v>Metro</c:v>
                </c:pt>
                <c:pt idx="1">
                  <c:v>Regional</c:v>
                </c:pt>
                <c:pt idx="2">
                  <c:v>Both metro and regional</c:v>
                </c:pt>
              </c:strCache>
            </c:strRef>
          </c:cat>
          <c:val>
            <c:numRef>
              <c:f>'Fig 3 occ by metro or regional'!$Y$4:$Y$6</c:f>
              <c:numCache>
                <c:formatCode>0%</c:formatCode>
                <c:ptCount val="3"/>
                <c:pt idx="0">
                  <c:v>0.13066465256797583</c:v>
                </c:pt>
                <c:pt idx="1">
                  <c:v>0.25906344410876131</c:v>
                </c:pt>
                <c:pt idx="2">
                  <c:v>0.61027190332326287</c:v>
                </c:pt>
              </c:numCache>
            </c:numRef>
          </c:val>
          <c:extLst>
            <c:ext xmlns:c16="http://schemas.microsoft.com/office/drawing/2014/chart" uri="{C3380CC4-5D6E-409C-BE32-E72D297353CC}">
              <c16:uniqueId val="{00000006-DBD8-4254-A8B7-0AFC06585086}"/>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2"/>
          <c:order val="0"/>
          <c:tx>
            <c:v>Low</c:v>
          </c:tx>
          <c:spPr>
            <a:solidFill>
              <a:schemeClr val="accent3"/>
            </a:solidFill>
            <a:ln>
              <a:noFill/>
            </a:ln>
            <a:effectLst/>
          </c:spPr>
          <c:invertIfNegative val="0"/>
          <c:cat>
            <c:strRef>
              <c:f>'[calculation check myside (version 1 - RS checking).xlsx]fig 4 metro regional shortages'!$R$23:$T$23</c:f>
              <c:strCache>
                <c:ptCount val="3"/>
                <c:pt idx="0">
                  <c:v>Both metro and regional</c:v>
                </c:pt>
                <c:pt idx="1">
                  <c:v>Regional</c:v>
                </c:pt>
                <c:pt idx="2">
                  <c:v>Metro</c:v>
                </c:pt>
              </c:strCache>
            </c:strRef>
          </c:cat>
          <c:val>
            <c:numRef>
              <c:f>'[calculation check myside (version 1 - RS checking).xlsx]fig 4 metro regional shortages'!$R$32:$T$32</c:f>
              <c:numCache>
                <c:formatCode>0%</c:formatCode>
                <c:ptCount val="3"/>
                <c:pt idx="0">
                  <c:v>0.53349875930521096</c:v>
                </c:pt>
                <c:pt idx="1">
                  <c:v>0.46176470588235297</c:v>
                </c:pt>
                <c:pt idx="2">
                  <c:v>0.19883040935672514</c:v>
                </c:pt>
              </c:numCache>
            </c:numRef>
          </c:val>
          <c:extLst>
            <c:ext xmlns:c16="http://schemas.microsoft.com/office/drawing/2014/chart" uri="{C3380CC4-5D6E-409C-BE32-E72D297353CC}">
              <c16:uniqueId val="{00000000-6549-46BD-A7EC-DFE1026716D0}"/>
            </c:ext>
          </c:extLst>
        </c:ser>
        <c:ser>
          <c:idx val="1"/>
          <c:order val="1"/>
          <c:tx>
            <c:v>Moderate</c:v>
          </c:tx>
          <c:spPr>
            <a:solidFill>
              <a:schemeClr val="accent2"/>
            </a:solidFill>
            <a:ln>
              <a:noFill/>
            </a:ln>
            <a:effectLst/>
          </c:spPr>
          <c:invertIfNegative val="0"/>
          <c:cat>
            <c:strRef>
              <c:f>'[calculation check myside (version 1 - RS checking).xlsx]fig 4 metro regional shortages'!$R$23:$T$23</c:f>
              <c:strCache>
                <c:ptCount val="3"/>
                <c:pt idx="0">
                  <c:v>Both metro and regional</c:v>
                </c:pt>
                <c:pt idx="1">
                  <c:v>Regional</c:v>
                </c:pt>
                <c:pt idx="2">
                  <c:v>Metro</c:v>
                </c:pt>
              </c:strCache>
            </c:strRef>
          </c:cat>
          <c:val>
            <c:numRef>
              <c:f>'[calculation check myside (version 1 - RS checking).xlsx]fig 4 metro regional shortages'!$R$31:$T$31</c:f>
              <c:numCache>
                <c:formatCode>0%</c:formatCode>
                <c:ptCount val="3"/>
                <c:pt idx="0">
                  <c:v>0.30397022332506202</c:v>
                </c:pt>
                <c:pt idx="1">
                  <c:v>0.41176470588235292</c:v>
                </c:pt>
                <c:pt idx="2">
                  <c:v>0.54385964912280704</c:v>
                </c:pt>
              </c:numCache>
            </c:numRef>
          </c:val>
          <c:extLst>
            <c:ext xmlns:c16="http://schemas.microsoft.com/office/drawing/2014/chart" uri="{C3380CC4-5D6E-409C-BE32-E72D297353CC}">
              <c16:uniqueId val="{00000001-6549-46BD-A7EC-DFE1026716D0}"/>
            </c:ext>
          </c:extLst>
        </c:ser>
        <c:ser>
          <c:idx val="0"/>
          <c:order val="2"/>
          <c:tx>
            <c:v>High</c:v>
          </c:tx>
          <c:spPr>
            <a:solidFill>
              <a:schemeClr val="accent1"/>
            </a:solidFill>
            <a:ln>
              <a:noFill/>
            </a:ln>
            <a:effectLst/>
          </c:spPr>
          <c:invertIfNegative val="0"/>
          <c:cat>
            <c:strRef>
              <c:f>'[calculation check myside (version 1 - RS checking).xlsx]fig 4 metro regional shortages'!$R$23:$T$23</c:f>
              <c:strCache>
                <c:ptCount val="3"/>
                <c:pt idx="0">
                  <c:v>Both metro and regional</c:v>
                </c:pt>
                <c:pt idx="1">
                  <c:v>Regional</c:v>
                </c:pt>
                <c:pt idx="2">
                  <c:v>Metro</c:v>
                </c:pt>
              </c:strCache>
            </c:strRef>
          </c:cat>
          <c:val>
            <c:numRef>
              <c:f>'[calculation check myside (version 1 - RS checking).xlsx]fig 4 metro regional shortages'!$R$30:$T$30</c:f>
              <c:numCache>
                <c:formatCode>0%</c:formatCode>
                <c:ptCount val="3"/>
                <c:pt idx="0">
                  <c:v>0.16253101736972705</c:v>
                </c:pt>
                <c:pt idx="1">
                  <c:v>0.12647058823529411</c:v>
                </c:pt>
                <c:pt idx="2">
                  <c:v>0.25730994152046782</c:v>
                </c:pt>
              </c:numCache>
            </c:numRef>
          </c:val>
          <c:extLst>
            <c:ext xmlns:c16="http://schemas.microsoft.com/office/drawing/2014/chart" uri="{C3380CC4-5D6E-409C-BE32-E72D297353CC}">
              <c16:uniqueId val="{00000002-6549-46BD-A7EC-DFE1026716D0}"/>
            </c:ext>
          </c:extLst>
        </c:ser>
        <c:dLbls>
          <c:showLegendKey val="0"/>
          <c:showVal val="0"/>
          <c:showCatName val="0"/>
          <c:showSerName val="0"/>
          <c:showPercent val="0"/>
          <c:showBubbleSize val="0"/>
        </c:dLbls>
        <c:gapWidth val="150"/>
        <c:overlap val="100"/>
        <c:axId val="1086134959"/>
        <c:axId val="1086143119"/>
      </c:barChart>
      <c:catAx>
        <c:axId val="1086134959"/>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6143119"/>
        <c:crosses val="autoZero"/>
        <c:auto val="1"/>
        <c:lblAlgn val="ctr"/>
        <c:lblOffset val="100"/>
        <c:noMultiLvlLbl val="0"/>
      </c:catAx>
      <c:valAx>
        <c:axId val="108614311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6134959"/>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7147983871668838"/>
          <c:y val="4.186420997373598E-2"/>
          <c:w val="0.58202167483573475"/>
          <c:h val="0.88069304496474365"/>
        </c:manualLayout>
      </c:layout>
      <c:barChart>
        <c:barDir val="bar"/>
        <c:grouping val="stacked"/>
        <c:varyColors val="0"/>
        <c:ser>
          <c:idx val="0"/>
          <c:order val="0"/>
          <c:tx>
            <c:strRef>
              <c:f>'fig 5 supply'!$M$34:$M$36</c:f>
              <c:strCache>
                <c:ptCount val="3"/>
                <c:pt idx="0">
                  <c:v>Total</c:v>
                </c:pt>
                <c:pt idx="1">
                  <c:v>Technicians and Trades Workers</c:v>
                </c:pt>
                <c:pt idx="2">
                  <c:v>Community and Personal Service Workers</c:v>
                </c:pt>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B5E2-4120-AC25-8EE11D5542C1}"/>
              </c:ext>
            </c:extLst>
          </c:dPt>
          <c:cat>
            <c:strRef>
              <c:f>'fig 5 supply'!$M$34:$M$41</c:f>
              <c:strCache>
                <c:ptCount val="8"/>
                <c:pt idx="0">
                  <c:v>Total</c:v>
                </c:pt>
                <c:pt idx="1">
                  <c:v>Technicians and Trades Workers</c:v>
                </c:pt>
                <c:pt idx="2">
                  <c:v>Community and Personal Service Workers</c:v>
                </c:pt>
                <c:pt idx="3">
                  <c:v>Machinery Operators and Drivers</c:v>
                </c:pt>
                <c:pt idx="4">
                  <c:v>Labourers</c:v>
                </c:pt>
                <c:pt idx="5">
                  <c:v>Managers</c:v>
                </c:pt>
                <c:pt idx="6">
                  <c:v>Professionals</c:v>
                </c:pt>
                <c:pt idx="7">
                  <c:v>Clerical and Administrative Workers</c:v>
                </c:pt>
              </c:strCache>
            </c:strRef>
          </c:cat>
          <c:val>
            <c:numRef>
              <c:f>'fig 5 supply'!$P$34:$P$41</c:f>
              <c:numCache>
                <c:formatCode>0%</c:formatCode>
                <c:ptCount val="8"/>
                <c:pt idx="0">
                  <c:v>0.78525641025641024</c:v>
                </c:pt>
                <c:pt idx="1">
                  <c:v>0.9247787610619469</c:v>
                </c:pt>
                <c:pt idx="2">
                  <c:v>0.890625</c:v>
                </c:pt>
                <c:pt idx="3">
                  <c:v>0.87878787878787878</c:v>
                </c:pt>
                <c:pt idx="4">
                  <c:v>0.80952380952380953</c:v>
                </c:pt>
                <c:pt idx="5">
                  <c:v>0.73076923076923073</c:v>
                </c:pt>
                <c:pt idx="6">
                  <c:v>0.5539568345323741</c:v>
                </c:pt>
                <c:pt idx="7">
                  <c:v>0.13636363636363635</c:v>
                </c:pt>
              </c:numCache>
            </c:numRef>
          </c:val>
          <c:extLst>
            <c:ext xmlns:c16="http://schemas.microsoft.com/office/drawing/2014/chart" uri="{C3380CC4-5D6E-409C-BE32-E72D297353CC}">
              <c16:uniqueId val="{00000002-B5E2-4120-AC25-8EE11D5542C1}"/>
            </c:ext>
          </c:extLst>
        </c:ser>
        <c:dLbls>
          <c:showLegendKey val="0"/>
          <c:showVal val="0"/>
          <c:showCatName val="0"/>
          <c:showSerName val="0"/>
          <c:showPercent val="0"/>
          <c:showBubbleSize val="0"/>
        </c:dLbls>
        <c:gapWidth val="150"/>
        <c:overlap val="100"/>
        <c:axId val="505109328"/>
        <c:axId val="505108848"/>
      </c:barChart>
      <c:catAx>
        <c:axId val="505109328"/>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108848"/>
        <c:crosses val="autoZero"/>
        <c:auto val="1"/>
        <c:lblAlgn val="ctr"/>
        <c:lblOffset val="100"/>
        <c:noMultiLvlLbl val="0"/>
      </c:catAx>
      <c:valAx>
        <c:axId val="505108848"/>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10932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695927554438862"/>
          <c:y val="7.0555555555555554E-3"/>
          <c:w val="0.6096403894472362"/>
          <c:h val="0.7986577777777778"/>
        </c:manualLayout>
      </c:layout>
      <c:barChart>
        <c:barDir val="bar"/>
        <c:grouping val="clustered"/>
        <c:varyColors val="0"/>
        <c:ser>
          <c:idx val="0"/>
          <c:order val="0"/>
          <c:tx>
            <c:strRef>
              <c:f>'[calculation check myside (version 1 - RS checking).xlsx]fig 6-7 sera_reasnf'!$AW$7</c:f>
              <c:strCache>
                <c:ptCount val="1"/>
                <c:pt idx="0">
                  <c:v>Fill rates &lt; 67%</c:v>
                </c:pt>
              </c:strCache>
            </c:strRef>
          </c:tx>
          <c:spPr>
            <a:solidFill>
              <a:schemeClr val="accent1"/>
            </a:solidFill>
            <a:ln>
              <a:noFill/>
            </a:ln>
            <a:effectLst/>
          </c:spPr>
          <c:invertIfNegative val="0"/>
          <c:cat>
            <c:strRef>
              <c:f>'[calculation check myside (version 1 - RS checking).xlsx]fig 6-7 sera_reasnf'!$AV$8:$AV$14</c:f>
              <c:strCache>
                <c:ptCount val="7"/>
                <c:pt idx="0">
                  <c:v>Technicians and Trades Workers</c:v>
                </c:pt>
                <c:pt idx="1">
                  <c:v>Community and Personal Service Workers</c:v>
                </c:pt>
                <c:pt idx="2">
                  <c:v>Professionals</c:v>
                </c:pt>
                <c:pt idx="3">
                  <c:v>Managers</c:v>
                </c:pt>
                <c:pt idx="4">
                  <c:v>Machinery Operators and Drivers</c:v>
                </c:pt>
                <c:pt idx="5">
                  <c:v>Clerical and Administrative Workers</c:v>
                </c:pt>
                <c:pt idx="6">
                  <c:v>Labourers</c:v>
                </c:pt>
              </c:strCache>
            </c:strRef>
          </c:cat>
          <c:val>
            <c:numRef>
              <c:f>'[calculation check myside (version 1 - RS checking).xlsx]fig 6-7 sera_reasnf'!$AW$8:$AW$14</c:f>
              <c:numCache>
                <c:formatCode>General</c:formatCode>
                <c:ptCount val="7"/>
                <c:pt idx="0">
                  <c:v>50</c:v>
                </c:pt>
                <c:pt idx="1">
                  <c:v>39</c:v>
                </c:pt>
                <c:pt idx="2">
                  <c:v>20</c:v>
                </c:pt>
                <c:pt idx="3">
                  <c:v>3</c:v>
                </c:pt>
                <c:pt idx="4">
                  <c:v>3</c:v>
                </c:pt>
                <c:pt idx="5">
                  <c:v>2</c:v>
                </c:pt>
                <c:pt idx="6">
                  <c:v>0</c:v>
                </c:pt>
              </c:numCache>
            </c:numRef>
          </c:val>
          <c:extLst>
            <c:ext xmlns:c16="http://schemas.microsoft.com/office/drawing/2014/chart" uri="{C3380CC4-5D6E-409C-BE32-E72D297353CC}">
              <c16:uniqueId val="{00000000-E94B-4FAD-AFA9-FB2A79477BCE}"/>
            </c:ext>
          </c:extLst>
        </c:ser>
        <c:ser>
          <c:idx val="1"/>
          <c:order val="1"/>
          <c:tx>
            <c:strRef>
              <c:f>'[calculation check myside (version 1 - RS checking).xlsx]fig 6-7 sera_reasnf'!$AX$7</c:f>
              <c:strCache>
                <c:ptCount val="1"/>
                <c:pt idx="0">
                  <c:v>Fill rates ≥ 67%</c:v>
                </c:pt>
              </c:strCache>
            </c:strRef>
          </c:tx>
          <c:spPr>
            <a:solidFill>
              <a:schemeClr val="accent2"/>
            </a:solidFill>
            <a:ln>
              <a:noFill/>
            </a:ln>
            <a:effectLst/>
          </c:spPr>
          <c:invertIfNegative val="0"/>
          <c:cat>
            <c:strRef>
              <c:f>'[calculation check myside (version 1 - RS checking).xlsx]fig 6-7 sera_reasnf'!$AV$8:$AV$14</c:f>
              <c:strCache>
                <c:ptCount val="7"/>
                <c:pt idx="0">
                  <c:v>Technicians and Trades Workers</c:v>
                </c:pt>
                <c:pt idx="1">
                  <c:v>Community and Personal Service Workers</c:v>
                </c:pt>
                <c:pt idx="2">
                  <c:v>Professionals</c:v>
                </c:pt>
                <c:pt idx="3">
                  <c:v>Managers</c:v>
                </c:pt>
                <c:pt idx="4">
                  <c:v>Machinery Operators and Drivers</c:v>
                </c:pt>
                <c:pt idx="5">
                  <c:v>Clerical and Administrative Workers</c:v>
                </c:pt>
                <c:pt idx="6">
                  <c:v>Labourers</c:v>
                </c:pt>
              </c:strCache>
            </c:strRef>
          </c:cat>
          <c:val>
            <c:numRef>
              <c:f>'[calculation check myside (version 1 - RS checking).xlsx]fig 6-7 sera_reasnf'!$AX$8:$AX$14</c:f>
              <c:numCache>
                <c:formatCode>General</c:formatCode>
                <c:ptCount val="7"/>
                <c:pt idx="0">
                  <c:v>5</c:v>
                </c:pt>
                <c:pt idx="1">
                  <c:v>13</c:v>
                </c:pt>
                <c:pt idx="2">
                  <c:v>30</c:v>
                </c:pt>
                <c:pt idx="3">
                  <c:v>8</c:v>
                </c:pt>
                <c:pt idx="4">
                  <c:v>6</c:v>
                </c:pt>
                <c:pt idx="5">
                  <c:v>12</c:v>
                </c:pt>
                <c:pt idx="6">
                  <c:v>2</c:v>
                </c:pt>
              </c:numCache>
            </c:numRef>
          </c:val>
          <c:extLst>
            <c:ext xmlns:c16="http://schemas.microsoft.com/office/drawing/2014/chart" uri="{C3380CC4-5D6E-409C-BE32-E72D297353CC}">
              <c16:uniqueId val="{00000001-E94B-4FAD-AFA9-FB2A79477BCE}"/>
            </c:ext>
          </c:extLst>
        </c:ser>
        <c:dLbls>
          <c:showLegendKey val="0"/>
          <c:showVal val="0"/>
          <c:showCatName val="0"/>
          <c:showSerName val="0"/>
          <c:showPercent val="0"/>
          <c:showBubbleSize val="0"/>
        </c:dLbls>
        <c:gapWidth val="219"/>
        <c:axId val="1397176095"/>
        <c:axId val="1397161215"/>
      </c:barChart>
      <c:catAx>
        <c:axId val="1397176095"/>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7161215"/>
        <c:crosses val="autoZero"/>
        <c:auto val="1"/>
        <c:lblAlgn val="ctr"/>
        <c:lblOffset val="100"/>
        <c:noMultiLvlLbl val="0"/>
      </c:catAx>
      <c:valAx>
        <c:axId val="13971612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7176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'fig 6-7 sera_reasnf'!$AF$5:$AF$10</c:f>
              <c:strCache>
                <c:ptCount val="6"/>
                <c:pt idx="0">
                  <c:v>Insufficient applicants</c:v>
                </c:pt>
                <c:pt idx="1">
                  <c:v>Lacked experience</c:v>
                </c:pt>
                <c:pt idx="2">
                  <c:v>Lacked qualfiications</c:v>
                </c:pt>
                <c:pt idx="3">
                  <c:v>Lacked technical capabilities</c:v>
                </c:pt>
                <c:pt idx="4">
                  <c:v>Lacked communication skills</c:v>
                </c:pt>
                <c:pt idx="5">
                  <c:v>Other</c:v>
                </c:pt>
              </c:strCache>
            </c:strRef>
          </c:cat>
          <c:val>
            <c:numRef>
              <c:f>'fig 6-7 sera_reasnf'!$AP$5:$AP$10</c:f>
              <c:numCache>
                <c:formatCode>0%</c:formatCode>
                <c:ptCount val="6"/>
                <c:pt idx="0">
                  <c:v>0.71544715447154472</c:v>
                </c:pt>
                <c:pt idx="1">
                  <c:v>0.51219512195121952</c:v>
                </c:pt>
                <c:pt idx="2">
                  <c:v>0.39430894308943087</c:v>
                </c:pt>
                <c:pt idx="3">
                  <c:v>0.38211382113821141</c:v>
                </c:pt>
                <c:pt idx="4">
                  <c:v>0.16666666666666666</c:v>
                </c:pt>
                <c:pt idx="5">
                  <c:v>0.13821138211382114</c:v>
                </c:pt>
              </c:numCache>
            </c:numRef>
          </c:val>
          <c:extLst>
            <c:ext xmlns:c16="http://schemas.microsoft.com/office/drawing/2014/chart" uri="{C3380CC4-5D6E-409C-BE32-E72D297353CC}">
              <c16:uniqueId val="{00000000-16E2-420C-94FA-D5C1920DF138}"/>
            </c:ext>
          </c:extLst>
        </c:ser>
        <c:dLbls>
          <c:showLegendKey val="0"/>
          <c:showVal val="0"/>
          <c:showCatName val="0"/>
          <c:showSerName val="0"/>
          <c:showPercent val="0"/>
          <c:showBubbleSize val="0"/>
        </c:dLbls>
        <c:gapWidth val="219"/>
        <c:axId val="1364123231"/>
        <c:axId val="1364131391"/>
      </c:barChart>
      <c:catAx>
        <c:axId val="1364123231"/>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4131391"/>
        <c:crosses val="autoZero"/>
        <c:auto val="1"/>
        <c:lblAlgn val="ctr"/>
        <c:lblOffset val="100"/>
        <c:noMultiLvlLbl val="0"/>
      </c:catAx>
      <c:valAx>
        <c:axId val="1364131391"/>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4123231"/>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'fig 6-7 sera_reasnf'!$AL$35:$AL$38</c:f>
              <c:strCache>
                <c:ptCount val="4"/>
                <c:pt idx="0">
                  <c:v>1-4</c:v>
                </c:pt>
                <c:pt idx="1">
                  <c:v>5-8</c:v>
                </c:pt>
                <c:pt idx="2">
                  <c:v>9-12</c:v>
                </c:pt>
                <c:pt idx="3">
                  <c:v>13-16</c:v>
                </c:pt>
              </c:strCache>
            </c:strRef>
          </c:cat>
          <c:val>
            <c:numRef>
              <c:f>'fig 6-7 sera_reasnf'!$AN$35:$AN$38</c:f>
              <c:numCache>
                <c:formatCode>0%</c:formatCode>
                <c:ptCount val="4"/>
                <c:pt idx="0">
                  <c:v>1.5748031496062992E-2</c:v>
                </c:pt>
                <c:pt idx="1">
                  <c:v>0.48031496062992124</c:v>
                </c:pt>
                <c:pt idx="2">
                  <c:v>0.20866141732283464</c:v>
                </c:pt>
                <c:pt idx="3">
                  <c:v>0.29527559055118108</c:v>
                </c:pt>
              </c:numCache>
            </c:numRef>
          </c:val>
          <c:extLst>
            <c:ext xmlns:c16="http://schemas.microsoft.com/office/drawing/2014/chart" uri="{C3380CC4-5D6E-409C-BE32-E72D297353CC}">
              <c16:uniqueId val="{00000000-27A8-4FAF-8C0A-E5DC51D287BF}"/>
            </c:ext>
          </c:extLst>
        </c:ser>
        <c:dLbls>
          <c:showLegendKey val="0"/>
          <c:showVal val="0"/>
          <c:showCatName val="0"/>
          <c:showSerName val="0"/>
          <c:showPercent val="0"/>
          <c:showBubbleSize val="0"/>
        </c:dLbls>
        <c:gapWidth val="219"/>
        <c:axId val="2069978079"/>
        <c:axId val="2069973279"/>
      </c:barChart>
      <c:catAx>
        <c:axId val="2069978079"/>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9973279"/>
        <c:crosses val="autoZero"/>
        <c:auto val="1"/>
        <c:lblAlgn val="ctr"/>
        <c:lblOffset val="100"/>
        <c:noMultiLvlLbl val="0"/>
      </c:catAx>
      <c:valAx>
        <c:axId val="2069973279"/>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9978079"/>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15757"/>
    <w:rsid w:val="00022BA7"/>
    <w:rsid w:val="000914F8"/>
    <w:rsid w:val="0012162E"/>
    <w:rsid w:val="00193726"/>
    <w:rsid w:val="00333799"/>
    <w:rsid w:val="00333825"/>
    <w:rsid w:val="0039047E"/>
    <w:rsid w:val="003C2C15"/>
    <w:rsid w:val="00461E16"/>
    <w:rsid w:val="00463BC4"/>
    <w:rsid w:val="00475DED"/>
    <w:rsid w:val="004C6C1E"/>
    <w:rsid w:val="005135AB"/>
    <w:rsid w:val="00513816"/>
    <w:rsid w:val="0058752C"/>
    <w:rsid w:val="005A0B81"/>
    <w:rsid w:val="005C541A"/>
    <w:rsid w:val="00601D23"/>
    <w:rsid w:val="00605004"/>
    <w:rsid w:val="00613044"/>
    <w:rsid w:val="00614CFC"/>
    <w:rsid w:val="00657D92"/>
    <w:rsid w:val="0066452D"/>
    <w:rsid w:val="006D2C4E"/>
    <w:rsid w:val="00A20A30"/>
    <w:rsid w:val="00A85FD6"/>
    <w:rsid w:val="00AA5C14"/>
    <w:rsid w:val="00B27D99"/>
    <w:rsid w:val="00BB763C"/>
    <w:rsid w:val="00BD70CF"/>
    <w:rsid w:val="00BE4D55"/>
    <w:rsid w:val="00C23135"/>
    <w:rsid w:val="00C337DD"/>
    <w:rsid w:val="00C50200"/>
    <w:rsid w:val="00D96126"/>
    <w:rsid w:val="00E16680"/>
    <w:rsid w:val="00E962D2"/>
    <w:rsid w:val="00EA637B"/>
    <w:rsid w:val="00EC6E4F"/>
    <w:rsid w:val="00EE6B08"/>
    <w:rsid w:val="00EF10E5"/>
    <w:rsid w:val="00EF4AC8"/>
    <w:rsid w:val="00EF6149"/>
    <w:rsid w:val="00F84B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C14"/>
    <w:rPr>
      <w:color w:val="808080"/>
    </w:rPr>
  </w:style>
  <w:style w:type="paragraph" w:customStyle="1" w:styleId="2D2D024BDF304EF58EB26857CD7A9952">
    <w:name w:val="2D2D024BDF304EF58EB26857CD7A9952"/>
    <w:rsid w:val="00AA5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rimary data theme">
    <a:dk1>
      <a:srgbClr val="000000"/>
    </a:dk1>
    <a:lt1>
      <a:srgbClr val="FFFFFF"/>
    </a:lt1>
    <a:dk2>
      <a:srgbClr val="000000"/>
    </a:dk2>
    <a:lt2>
      <a:srgbClr val="FFFFFF"/>
    </a:lt2>
    <a:accent1>
      <a:srgbClr val="6929C4"/>
    </a:accent1>
    <a:accent2>
      <a:srgbClr val="009D9A"/>
    </a:accent2>
    <a:accent3>
      <a:srgbClr val="012749"/>
    </a:accent3>
    <a:accent4>
      <a:srgbClr val="EE538B"/>
    </a:accent4>
    <a:accent5>
      <a:srgbClr val="1192E8"/>
    </a:accent5>
    <a:accent6>
      <a:srgbClr val="9F1853"/>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rimary data theme">
    <a:dk1>
      <a:srgbClr val="000000"/>
    </a:dk1>
    <a:lt1>
      <a:srgbClr val="FFFFFF"/>
    </a:lt1>
    <a:dk2>
      <a:srgbClr val="000000"/>
    </a:dk2>
    <a:lt2>
      <a:srgbClr val="FFFFFF"/>
    </a:lt2>
    <a:accent1>
      <a:srgbClr val="6929C4"/>
    </a:accent1>
    <a:accent2>
      <a:srgbClr val="009D9A"/>
    </a:accent2>
    <a:accent3>
      <a:srgbClr val="012749"/>
    </a:accent3>
    <a:accent4>
      <a:srgbClr val="EE538B"/>
    </a:accent4>
    <a:accent5>
      <a:srgbClr val="1192E8"/>
    </a:accent5>
    <a:accent6>
      <a:srgbClr val="9F1853"/>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rimary data theme">
    <a:dk1>
      <a:srgbClr val="000000"/>
    </a:dk1>
    <a:lt1>
      <a:srgbClr val="FFFFFF"/>
    </a:lt1>
    <a:dk2>
      <a:srgbClr val="000000"/>
    </a:dk2>
    <a:lt2>
      <a:srgbClr val="FFFFFF"/>
    </a:lt2>
    <a:accent1>
      <a:srgbClr val="6929C4"/>
    </a:accent1>
    <a:accent2>
      <a:srgbClr val="009D9A"/>
    </a:accent2>
    <a:accent3>
      <a:srgbClr val="012749"/>
    </a:accent3>
    <a:accent4>
      <a:srgbClr val="EE538B"/>
    </a:accent4>
    <a:accent5>
      <a:srgbClr val="1192E8"/>
    </a:accent5>
    <a:accent6>
      <a:srgbClr val="9F1853"/>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94EC4C31997F4DAF6EF5F96F729AC4" ma:contentTypeVersion="18" ma:contentTypeDescription="Create a new document." ma:contentTypeScope="" ma:versionID="d87aa61bb3e06b0abe5c0e83eedd95e3">
  <xsd:schema xmlns:xsd="http://www.w3.org/2001/XMLSchema" xmlns:xs="http://www.w3.org/2001/XMLSchema" xmlns:p="http://schemas.microsoft.com/office/2006/metadata/properties" xmlns:ns2="88bdf61f-9621-4102-acf0-32ab8de1ada4" xmlns:ns3="2346c79d-bae1-4214-a8f2-95f62bc64ea6" targetNamespace="http://schemas.microsoft.com/office/2006/metadata/properties" ma:root="true" ma:fieldsID="cdea568376e63c1f053932d9cf4ddd5d" ns2:_="" ns3:_="">
    <xsd:import namespace="88bdf61f-9621-4102-acf0-32ab8de1ada4"/>
    <xsd:import namespace="2346c79d-bae1-4214-a8f2-95f62bc64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f61f-9621-4102-acf0-32ab8de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6c79d-bae1-4214-a8f2-95f62bc64e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12ceef-ae3b-4855-a9a7-3d2a1cbc952b}" ma:internalName="TaxCatchAll" ma:showField="CatchAllData" ma:web="2346c79d-bae1-4214-a8f2-95f62bc64e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346c79d-bae1-4214-a8f2-95f62bc64ea6"/>
    <lcf76f155ced4ddcb4097134ff3c332f xmlns="88bdf61f-9621-4102-acf0-32ab8de1a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2.xml><?xml version="1.0" encoding="utf-8"?>
<ds:datastoreItem xmlns:ds="http://schemas.openxmlformats.org/officeDocument/2006/customXml" ds:itemID="{F0D4F2F8-A473-4279-A0D2-D0D2B8A0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f61f-9621-4102-acf0-32ab8de1ada4"/>
    <ds:schemaRef ds:uri="2346c79d-bae1-4214-a8f2-95f62bc64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4.xml><?xml version="1.0" encoding="utf-8"?>
<ds:datastoreItem xmlns:ds="http://schemas.openxmlformats.org/officeDocument/2006/customXml" ds:itemID="{44083749-92F8-4312-917A-7ED321D5BB6C}">
  <ds:schemaRef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88bdf61f-9621-4102-acf0-32ab8de1ada4"/>
    <ds:schemaRef ds:uri="http://schemas.microsoft.com/office/infopath/2007/PartnerControls"/>
    <ds:schemaRef ds:uri="2346c79d-bae1-4214-a8f2-95f62bc64ea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2024 Occupation Shortage List</vt:lpstr>
    </vt:vector>
  </TitlesOfParts>
  <Company>JSA</Company>
  <LinksUpToDate>false</LinksUpToDate>
  <CharactersWithSpaces>17608</CharactersWithSpaces>
  <SharedDoc>false</SharedDoc>
  <HLinks>
    <vt:vector size="12" baseType="variant">
      <vt:variant>
        <vt:i4>4063289</vt:i4>
      </vt:variant>
      <vt:variant>
        <vt:i4>3</vt:i4>
      </vt:variant>
      <vt:variant>
        <vt:i4>0</vt:i4>
      </vt:variant>
      <vt:variant>
        <vt:i4>5</vt:i4>
      </vt:variant>
      <vt:variant>
        <vt:lpwstr>https://www.abs.gov.au/statistics/classifications/anzsco-australian-and-new-zealand-standard-classification-occupations/latest-release</vt:lpwstr>
      </vt:variant>
      <vt:variant>
        <vt:lpwstr/>
      </vt:variant>
      <vt:variant>
        <vt:i4>4063289</vt:i4>
      </vt:variant>
      <vt:variant>
        <vt:i4>0</vt:i4>
      </vt:variant>
      <vt:variant>
        <vt:i4>0</vt:i4>
      </vt:variant>
      <vt:variant>
        <vt:i4>5</vt:i4>
      </vt:variant>
      <vt:variant>
        <vt:lpwstr>https://www.abs.gov.au/statistics/classifications/anzsco-australian-and-new-zealand-standard-classification-occupations/latest-release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Occupation Shortage List</dc:title>
  <dc:subject>Report</dc:subject>
  <dc:creator>JSA</dc:creator>
  <cp:keywords>JSA report template</cp:keywords>
  <dc:description>Use this template to create a JSA report</dc:description>
  <cp:lastModifiedBy>WEI,Annie</cp:lastModifiedBy>
  <cp:revision>4</cp:revision>
  <cp:lastPrinted>2024-10-08T04:24:00Z</cp:lastPrinted>
  <dcterms:created xsi:type="dcterms:W3CDTF">2024-09-13T04:42:00Z</dcterms:created>
  <dcterms:modified xsi:type="dcterms:W3CDTF">2024-10-08T04:24:00Z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0x010100F794EC4C31997F4DAF6EF5F96F729AC4</vt:lpwstr>
  </property>
  <property fmtid="{D5CDD505-2E9C-101B-9397-08002B2CF9AE}" pid="10" name="MediaServiceImageTags">
    <vt:lpwstr/>
  </property>
</Properties>
</file>