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77777777" w:rsidR="00EE49FB" w:rsidRDefault="00997F6C"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10EFF736" w:rsidR="004F2369" w:rsidRPr="00AB2FCB" w:rsidRDefault="005240C4"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65F36">
            <w:rPr>
              <w:rFonts w:ascii="Arial" w:hAnsi="Arial" w:cs="Arial"/>
            </w:rPr>
            <w:t>Regional Labour Market Indicator (RLMI)</w:t>
          </w:r>
        </w:sdtContent>
      </w:sdt>
    </w:p>
    <w:p w14:paraId="3DF70E82" w14:textId="0B5F40A1" w:rsidR="004F2369" w:rsidRPr="00AB2FCB" w:rsidRDefault="00F65F36" w:rsidP="00233A75">
      <w:pPr>
        <w:pStyle w:val="Subtitle"/>
        <w:rPr>
          <w:rFonts w:ascii="Arial" w:hAnsi="Arial" w:cs="Arial"/>
        </w:rPr>
      </w:pPr>
      <w:r>
        <w:rPr>
          <w:rFonts w:ascii="Arial" w:hAnsi="Arial" w:cs="Arial"/>
        </w:rPr>
        <w:t>Methodology Paper</w:t>
      </w:r>
    </w:p>
    <w:p w14:paraId="49F46106" w14:textId="63822E7B" w:rsidR="004F2369" w:rsidRPr="00233A75" w:rsidRDefault="004F2369" w:rsidP="5A03A009">
      <w:pPr>
        <w:spacing w:before="460"/>
      </w:pPr>
      <w:r w:rsidRPr="00233A75">
        <w:br w:type="page"/>
      </w:r>
    </w:p>
    <w:p w14:paraId="2C9651D4" w14:textId="77777777" w:rsidR="00B11937" w:rsidRDefault="00B11937" w:rsidP="00E47E48">
      <w:pPr>
        <w:pStyle w:val="TOCHeading"/>
      </w:pPr>
      <w:r>
        <w:lastRenderedPageBreak/>
        <w:t>Contents</w:t>
      </w:r>
    </w:p>
    <w:p w14:paraId="03622766" w14:textId="33C9459A" w:rsidR="00307C4E"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68662800" w:history="1">
        <w:r w:rsidR="00307C4E" w:rsidRPr="00A4056E">
          <w:rPr>
            <w:rStyle w:val="Hyperlink"/>
            <w:noProof/>
          </w:rPr>
          <w:t>RLMI’s Purpose</w:t>
        </w:r>
        <w:r w:rsidR="00307C4E">
          <w:rPr>
            <w:noProof/>
            <w:webHidden/>
          </w:rPr>
          <w:tab/>
        </w:r>
        <w:r w:rsidR="00307C4E">
          <w:rPr>
            <w:noProof/>
            <w:webHidden/>
          </w:rPr>
          <w:fldChar w:fldCharType="begin"/>
        </w:r>
        <w:r w:rsidR="00307C4E">
          <w:rPr>
            <w:noProof/>
            <w:webHidden/>
          </w:rPr>
          <w:instrText xml:space="preserve"> PAGEREF _Toc168662800 \h </w:instrText>
        </w:r>
        <w:r w:rsidR="00307C4E">
          <w:rPr>
            <w:noProof/>
            <w:webHidden/>
          </w:rPr>
        </w:r>
        <w:r w:rsidR="00307C4E">
          <w:rPr>
            <w:noProof/>
            <w:webHidden/>
          </w:rPr>
          <w:fldChar w:fldCharType="separate"/>
        </w:r>
        <w:r w:rsidR="005D57CB">
          <w:rPr>
            <w:noProof/>
            <w:webHidden/>
          </w:rPr>
          <w:t>2</w:t>
        </w:r>
        <w:r w:rsidR="00307C4E">
          <w:rPr>
            <w:noProof/>
            <w:webHidden/>
          </w:rPr>
          <w:fldChar w:fldCharType="end"/>
        </w:r>
      </w:hyperlink>
    </w:p>
    <w:p w14:paraId="678E3757" w14:textId="7D0BFF6E" w:rsidR="00307C4E" w:rsidRDefault="005240C4">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68662801" w:history="1">
        <w:r w:rsidR="00307C4E" w:rsidRPr="00A4056E">
          <w:rPr>
            <w:rStyle w:val="Hyperlink"/>
            <w:noProof/>
          </w:rPr>
          <w:t>Overview of the RLMI</w:t>
        </w:r>
        <w:r w:rsidR="00307C4E">
          <w:rPr>
            <w:noProof/>
            <w:webHidden/>
          </w:rPr>
          <w:tab/>
        </w:r>
        <w:r w:rsidR="00307C4E">
          <w:rPr>
            <w:noProof/>
            <w:webHidden/>
          </w:rPr>
          <w:fldChar w:fldCharType="begin"/>
        </w:r>
        <w:r w:rsidR="00307C4E">
          <w:rPr>
            <w:noProof/>
            <w:webHidden/>
          </w:rPr>
          <w:instrText xml:space="preserve"> PAGEREF _Toc168662801 \h </w:instrText>
        </w:r>
        <w:r w:rsidR="00307C4E">
          <w:rPr>
            <w:noProof/>
            <w:webHidden/>
          </w:rPr>
        </w:r>
        <w:r w:rsidR="00307C4E">
          <w:rPr>
            <w:noProof/>
            <w:webHidden/>
          </w:rPr>
          <w:fldChar w:fldCharType="separate"/>
        </w:r>
        <w:r w:rsidR="005D57CB">
          <w:rPr>
            <w:noProof/>
            <w:webHidden/>
          </w:rPr>
          <w:t>3</w:t>
        </w:r>
        <w:r w:rsidR="00307C4E">
          <w:rPr>
            <w:noProof/>
            <w:webHidden/>
          </w:rPr>
          <w:fldChar w:fldCharType="end"/>
        </w:r>
      </w:hyperlink>
    </w:p>
    <w:p w14:paraId="55EDE2CA" w14:textId="1F07C9A2" w:rsidR="00307C4E" w:rsidRDefault="005240C4">
      <w:pPr>
        <w:pStyle w:val="TOC3"/>
        <w:rPr>
          <w:rFonts w:asciiTheme="minorHAnsi" w:eastAsiaTheme="minorEastAsia" w:hAnsiTheme="minorHAnsi"/>
          <w:noProof/>
          <w:kern w:val="2"/>
          <w:sz w:val="24"/>
          <w:szCs w:val="24"/>
          <w:lang w:eastAsia="en-AU"/>
          <w14:ligatures w14:val="standardContextual"/>
        </w:rPr>
      </w:pPr>
      <w:hyperlink w:anchor="_Toc168662802" w:history="1">
        <w:r w:rsidR="00307C4E" w:rsidRPr="00A4056E">
          <w:rPr>
            <w:rStyle w:val="Hyperlink"/>
            <w:noProof/>
          </w:rPr>
          <w:t>Composite indicator</w:t>
        </w:r>
        <w:r w:rsidR="00307C4E">
          <w:rPr>
            <w:noProof/>
            <w:webHidden/>
          </w:rPr>
          <w:tab/>
        </w:r>
        <w:r w:rsidR="00307C4E">
          <w:rPr>
            <w:noProof/>
            <w:webHidden/>
          </w:rPr>
          <w:fldChar w:fldCharType="begin"/>
        </w:r>
        <w:r w:rsidR="00307C4E">
          <w:rPr>
            <w:noProof/>
            <w:webHidden/>
          </w:rPr>
          <w:instrText xml:space="preserve"> PAGEREF _Toc168662802 \h </w:instrText>
        </w:r>
        <w:r w:rsidR="00307C4E">
          <w:rPr>
            <w:noProof/>
            <w:webHidden/>
          </w:rPr>
        </w:r>
        <w:r w:rsidR="00307C4E">
          <w:rPr>
            <w:noProof/>
            <w:webHidden/>
          </w:rPr>
          <w:fldChar w:fldCharType="separate"/>
        </w:r>
        <w:r w:rsidR="005D57CB">
          <w:rPr>
            <w:noProof/>
            <w:webHidden/>
          </w:rPr>
          <w:t>3</w:t>
        </w:r>
        <w:r w:rsidR="00307C4E">
          <w:rPr>
            <w:noProof/>
            <w:webHidden/>
          </w:rPr>
          <w:fldChar w:fldCharType="end"/>
        </w:r>
      </w:hyperlink>
    </w:p>
    <w:p w14:paraId="22224596" w14:textId="08682837" w:rsidR="00307C4E" w:rsidRDefault="005240C4">
      <w:pPr>
        <w:pStyle w:val="TOC3"/>
        <w:rPr>
          <w:rFonts w:asciiTheme="minorHAnsi" w:eastAsiaTheme="minorEastAsia" w:hAnsiTheme="minorHAnsi"/>
          <w:noProof/>
          <w:kern w:val="2"/>
          <w:sz w:val="24"/>
          <w:szCs w:val="24"/>
          <w:lang w:eastAsia="en-AU"/>
          <w14:ligatures w14:val="standardContextual"/>
        </w:rPr>
      </w:pPr>
      <w:hyperlink w:anchor="_Toc168662803" w:history="1">
        <w:r w:rsidR="00307C4E" w:rsidRPr="00A4056E">
          <w:rPr>
            <w:rStyle w:val="Hyperlink"/>
            <w:noProof/>
          </w:rPr>
          <w:t>Regions</w:t>
        </w:r>
        <w:r w:rsidR="00307C4E">
          <w:rPr>
            <w:noProof/>
            <w:webHidden/>
          </w:rPr>
          <w:tab/>
        </w:r>
        <w:r w:rsidR="00307C4E">
          <w:rPr>
            <w:noProof/>
            <w:webHidden/>
          </w:rPr>
          <w:fldChar w:fldCharType="begin"/>
        </w:r>
        <w:r w:rsidR="00307C4E">
          <w:rPr>
            <w:noProof/>
            <w:webHidden/>
          </w:rPr>
          <w:instrText xml:space="preserve"> PAGEREF _Toc168662803 \h </w:instrText>
        </w:r>
        <w:r w:rsidR="00307C4E">
          <w:rPr>
            <w:noProof/>
            <w:webHidden/>
          </w:rPr>
        </w:r>
        <w:r w:rsidR="00307C4E">
          <w:rPr>
            <w:noProof/>
            <w:webHidden/>
          </w:rPr>
          <w:fldChar w:fldCharType="separate"/>
        </w:r>
        <w:r w:rsidR="005D57CB">
          <w:rPr>
            <w:noProof/>
            <w:webHidden/>
          </w:rPr>
          <w:t>4</w:t>
        </w:r>
        <w:r w:rsidR="00307C4E">
          <w:rPr>
            <w:noProof/>
            <w:webHidden/>
          </w:rPr>
          <w:fldChar w:fldCharType="end"/>
        </w:r>
      </w:hyperlink>
    </w:p>
    <w:p w14:paraId="17D45C0B" w14:textId="67C90CE7" w:rsidR="00307C4E" w:rsidRDefault="005240C4">
      <w:pPr>
        <w:pStyle w:val="TOC3"/>
        <w:rPr>
          <w:rFonts w:asciiTheme="minorHAnsi" w:eastAsiaTheme="minorEastAsia" w:hAnsiTheme="minorHAnsi"/>
          <w:noProof/>
          <w:kern w:val="2"/>
          <w:sz w:val="24"/>
          <w:szCs w:val="24"/>
          <w:lang w:eastAsia="en-AU"/>
          <w14:ligatures w14:val="standardContextual"/>
        </w:rPr>
      </w:pPr>
      <w:hyperlink w:anchor="_Toc168662804" w:history="1">
        <w:r w:rsidR="00307C4E" w:rsidRPr="00A4056E">
          <w:rPr>
            <w:rStyle w:val="Hyperlink"/>
            <w:noProof/>
          </w:rPr>
          <w:t>Factor selection</w:t>
        </w:r>
        <w:r w:rsidR="00307C4E">
          <w:rPr>
            <w:noProof/>
            <w:webHidden/>
          </w:rPr>
          <w:tab/>
        </w:r>
        <w:r w:rsidR="00307C4E">
          <w:rPr>
            <w:noProof/>
            <w:webHidden/>
          </w:rPr>
          <w:fldChar w:fldCharType="begin"/>
        </w:r>
        <w:r w:rsidR="00307C4E">
          <w:rPr>
            <w:noProof/>
            <w:webHidden/>
          </w:rPr>
          <w:instrText xml:space="preserve"> PAGEREF _Toc168662804 \h </w:instrText>
        </w:r>
        <w:r w:rsidR="00307C4E">
          <w:rPr>
            <w:noProof/>
            <w:webHidden/>
          </w:rPr>
        </w:r>
        <w:r w:rsidR="00307C4E">
          <w:rPr>
            <w:noProof/>
            <w:webHidden/>
          </w:rPr>
          <w:fldChar w:fldCharType="separate"/>
        </w:r>
        <w:r w:rsidR="005D57CB">
          <w:rPr>
            <w:noProof/>
            <w:webHidden/>
          </w:rPr>
          <w:t>4</w:t>
        </w:r>
        <w:r w:rsidR="00307C4E">
          <w:rPr>
            <w:noProof/>
            <w:webHidden/>
          </w:rPr>
          <w:fldChar w:fldCharType="end"/>
        </w:r>
      </w:hyperlink>
    </w:p>
    <w:p w14:paraId="48DBCF96" w14:textId="68C8089E" w:rsidR="00307C4E" w:rsidRDefault="005240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05" w:history="1">
        <w:r w:rsidR="00307C4E" w:rsidRPr="00A4056E">
          <w:rPr>
            <w:rStyle w:val="Hyperlink"/>
            <w:noProof/>
          </w:rPr>
          <w:t>Constructing the RLMI</w:t>
        </w:r>
        <w:r w:rsidR="00307C4E">
          <w:rPr>
            <w:noProof/>
            <w:webHidden/>
          </w:rPr>
          <w:tab/>
        </w:r>
        <w:r w:rsidR="00307C4E">
          <w:rPr>
            <w:noProof/>
            <w:webHidden/>
          </w:rPr>
          <w:fldChar w:fldCharType="begin"/>
        </w:r>
        <w:r w:rsidR="00307C4E">
          <w:rPr>
            <w:noProof/>
            <w:webHidden/>
          </w:rPr>
          <w:instrText xml:space="preserve"> PAGEREF _Toc168662805 \h </w:instrText>
        </w:r>
        <w:r w:rsidR="00307C4E">
          <w:rPr>
            <w:noProof/>
            <w:webHidden/>
          </w:rPr>
        </w:r>
        <w:r w:rsidR="00307C4E">
          <w:rPr>
            <w:noProof/>
            <w:webHidden/>
          </w:rPr>
          <w:fldChar w:fldCharType="separate"/>
        </w:r>
        <w:r w:rsidR="005D57CB">
          <w:rPr>
            <w:noProof/>
            <w:webHidden/>
          </w:rPr>
          <w:t>5</w:t>
        </w:r>
        <w:r w:rsidR="00307C4E">
          <w:rPr>
            <w:noProof/>
            <w:webHidden/>
          </w:rPr>
          <w:fldChar w:fldCharType="end"/>
        </w:r>
      </w:hyperlink>
    </w:p>
    <w:p w14:paraId="33B7932C" w14:textId="501E9487" w:rsidR="00307C4E" w:rsidRDefault="005240C4">
      <w:pPr>
        <w:pStyle w:val="TOC3"/>
        <w:rPr>
          <w:rFonts w:asciiTheme="minorHAnsi" w:eastAsiaTheme="minorEastAsia" w:hAnsiTheme="minorHAnsi"/>
          <w:noProof/>
          <w:kern w:val="2"/>
          <w:sz w:val="24"/>
          <w:szCs w:val="24"/>
          <w:lang w:eastAsia="en-AU"/>
          <w14:ligatures w14:val="standardContextual"/>
        </w:rPr>
      </w:pPr>
      <w:hyperlink w:anchor="_Toc168662806" w:history="1">
        <w:r w:rsidR="00307C4E" w:rsidRPr="00A4056E">
          <w:rPr>
            <w:rStyle w:val="Hyperlink"/>
            <w:noProof/>
          </w:rPr>
          <w:t>Standardising the factors (z-score)</w:t>
        </w:r>
        <w:r w:rsidR="00307C4E">
          <w:rPr>
            <w:noProof/>
            <w:webHidden/>
          </w:rPr>
          <w:tab/>
        </w:r>
        <w:r w:rsidR="00307C4E">
          <w:rPr>
            <w:noProof/>
            <w:webHidden/>
          </w:rPr>
          <w:fldChar w:fldCharType="begin"/>
        </w:r>
        <w:r w:rsidR="00307C4E">
          <w:rPr>
            <w:noProof/>
            <w:webHidden/>
          </w:rPr>
          <w:instrText xml:space="preserve"> PAGEREF _Toc168662806 \h </w:instrText>
        </w:r>
        <w:r w:rsidR="00307C4E">
          <w:rPr>
            <w:noProof/>
            <w:webHidden/>
          </w:rPr>
        </w:r>
        <w:r w:rsidR="00307C4E">
          <w:rPr>
            <w:noProof/>
            <w:webHidden/>
          </w:rPr>
          <w:fldChar w:fldCharType="separate"/>
        </w:r>
        <w:r w:rsidR="005D57CB">
          <w:rPr>
            <w:noProof/>
            <w:webHidden/>
          </w:rPr>
          <w:t>5</w:t>
        </w:r>
        <w:r w:rsidR="00307C4E">
          <w:rPr>
            <w:noProof/>
            <w:webHidden/>
          </w:rPr>
          <w:fldChar w:fldCharType="end"/>
        </w:r>
      </w:hyperlink>
    </w:p>
    <w:p w14:paraId="2495C51F" w14:textId="47263FA0" w:rsidR="00307C4E" w:rsidRDefault="005240C4">
      <w:pPr>
        <w:pStyle w:val="TOC3"/>
        <w:rPr>
          <w:rFonts w:asciiTheme="minorHAnsi" w:eastAsiaTheme="minorEastAsia" w:hAnsiTheme="minorHAnsi"/>
          <w:noProof/>
          <w:kern w:val="2"/>
          <w:sz w:val="24"/>
          <w:szCs w:val="24"/>
          <w:lang w:eastAsia="en-AU"/>
          <w14:ligatures w14:val="standardContextual"/>
        </w:rPr>
      </w:pPr>
      <w:hyperlink w:anchor="_Toc168662807" w:history="1">
        <w:r w:rsidR="00307C4E" w:rsidRPr="00A4056E">
          <w:rPr>
            <w:rStyle w:val="Hyperlink"/>
            <w:noProof/>
          </w:rPr>
          <w:t>Assigning a weight to the factors</w:t>
        </w:r>
        <w:r w:rsidR="00307C4E">
          <w:rPr>
            <w:noProof/>
            <w:webHidden/>
          </w:rPr>
          <w:tab/>
        </w:r>
        <w:r w:rsidR="00307C4E">
          <w:rPr>
            <w:noProof/>
            <w:webHidden/>
          </w:rPr>
          <w:fldChar w:fldCharType="begin"/>
        </w:r>
        <w:r w:rsidR="00307C4E">
          <w:rPr>
            <w:noProof/>
            <w:webHidden/>
          </w:rPr>
          <w:instrText xml:space="preserve"> PAGEREF _Toc168662807 \h </w:instrText>
        </w:r>
        <w:r w:rsidR="00307C4E">
          <w:rPr>
            <w:noProof/>
            <w:webHidden/>
          </w:rPr>
        </w:r>
        <w:r w:rsidR="00307C4E">
          <w:rPr>
            <w:noProof/>
            <w:webHidden/>
          </w:rPr>
          <w:fldChar w:fldCharType="separate"/>
        </w:r>
        <w:r w:rsidR="005D57CB">
          <w:rPr>
            <w:noProof/>
            <w:webHidden/>
          </w:rPr>
          <w:t>6</w:t>
        </w:r>
        <w:r w:rsidR="00307C4E">
          <w:rPr>
            <w:noProof/>
            <w:webHidden/>
          </w:rPr>
          <w:fldChar w:fldCharType="end"/>
        </w:r>
      </w:hyperlink>
    </w:p>
    <w:p w14:paraId="20B7EA57" w14:textId="0AB3C4CB" w:rsidR="00307C4E" w:rsidRDefault="005240C4">
      <w:pPr>
        <w:pStyle w:val="TOC3"/>
        <w:rPr>
          <w:rFonts w:asciiTheme="minorHAnsi" w:eastAsiaTheme="minorEastAsia" w:hAnsiTheme="minorHAnsi"/>
          <w:noProof/>
          <w:kern w:val="2"/>
          <w:sz w:val="24"/>
          <w:szCs w:val="24"/>
          <w:lang w:eastAsia="en-AU"/>
          <w14:ligatures w14:val="standardContextual"/>
        </w:rPr>
      </w:pPr>
      <w:hyperlink w:anchor="_Toc168662808" w:history="1">
        <w:r w:rsidR="00307C4E" w:rsidRPr="00A4056E">
          <w:rPr>
            <w:rStyle w:val="Hyperlink"/>
            <w:noProof/>
          </w:rPr>
          <w:t>Assigning a labour market rating</w:t>
        </w:r>
        <w:r w:rsidR="00307C4E">
          <w:rPr>
            <w:noProof/>
            <w:webHidden/>
          </w:rPr>
          <w:tab/>
        </w:r>
        <w:r w:rsidR="00307C4E">
          <w:rPr>
            <w:noProof/>
            <w:webHidden/>
          </w:rPr>
          <w:fldChar w:fldCharType="begin"/>
        </w:r>
        <w:r w:rsidR="00307C4E">
          <w:rPr>
            <w:noProof/>
            <w:webHidden/>
          </w:rPr>
          <w:instrText xml:space="preserve"> PAGEREF _Toc168662808 \h </w:instrText>
        </w:r>
        <w:r w:rsidR="00307C4E">
          <w:rPr>
            <w:noProof/>
            <w:webHidden/>
          </w:rPr>
        </w:r>
        <w:r w:rsidR="00307C4E">
          <w:rPr>
            <w:noProof/>
            <w:webHidden/>
          </w:rPr>
          <w:fldChar w:fldCharType="separate"/>
        </w:r>
        <w:r w:rsidR="005D57CB">
          <w:rPr>
            <w:noProof/>
            <w:webHidden/>
          </w:rPr>
          <w:t>6</w:t>
        </w:r>
        <w:r w:rsidR="00307C4E">
          <w:rPr>
            <w:noProof/>
            <w:webHidden/>
          </w:rPr>
          <w:fldChar w:fldCharType="end"/>
        </w:r>
      </w:hyperlink>
    </w:p>
    <w:p w14:paraId="4AA5C84C" w14:textId="3A552D56" w:rsidR="00307C4E" w:rsidRDefault="005240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09" w:history="1">
        <w:r w:rsidR="00307C4E" w:rsidRPr="00A4056E">
          <w:rPr>
            <w:rStyle w:val="Hyperlink"/>
            <w:noProof/>
          </w:rPr>
          <w:t>Attachments</w:t>
        </w:r>
        <w:r w:rsidR="00307C4E">
          <w:rPr>
            <w:noProof/>
            <w:webHidden/>
          </w:rPr>
          <w:tab/>
        </w:r>
        <w:r w:rsidR="00307C4E">
          <w:rPr>
            <w:noProof/>
            <w:webHidden/>
          </w:rPr>
          <w:fldChar w:fldCharType="begin"/>
        </w:r>
        <w:r w:rsidR="00307C4E">
          <w:rPr>
            <w:noProof/>
            <w:webHidden/>
          </w:rPr>
          <w:instrText xml:space="preserve"> PAGEREF _Toc168662809 \h </w:instrText>
        </w:r>
        <w:r w:rsidR="00307C4E">
          <w:rPr>
            <w:noProof/>
            <w:webHidden/>
          </w:rPr>
        </w:r>
        <w:r w:rsidR="00307C4E">
          <w:rPr>
            <w:noProof/>
            <w:webHidden/>
          </w:rPr>
          <w:fldChar w:fldCharType="separate"/>
        </w:r>
        <w:r w:rsidR="005D57CB">
          <w:rPr>
            <w:noProof/>
            <w:webHidden/>
          </w:rPr>
          <w:t>7</w:t>
        </w:r>
        <w:r w:rsidR="00307C4E">
          <w:rPr>
            <w:noProof/>
            <w:webHidden/>
          </w:rPr>
          <w:fldChar w:fldCharType="end"/>
        </w:r>
      </w:hyperlink>
    </w:p>
    <w:p w14:paraId="5501EA65" w14:textId="090F441B" w:rsidR="00307C4E" w:rsidRDefault="005240C4">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68662810" w:history="1">
        <w:r w:rsidR="00307C4E" w:rsidRPr="00A4056E">
          <w:rPr>
            <w:rStyle w:val="Hyperlink"/>
            <w:noProof/>
          </w:rPr>
          <w:t>Attachment A - Factors included in the RLMI</w:t>
        </w:r>
        <w:r w:rsidR="00307C4E">
          <w:rPr>
            <w:noProof/>
            <w:webHidden/>
          </w:rPr>
          <w:tab/>
        </w:r>
        <w:r w:rsidR="00307C4E">
          <w:rPr>
            <w:noProof/>
            <w:webHidden/>
          </w:rPr>
          <w:fldChar w:fldCharType="begin"/>
        </w:r>
        <w:r w:rsidR="00307C4E">
          <w:rPr>
            <w:noProof/>
            <w:webHidden/>
          </w:rPr>
          <w:instrText xml:space="preserve"> PAGEREF _Toc168662810 \h </w:instrText>
        </w:r>
        <w:r w:rsidR="00307C4E">
          <w:rPr>
            <w:noProof/>
            <w:webHidden/>
          </w:rPr>
        </w:r>
        <w:r w:rsidR="00307C4E">
          <w:rPr>
            <w:noProof/>
            <w:webHidden/>
          </w:rPr>
          <w:fldChar w:fldCharType="separate"/>
        </w:r>
        <w:r w:rsidR="005D57CB">
          <w:rPr>
            <w:noProof/>
            <w:webHidden/>
          </w:rPr>
          <w:t>8</w:t>
        </w:r>
        <w:r w:rsidR="00307C4E">
          <w:rPr>
            <w:noProof/>
            <w:webHidden/>
          </w:rPr>
          <w:fldChar w:fldCharType="end"/>
        </w:r>
      </w:hyperlink>
    </w:p>
    <w:p w14:paraId="4B255BEE" w14:textId="4589F5EA" w:rsidR="00B11937" w:rsidRDefault="00B11937">
      <w:pPr>
        <w:spacing w:after="160" w:line="259" w:lineRule="auto"/>
      </w:pPr>
      <w:r>
        <w:fldChar w:fldCharType="end"/>
      </w:r>
      <w:r>
        <w:br w:type="page"/>
      </w:r>
    </w:p>
    <w:p w14:paraId="0ED32510" w14:textId="01ED3540" w:rsidR="00F65F36" w:rsidRPr="006869E0" w:rsidRDefault="00EC6367" w:rsidP="00F65F36">
      <w:pPr>
        <w:pStyle w:val="Heading1"/>
      </w:pPr>
      <w:bookmarkStart w:id="2" w:name="_Toc168662800"/>
      <w:r>
        <w:lastRenderedPageBreak/>
        <w:t>RLMI’s Purpose</w:t>
      </w:r>
      <w:bookmarkEnd w:id="2"/>
    </w:p>
    <w:p w14:paraId="2DCD7F5D" w14:textId="77777777" w:rsidR="00EC6367" w:rsidRPr="00EC6367" w:rsidRDefault="00EC6367" w:rsidP="00EC6367">
      <w:pPr>
        <w:spacing w:before="120" w:after="120" w:line="276" w:lineRule="auto"/>
        <w:rPr>
          <w:bCs/>
          <w:iCs/>
        </w:rPr>
      </w:pPr>
      <w:bookmarkStart w:id="3" w:name="_Hlk168663591"/>
      <w:r w:rsidRPr="00EC6367">
        <w:rPr>
          <w:bCs/>
          <w:iCs/>
        </w:rPr>
        <w:t xml:space="preserve">Gaining an understanding of the trends that are associated with regional labour market performance will help better inform policy development and assist in ensuring Australia has the necessary pre-requisites to build a better-skilled and more adaptable workforce to position the Australian labour market for the future. </w:t>
      </w:r>
    </w:p>
    <w:p w14:paraId="3F9BE1EA" w14:textId="77777777" w:rsidR="00EC6367" w:rsidRPr="00EC6367" w:rsidRDefault="00EC6367" w:rsidP="00EC6367">
      <w:pPr>
        <w:spacing w:before="120" w:after="120" w:line="276" w:lineRule="auto"/>
        <w:rPr>
          <w:bCs/>
          <w:iCs/>
        </w:rPr>
      </w:pPr>
      <w:r w:rsidRPr="00EC6367">
        <w:rPr>
          <w:bCs/>
          <w:iCs/>
        </w:rPr>
        <w:t>Central to this effort is to measure labour market performance across regions. Doing so, however, is a complex task. For instance, while the unemployment rate is a useful indicator of labour market tightness, it is only one of a number of labour market indicators and identifying common trends across separate indicators can be challenging, particularly at the regional level where labour market indicators are inherently volatile due to poor data quality.</w:t>
      </w:r>
    </w:p>
    <w:p w14:paraId="5A36914B" w14:textId="6EF565E2" w:rsidR="00EC6367" w:rsidRDefault="00EC6367" w:rsidP="00EC6367">
      <w:pPr>
        <w:spacing w:before="120" w:after="120" w:line="276" w:lineRule="auto"/>
        <w:rPr>
          <w:bCs/>
          <w:iCs/>
        </w:rPr>
      </w:pPr>
      <w:r w:rsidRPr="00EC6367">
        <w:rPr>
          <w:bCs/>
          <w:iCs/>
        </w:rPr>
        <w:t>To overcome these challenges, the Regional Labour Market Indicator (RLMI) combines key indicators of spare labour market capacity, from both an employee and employer perspective, into a single, and easy to interpret, summary measure (with regions grouped into distinct categories of overall labour market performance, ranging from ‘poor’ to ‘strong’) which provides an accurate and reliable view of labour market performance</w:t>
      </w:r>
      <w:r w:rsidR="005240C4">
        <w:rPr>
          <w:bCs/>
          <w:iCs/>
        </w:rPr>
        <w:t>, relative to the national average</w:t>
      </w:r>
      <w:r w:rsidRPr="00EC6367">
        <w:rPr>
          <w:bCs/>
          <w:iCs/>
        </w:rPr>
        <w:t>. A strong labour market, that is characterised by a high rate of employment, where employment opportunities are extended to all who want them, is central to a strong economy and prosperous and inclusive society.</w:t>
      </w:r>
    </w:p>
    <w:p w14:paraId="7A70C86D" w14:textId="77777777" w:rsidR="00EC6367" w:rsidRPr="00EC6367" w:rsidRDefault="00EC6367" w:rsidP="00EC6367">
      <w:pPr>
        <w:spacing w:before="120" w:after="120" w:line="276" w:lineRule="auto"/>
        <w:rPr>
          <w:bCs/>
          <w:iCs/>
        </w:rPr>
      </w:pPr>
      <w:r w:rsidRPr="00EC6367">
        <w:rPr>
          <w:bCs/>
          <w:iCs/>
        </w:rPr>
        <w:t>Importantly, the RLMI’s purpose aligns closely with the Australian Government’s approach to consider a broader range of labour market indicators, including of labour market utilisation, to measure progress towards sustained and inclusive full employment, as outlined in </w:t>
      </w:r>
      <w:r w:rsidRPr="00EC6367">
        <w:rPr>
          <w:bCs/>
          <w:i/>
          <w:iCs/>
        </w:rPr>
        <w:t>Working Future: The Australian Government’s White paper on Jobs and Opportunities</w:t>
      </w:r>
      <w:r w:rsidRPr="00EC6367">
        <w:rPr>
          <w:bCs/>
          <w:iCs/>
        </w:rPr>
        <w:t xml:space="preserve">. </w:t>
      </w:r>
    </w:p>
    <w:bookmarkEnd w:id="3"/>
    <w:p w14:paraId="2B947FD2" w14:textId="77777777" w:rsidR="00F65F36" w:rsidRDefault="00F65F36" w:rsidP="00F65F36">
      <w:pPr>
        <w:spacing w:before="120" w:after="120" w:line="276" w:lineRule="auto"/>
        <w:rPr>
          <w:rFonts w:eastAsiaTheme="majorEastAsia" w:cstheme="majorBidi"/>
          <w:b/>
          <w:color w:val="4B0885" w:themeColor="text2"/>
          <w:sz w:val="32"/>
          <w:szCs w:val="32"/>
        </w:rPr>
      </w:pPr>
      <w:r>
        <w:br w:type="page"/>
      </w:r>
    </w:p>
    <w:p w14:paraId="7AF86C6F" w14:textId="77777777" w:rsidR="00F65F36" w:rsidRDefault="00F65F36" w:rsidP="00F65F36">
      <w:pPr>
        <w:pStyle w:val="Heading1"/>
      </w:pPr>
      <w:bookmarkStart w:id="4" w:name="_Toc168662801"/>
      <w:r>
        <w:lastRenderedPageBreak/>
        <w:t>Overview of the RLMI</w:t>
      </w:r>
      <w:bookmarkEnd w:id="4"/>
    </w:p>
    <w:p w14:paraId="0570D403" w14:textId="0CF088B8" w:rsidR="00EC1CE1" w:rsidRDefault="00EC1CE1" w:rsidP="0082743C">
      <w:pPr>
        <w:rPr>
          <w:bCs/>
          <w:iCs/>
        </w:rPr>
      </w:pPr>
      <w:bookmarkStart w:id="5" w:name="_Hlk168662887"/>
      <w:bookmarkStart w:id="6" w:name="_Hlk168663606"/>
      <w:r>
        <w:rPr>
          <w:bCs/>
          <w:iCs/>
        </w:rPr>
        <w:t xml:space="preserve">The RLMI </w:t>
      </w:r>
      <w:r w:rsidRPr="00EC6367">
        <w:rPr>
          <w:bCs/>
          <w:iCs/>
        </w:rPr>
        <w:t>combines key indicators of spare labour market capacity, from both an employee and employer perspective, into a single, and easy to interpret, summary measure which provides an accurate and reliable view of labour market performance</w:t>
      </w:r>
      <w:r w:rsidR="005240C4">
        <w:rPr>
          <w:bCs/>
          <w:iCs/>
        </w:rPr>
        <w:t>, relative to the national average</w:t>
      </w:r>
      <w:r w:rsidRPr="00EC6367">
        <w:rPr>
          <w:bCs/>
          <w:iCs/>
        </w:rPr>
        <w:t xml:space="preserve">. </w:t>
      </w:r>
    </w:p>
    <w:bookmarkEnd w:id="5"/>
    <w:p w14:paraId="14EAA8E8" w14:textId="025802D2" w:rsidR="0082743C" w:rsidRDefault="0082743C" w:rsidP="0082743C">
      <w:r>
        <w:t xml:space="preserve">In defining the RLMI’s purpose, it is helpful to understand what the RLMI is </w:t>
      </w:r>
      <w:r>
        <w:rPr>
          <w:b/>
          <w:bCs/>
          <w:u w:val="single"/>
        </w:rPr>
        <w:t>not:</w:t>
      </w:r>
    </w:p>
    <w:p w14:paraId="095E980A" w14:textId="77777777" w:rsidR="0082743C" w:rsidRDefault="0082743C" w:rsidP="0082743C">
      <w:pPr>
        <w:pStyle w:val="ListParagraph"/>
        <w:numPr>
          <w:ilvl w:val="0"/>
          <w:numId w:val="20"/>
        </w:numPr>
        <w:spacing w:after="160" w:line="259" w:lineRule="auto"/>
        <w:ind w:left="714" w:hanging="357"/>
        <w:contextualSpacing w:val="0"/>
      </w:pPr>
      <w:r>
        <w:t>An indicator of how a region is performing relative to its historical performance</w:t>
      </w:r>
    </w:p>
    <w:p w14:paraId="0CFB5D40" w14:textId="77777777" w:rsidR="0082743C" w:rsidRDefault="0082743C" w:rsidP="0082743C">
      <w:pPr>
        <w:pStyle w:val="ListParagraph"/>
        <w:numPr>
          <w:ilvl w:val="0"/>
          <w:numId w:val="20"/>
        </w:numPr>
        <w:spacing w:after="160" w:line="259" w:lineRule="auto"/>
        <w:ind w:left="714" w:hanging="357"/>
        <w:contextualSpacing w:val="0"/>
      </w:pPr>
      <w:r>
        <w:t>An indicator of how well a region’s skills and capabilities are being utilised</w:t>
      </w:r>
    </w:p>
    <w:p w14:paraId="22351AC5" w14:textId="77777777" w:rsidR="0082743C" w:rsidRDefault="0082743C" w:rsidP="0082743C">
      <w:pPr>
        <w:pStyle w:val="ListParagraph"/>
        <w:numPr>
          <w:ilvl w:val="0"/>
          <w:numId w:val="20"/>
        </w:numPr>
        <w:spacing w:after="160" w:line="259" w:lineRule="auto"/>
        <w:ind w:left="714" w:hanging="357"/>
        <w:contextualSpacing w:val="0"/>
      </w:pPr>
      <w:r>
        <w:t>An indicator of labour market resilience or adaptability</w:t>
      </w:r>
    </w:p>
    <w:p w14:paraId="6A50CC15" w14:textId="77777777" w:rsidR="0082743C" w:rsidRDefault="0082743C" w:rsidP="0082743C">
      <w:pPr>
        <w:pStyle w:val="ListParagraph"/>
        <w:numPr>
          <w:ilvl w:val="0"/>
          <w:numId w:val="20"/>
        </w:numPr>
        <w:spacing w:after="160" w:line="259" w:lineRule="auto"/>
        <w:ind w:left="714" w:hanging="357"/>
        <w:contextualSpacing w:val="0"/>
      </w:pPr>
      <w:r>
        <w:t>An indicator of labour market potential, giving consideration to the characteristics of the region</w:t>
      </w:r>
    </w:p>
    <w:p w14:paraId="616F842B" w14:textId="5332390B" w:rsidR="0082743C" w:rsidRPr="0082743C" w:rsidRDefault="0082743C" w:rsidP="0082743C">
      <w:pPr>
        <w:pStyle w:val="ListParagraph"/>
        <w:numPr>
          <w:ilvl w:val="0"/>
          <w:numId w:val="20"/>
        </w:numPr>
        <w:spacing w:after="160" w:line="259" w:lineRule="auto"/>
        <w:ind w:left="714" w:hanging="357"/>
        <w:contextualSpacing w:val="0"/>
      </w:pPr>
      <w:r>
        <w:t>An indicator that differentiates between cyclical and structural trends</w:t>
      </w:r>
    </w:p>
    <w:p w14:paraId="6D6CC95D" w14:textId="77777777" w:rsidR="00F65F36" w:rsidRDefault="00F65F36" w:rsidP="00F65F36">
      <w:pPr>
        <w:pStyle w:val="Heading3"/>
      </w:pPr>
      <w:bookmarkStart w:id="7" w:name="_Toc168662802"/>
      <w:bookmarkEnd w:id="6"/>
      <w:r>
        <w:t>Composite indicator</w:t>
      </w:r>
      <w:bookmarkEnd w:id="7"/>
    </w:p>
    <w:p w14:paraId="0175E5B5" w14:textId="459E1A4C" w:rsidR="00F65F36" w:rsidRDefault="00F65F36" w:rsidP="00F65F36">
      <w:pPr>
        <w:spacing w:before="120" w:after="120" w:line="276" w:lineRule="auto"/>
      </w:pPr>
      <w:r>
        <w:t xml:space="preserve">Assessing a region’s labour market performance is a complex task as there are a number of factors to consider that may sometimes give contradictory signals about the overall </w:t>
      </w:r>
      <w:r w:rsidR="009F3360">
        <w:t>performance</w:t>
      </w:r>
      <w:r>
        <w:t xml:space="preserve"> of the labour market. For this reason, it is useful in policy analysis and public communication to use a statistical model to combine a range of factors relating to a region’s current labour market performance into a single summary measure, which provides a </w:t>
      </w:r>
      <w:r w:rsidR="00B20C2C">
        <w:t xml:space="preserve">more accurate and reliable </w:t>
      </w:r>
      <w:r>
        <w:t xml:space="preserve">view </w:t>
      </w:r>
      <w:r w:rsidR="00B20C2C">
        <w:t xml:space="preserve">of </w:t>
      </w:r>
      <w:r>
        <w:t>labour market performance</w:t>
      </w:r>
      <w:r>
        <w:rPr>
          <w:rStyle w:val="FootnoteReference"/>
        </w:rPr>
        <w:footnoteReference w:id="2"/>
      </w:r>
      <w:r>
        <w:t xml:space="preserve">. </w:t>
      </w:r>
    </w:p>
    <w:p w14:paraId="43F6E8E3" w14:textId="34B0B1D2" w:rsidR="00EC6367" w:rsidRPr="00EC6367" w:rsidRDefault="00EC6367" w:rsidP="00F65F36">
      <w:pPr>
        <w:spacing w:before="120" w:after="120" w:line="276" w:lineRule="auto"/>
        <w:rPr>
          <w:rFonts w:eastAsia="Aptos" w:cs="Times New Roman"/>
        </w:rPr>
      </w:pPr>
      <w:bookmarkStart w:id="8" w:name="_Hlk168663642"/>
      <w:r w:rsidRPr="00EC6367">
        <w:rPr>
          <w:rFonts w:eastAsia="Aptos" w:cs="Times New Roman"/>
        </w:rPr>
        <w:t xml:space="preserve">In developing the RLMI, a panel of technical experts were consulted to seek technical advice around building a model, taking into consideration the appropriateness of a model to deliver an accurate, reliable and timely assessment of a region’s current labour market </w:t>
      </w:r>
      <w:r w:rsidR="009F3360">
        <w:rPr>
          <w:rFonts w:eastAsia="Aptos" w:cs="Times New Roman"/>
        </w:rPr>
        <w:t>performance</w:t>
      </w:r>
      <w:r w:rsidRPr="00EC6367">
        <w:rPr>
          <w:rFonts w:eastAsia="Aptos" w:cs="Times New Roman"/>
        </w:rPr>
        <w:t>. The panel consisted of technical experts across Jobs and Skills Australia (JSA) and the Department of Employment and Workplace Relations (DEWR), as well as a range of external experts.</w:t>
      </w:r>
    </w:p>
    <w:bookmarkEnd w:id="8"/>
    <w:p w14:paraId="22F9FA0B" w14:textId="190CCFA0" w:rsidR="00F65F36" w:rsidRDefault="00F65F36" w:rsidP="00F65F36">
      <w:pPr>
        <w:spacing w:before="120" w:after="120" w:line="276" w:lineRule="auto"/>
      </w:pPr>
      <w:r>
        <w:t xml:space="preserve">A range of possible approaches were considered during the consultation process, including a composite indicator, principal component analysis, stepwise regression and cluster analysis. After investigating the costs and benefits of the approaches suggested, a composite indicator was chosen as the most appropriate model for rating a region’s current labour market </w:t>
      </w:r>
      <w:r w:rsidR="009F3360">
        <w:t>performance</w:t>
      </w:r>
      <w:r>
        <w:t xml:space="preserve">. </w:t>
      </w:r>
    </w:p>
    <w:p w14:paraId="6AFA2EB1" w14:textId="1DD2E356" w:rsidR="00F65F36" w:rsidRDefault="00F65F36" w:rsidP="00F65F36">
      <w:pPr>
        <w:spacing w:before="120" w:after="120" w:line="276" w:lineRule="auto"/>
      </w:pPr>
      <w:r w:rsidRPr="003E77F6">
        <w:t xml:space="preserve">A composite indicator is </w:t>
      </w:r>
      <w:r>
        <w:t>created</w:t>
      </w:r>
      <w:r w:rsidRPr="003E77F6">
        <w:t xml:space="preserve"> when individual </w:t>
      </w:r>
      <w:r>
        <w:t>factors</w:t>
      </w:r>
      <w:r w:rsidRPr="003E77F6">
        <w:t xml:space="preserve"> are compiled into a single index to measure multi-dimensional concepts which cannot be captured by a single indicator. </w:t>
      </w:r>
      <w:r>
        <w:t xml:space="preserve">They are </w:t>
      </w:r>
      <w:r w:rsidRPr="003E77F6">
        <w:t xml:space="preserve">particularly useful when the dependant variable is not easily quantified, such as in </w:t>
      </w:r>
      <w:r>
        <w:t xml:space="preserve">this </w:t>
      </w:r>
      <w:r w:rsidRPr="003E77F6">
        <w:t xml:space="preserve">case where reliable ratings of relative labour market </w:t>
      </w:r>
      <w:r w:rsidR="009F3360">
        <w:t>performance</w:t>
      </w:r>
      <w:r w:rsidRPr="003E77F6">
        <w:t xml:space="preserve"> </w:t>
      </w:r>
      <w:r>
        <w:t xml:space="preserve">across regions </w:t>
      </w:r>
      <w:r w:rsidRPr="003E77F6">
        <w:t>are not readily available.</w:t>
      </w:r>
    </w:p>
    <w:p w14:paraId="1ADE3892" w14:textId="77777777" w:rsidR="00F65F36" w:rsidRPr="003E77F6" w:rsidRDefault="00F65F36" w:rsidP="00F65F36">
      <w:pPr>
        <w:spacing w:before="120" w:after="120" w:line="276" w:lineRule="auto"/>
      </w:pPr>
      <w:r>
        <w:t xml:space="preserve">Another important consideration in choosing a composite indicator was concern raised that using a principal component analysis or stepwise regression model may be susceptible to minimising the importance of relevant factors. This was particularly important for the RLMI as </w:t>
      </w:r>
      <w:r>
        <w:lastRenderedPageBreak/>
        <w:t xml:space="preserve">many of the factors that were considered for inclusion could be broadly grouped into measures of labour supply and utilisation that may have resulted in the minimisation of the few measures of labour demand that were considered for inclusion, despite their importance. </w:t>
      </w:r>
    </w:p>
    <w:p w14:paraId="5A2D0970" w14:textId="77777777" w:rsidR="00F65F36" w:rsidRDefault="00F65F36" w:rsidP="00F65F36">
      <w:pPr>
        <w:spacing w:before="120" w:after="120" w:line="276" w:lineRule="auto"/>
      </w:pPr>
      <w:r w:rsidRPr="003E77F6">
        <w:t xml:space="preserve">Composite indicator models are already used by others in </w:t>
      </w:r>
      <w:r>
        <w:t xml:space="preserve">relation to </w:t>
      </w:r>
      <w:r w:rsidRPr="003E77F6">
        <w:t xml:space="preserve">Australia, including </w:t>
      </w:r>
      <w:r>
        <w:t xml:space="preserve">the </w:t>
      </w:r>
      <w:r w:rsidRPr="003E77F6">
        <w:t xml:space="preserve">OECD </w:t>
      </w:r>
      <w:r w:rsidRPr="001842E1">
        <w:t>Getting Skills Right – Australia</w:t>
      </w:r>
      <w:r w:rsidRPr="003E77F6">
        <w:t xml:space="preserve"> (2018); Sue Richardson </w:t>
      </w:r>
      <w:r w:rsidRPr="001842E1">
        <w:t>What is a skill shortage?</w:t>
      </w:r>
      <w:r w:rsidRPr="003E77F6">
        <w:t xml:space="preserve"> (2007); </w:t>
      </w:r>
      <w:r>
        <w:t xml:space="preserve">the </w:t>
      </w:r>
      <w:r w:rsidRPr="003E77F6">
        <w:t xml:space="preserve">NSC </w:t>
      </w:r>
      <w:r w:rsidRPr="001842E1">
        <w:t>Interim Skills Shortage methodology research and prototypes</w:t>
      </w:r>
      <w:r w:rsidRPr="003E77F6">
        <w:t xml:space="preserve"> (2020)</w:t>
      </w:r>
      <w:r>
        <w:t xml:space="preserve"> and the ABS’ Digital Intensity Index (2023)</w:t>
      </w:r>
      <w:r w:rsidRPr="003E77F6">
        <w:t xml:space="preserve">. </w:t>
      </w:r>
    </w:p>
    <w:p w14:paraId="77F087A6" w14:textId="77777777" w:rsidR="0082743C" w:rsidRPr="00F65F36" w:rsidRDefault="0082743C" w:rsidP="0082743C">
      <w:pPr>
        <w:pStyle w:val="Heading3"/>
      </w:pPr>
      <w:bookmarkStart w:id="9" w:name="_Toc168662803"/>
      <w:r w:rsidRPr="00F65F36">
        <w:rPr>
          <w:rStyle w:val="Heading5Char"/>
          <w:rFonts w:cstheme="majorBidi"/>
          <w:sz w:val="26"/>
          <w:szCs w:val="24"/>
        </w:rPr>
        <w:t>Regions</w:t>
      </w:r>
      <w:bookmarkEnd w:id="9"/>
    </w:p>
    <w:p w14:paraId="6190D5B3" w14:textId="77777777" w:rsidR="0082743C" w:rsidRDefault="0082743C" w:rsidP="0082743C">
      <w:pPr>
        <w:spacing w:before="120" w:after="120" w:line="276" w:lineRule="auto"/>
      </w:pPr>
      <w:r>
        <w:t xml:space="preserve">‘Regions’ can be defined in many ways. Structured and well-defined regions are essential for data analysis (particularly for comparative analysis). The RLMI produces ratings at the Statistical Area 4 (SA4) level of the Australian Statistical Geography Standard (ASGS). Importantly, SA4s cover the whole of Australia, reflect the location of people and communities and broadly reflect labour markets and the functional areas of capital cities. There is a variety of regional data available at the SA4 level, which makes it a commonly used spatial unit for regional analysis. </w:t>
      </w:r>
    </w:p>
    <w:p w14:paraId="0C633189" w14:textId="77777777" w:rsidR="0082743C" w:rsidRPr="00A3568E" w:rsidRDefault="0082743C" w:rsidP="0082743C">
      <w:pPr>
        <w:spacing w:before="120" w:after="120" w:line="276" w:lineRule="auto"/>
      </w:pPr>
      <w:r>
        <w:t>That said, it is important to bear in mind there are some limitations when using SA4 boundaries. For instance, SA4’s are not perfectly self-contained labour markets, with people often living and working in different SA4s, with research by the Reserve Bank of Australia (RBA) estimating that around 27% of people work in a different SA4 than they live in</w:t>
      </w:r>
      <w:r>
        <w:rPr>
          <w:rStyle w:val="FootnoteReference"/>
        </w:rPr>
        <w:footnoteReference w:id="3"/>
      </w:r>
      <w:r>
        <w:t xml:space="preserve">. This is more common in capital city areas, where people commute between neighbouring SA4s, as well as in border communities, as SA4s do not cross state and territory borders. For this reason, labour market ratings may not strictly reflect labour market conditions in the region, but rather conditions for people living in the region. </w:t>
      </w:r>
    </w:p>
    <w:p w14:paraId="0CCFE3B5" w14:textId="77777777" w:rsidR="00F65F36" w:rsidRPr="009857C6" w:rsidRDefault="00F65F36" w:rsidP="00F65F36">
      <w:pPr>
        <w:pStyle w:val="Heading3"/>
      </w:pPr>
      <w:bookmarkStart w:id="10" w:name="_Hlk146621808"/>
      <w:bookmarkStart w:id="11" w:name="_Toc168662804"/>
      <w:r w:rsidRPr="00331B18">
        <w:t>Factor selection</w:t>
      </w:r>
      <w:bookmarkEnd w:id="10"/>
      <w:bookmarkEnd w:id="11"/>
    </w:p>
    <w:p w14:paraId="1E5F5E50" w14:textId="202DF3B9" w:rsidR="00F65F36" w:rsidRPr="003E77F6" w:rsidRDefault="00F65F36" w:rsidP="00F65F36">
      <w:pPr>
        <w:spacing w:before="120" w:after="120" w:line="276" w:lineRule="auto"/>
      </w:pPr>
      <w:r>
        <w:t xml:space="preserve">A range of </w:t>
      </w:r>
      <w:r w:rsidR="004F6FCE">
        <w:t>key</w:t>
      </w:r>
      <w:r>
        <w:t xml:space="preserve"> measures of labour market </w:t>
      </w:r>
      <w:r w:rsidR="009F3360">
        <w:t>performance</w:t>
      </w:r>
      <w:r>
        <w:t xml:space="preserve"> were considered for inclusion in the RLMI</w:t>
      </w:r>
      <w:r w:rsidRPr="003E77F6">
        <w:t xml:space="preserve">. </w:t>
      </w:r>
      <w:r>
        <w:t>Despite their increasing usefulness in policy analysis and public communication, composite indicators may suffer from conceptual and statistical flaws due to a lack of transparency in the factor selection decision making process. To minimise these risks, w</w:t>
      </w:r>
      <w:r w:rsidRPr="0096203F">
        <w:t xml:space="preserve">hen considering factor selection, a number of broader considerations </w:t>
      </w:r>
      <w:r>
        <w:t>are</w:t>
      </w:r>
      <w:r w:rsidRPr="0096203F">
        <w:t xml:space="preserve"> taken into account:</w:t>
      </w:r>
    </w:p>
    <w:p w14:paraId="4BB1E872" w14:textId="77777777" w:rsidR="00F65F36" w:rsidRDefault="00F65F36" w:rsidP="00F65F36">
      <w:pPr>
        <w:pStyle w:val="ListParagraph"/>
        <w:numPr>
          <w:ilvl w:val="0"/>
          <w:numId w:val="19"/>
        </w:numPr>
        <w:spacing w:before="120" w:after="160" w:line="259" w:lineRule="auto"/>
        <w:contextualSpacing w:val="0"/>
      </w:pPr>
      <w:r w:rsidRPr="000F4B26">
        <w:rPr>
          <w:b/>
          <w:bCs/>
        </w:rPr>
        <w:t>Business sense</w:t>
      </w:r>
      <w:r w:rsidRPr="003E77F6">
        <w:t xml:space="preserve">: The inclusion of the factor </w:t>
      </w:r>
      <w:r>
        <w:t xml:space="preserve">aligns </w:t>
      </w:r>
      <w:r w:rsidRPr="003E77F6">
        <w:t xml:space="preserve">with the needs of the </w:t>
      </w:r>
      <w:r>
        <w:t>composite indicator</w:t>
      </w:r>
      <w:r w:rsidRPr="003E77F6">
        <w:t xml:space="preserve">. </w:t>
      </w:r>
    </w:p>
    <w:p w14:paraId="032F3EE6" w14:textId="586E5E7C" w:rsidR="00F65F36" w:rsidRPr="003E77F6" w:rsidRDefault="00F65F36" w:rsidP="00F65F36">
      <w:pPr>
        <w:pStyle w:val="ListParagraph"/>
        <w:numPr>
          <w:ilvl w:val="0"/>
          <w:numId w:val="19"/>
        </w:numPr>
        <w:spacing w:before="120" w:after="160" w:line="259" w:lineRule="auto"/>
        <w:contextualSpacing w:val="0"/>
      </w:pPr>
      <w:r w:rsidRPr="000F4B26">
        <w:rPr>
          <w:b/>
          <w:bCs/>
        </w:rPr>
        <w:t>Quality</w:t>
      </w:r>
      <w:r w:rsidRPr="003E77F6">
        <w:t xml:space="preserve">: The data are considered accurate and reliable, with particular consideration given to data volatility, </w:t>
      </w:r>
      <w:r w:rsidR="003873EB">
        <w:t>sampling variability as measured by relative standard error</w:t>
      </w:r>
      <w:r w:rsidRPr="003E77F6">
        <w:t>s and revisions.</w:t>
      </w:r>
    </w:p>
    <w:p w14:paraId="468CBD18" w14:textId="77777777" w:rsidR="00F65F36" w:rsidRPr="003E77F6" w:rsidRDefault="00F65F36" w:rsidP="00F65F36">
      <w:pPr>
        <w:pStyle w:val="ListParagraph"/>
        <w:spacing w:before="120"/>
        <w:contextualSpacing w:val="0"/>
      </w:pPr>
      <w:r w:rsidRPr="000F4B26">
        <w:rPr>
          <w:b/>
          <w:bCs/>
        </w:rPr>
        <w:t>Frequency</w:t>
      </w:r>
      <w:r w:rsidRPr="003E77F6">
        <w:t>: The data can be provided regularly for robust and timely analysis</w:t>
      </w:r>
      <w:r>
        <w:t>.</w:t>
      </w:r>
    </w:p>
    <w:p w14:paraId="203F1CC3" w14:textId="77777777" w:rsidR="00F65F36" w:rsidRPr="003E77F6" w:rsidRDefault="00F65F36" w:rsidP="00F65F36">
      <w:pPr>
        <w:pStyle w:val="ListParagraph"/>
        <w:numPr>
          <w:ilvl w:val="0"/>
          <w:numId w:val="19"/>
        </w:numPr>
        <w:spacing w:before="120" w:after="160" w:line="259" w:lineRule="auto"/>
        <w:contextualSpacing w:val="0"/>
      </w:pPr>
      <w:r w:rsidRPr="000F4B26">
        <w:rPr>
          <w:b/>
          <w:bCs/>
        </w:rPr>
        <w:t>Accessibility</w:t>
      </w:r>
      <w:r w:rsidRPr="003E77F6">
        <w:t xml:space="preserve">: The data underpinning each factor </w:t>
      </w:r>
      <w:r>
        <w:t>is accessible</w:t>
      </w:r>
      <w:r w:rsidRPr="003E77F6">
        <w:t>.</w:t>
      </w:r>
    </w:p>
    <w:p w14:paraId="303F238E" w14:textId="77777777" w:rsidR="00F65F36" w:rsidRPr="003E77F6" w:rsidRDefault="00F65F36" w:rsidP="00F65F36">
      <w:pPr>
        <w:pStyle w:val="ListParagraph"/>
        <w:numPr>
          <w:ilvl w:val="0"/>
          <w:numId w:val="19"/>
        </w:numPr>
        <w:spacing w:before="120" w:after="160" w:line="259" w:lineRule="auto"/>
        <w:contextualSpacing w:val="0"/>
      </w:pPr>
      <w:r w:rsidRPr="000F4B26">
        <w:rPr>
          <w:b/>
          <w:bCs/>
        </w:rPr>
        <w:t>Comprehension</w:t>
      </w:r>
      <w:r w:rsidRPr="003E77F6">
        <w:t>: The factor can be easily interpreted by stakeholders.</w:t>
      </w:r>
    </w:p>
    <w:p w14:paraId="0143D9B4" w14:textId="77777777" w:rsidR="00F65F36" w:rsidRDefault="00F65F36" w:rsidP="00F65F36">
      <w:pPr>
        <w:pStyle w:val="ListParagraph"/>
        <w:numPr>
          <w:ilvl w:val="0"/>
          <w:numId w:val="16"/>
        </w:numPr>
        <w:spacing w:before="120" w:after="160" w:line="259" w:lineRule="auto"/>
        <w:ind w:left="714" w:hanging="357"/>
        <w:contextualSpacing w:val="0"/>
      </w:pPr>
      <w:r w:rsidRPr="000F4B26">
        <w:rPr>
          <w:b/>
          <w:bCs/>
        </w:rPr>
        <w:lastRenderedPageBreak/>
        <w:t>Uniqueness</w:t>
      </w:r>
      <w:r w:rsidRPr="003E77F6">
        <w:t xml:space="preserve">: The factor measures something that cannot be captured by other factors already included in the </w:t>
      </w:r>
      <w:r>
        <w:t>composite indicator</w:t>
      </w:r>
      <w:r w:rsidRPr="003E77F6">
        <w:t xml:space="preserve">. </w:t>
      </w:r>
    </w:p>
    <w:p w14:paraId="23037D13" w14:textId="77777777" w:rsidR="00F65F36" w:rsidRPr="003E77F6" w:rsidRDefault="00F65F36" w:rsidP="00F65F36">
      <w:pPr>
        <w:pStyle w:val="ListParagraph"/>
        <w:numPr>
          <w:ilvl w:val="0"/>
          <w:numId w:val="16"/>
        </w:numPr>
        <w:spacing w:before="120" w:after="160" w:line="259" w:lineRule="auto"/>
        <w:contextualSpacing w:val="0"/>
      </w:pPr>
      <w:r w:rsidRPr="000F4B26">
        <w:rPr>
          <w:b/>
          <w:bCs/>
        </w:rPr>
        <w:t>Longevity</w:t>
      </w:r>
      <w:r w:rsidRPr="003E77F6">
        <w:t>: There is a low likelihood of the data being ceased in the near future and there is sufficient historical data to support analysis and testing.</w:t>
      </w:r>
    </w:p>
    <w:p w14:paraId="57E1FB99" w14:textId="2F7D649A" w:rsidR="00F65F36" w:rsidRPr="004512D6" w:rsidRDefault="00F65F36" w:rsidP="00F65F36">
      <w:pPr>
        <w:spacing w:before="120" w:after="120" w:line="276" w:lineRule="auto"/>
      </w:pPr>
      <w:r>
        <w:t>To ensure uniqueness of the factors, a Pearson correlation coefficient has been used to test for statistical correlation</w:t>
      </w:r>
      <w:r w:rsidR="003873EB">
        <w:t xml:space="preserve"> between factors</w:t>
      </w:r>
      <w:r>
        <w:t xml:space="preserve">. This helps predict the relationship between factors and reduces the risk of multicollinearity that can undermine the statistical significance of the composite indicator.  </w:t>
      </w:r>
    </w:p>
    <w:p w14:paraId="7FA6D007" w14:textId="71703BF7" w:rsidR="00EC6367" w:rsidRDefault="00F65F36" w:rsidP="00F65F36">
      <w:pPr>
        <w:spacing w:before="120" w:after="120" w:line="276" w:lineRule="auto"/>
      </w:pPr>
      <w:r>
        <w:t xml:space="preserve">The 5 factors currently included in the RLMI are listed below (see </w:t>
      </w:r>
      <w:r w:rsidRPr="001842E1">
        <w:rPr>
          <w:u w:val="single"/>
        </w:rPr>
        <w:t xml:space="preserve">Attachment </w:t>
      </w:r>
      <w:r w:rsidR="00A50513">
        <w:rPr>
          <w:u w:val="single"/>
        </w:rPr>
        <w:t>A</w:t>
      </w:r>
      <w:r>
        <w:t xml:space="preserve"> for a more detailed overview of the factors). The factors can be grouped into broader measures of labour supply, demand and utilisation.</w:t>
      </w:r>
    </w:p>
    <w:tbl>
      <w:tblPr>
        <w:tblStyle w:val="PlainTable41"/>
        <w:tblW w:w="5000" w:type="pct"/>
        <w:tblLook w:val="0480" w:firstRow="0" w:lastRow="0" w:firstColumn="1" w:lastColumn="0" w:noHBand="0" w:noVBand="1"/>
      </w:tblPr>
      <w:tblGrid>
        <w:gridCol w:w="2793"/>
        <w:gridCol w:w="3776"/>
        <w:gridCol w:w="1305"/>
        <w:gridCol w:w="1152"/>
      </w:tblGrid>
      <w:tr w:rsidR="00B20C2C" w:rsidRPr="003E77F6" w14:paraId="46EC5848" w14:textId="00FEF236"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441170"/>
            <w:vAlign w:val="bottom"/>
          </w:tcPr>
          <w:p w14:paraId="63536425" w14:textId="77777777" w:rsidR="00B20C2C" w:rsidRPr="00F46CCF" w:rsidRDefault="00B20C2C" w:rsidP="00216716">
            <w:pPr>
              <w:spacing w:before="120" w:after="120"/>
              <w:rPr>
                <w:b w:val="0"/>
                <w:bCs w:val="0"/>
                <w:color w:val="FFFFFF"/>
                <w:lang w:val="en-US"/>
              </w:rPr>
            </w:pPr>
            <w:r w:rsidRPr="00F46CCF">
              <w:rPr>
                <w:b w:val="0"/>
                <w:bCs w:val="0"/>
                <w:color w:val="FFFFFF"/>
                <w:lang w:val="en-US"/>
              </w:rPr>
              <w:t>Factor</w:t>
            </w:r>
          </w:p>
        </w:tc>
        <w:tc>
          <w:tcPr>
            <w:tcW w:w="2092" w:type="pct"/>
            <w:shd w:val="clear" w:color="auto" w:fill="441170"/>
            <w:vAlign w:val="bottom"/>
          </w:tcPr>
          <w:p w14:paraId="1135BD7B"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color w:val="FFFFFF"/>
                <w:lang w:val="en-US"/>
              </w:rPr>
            </w:pPr>
            <w:r w:rsidRPr="003E77F6">
              <w:rPr>
                <w:color w:val="FFFFFF"/>
                <w:lang w:val="en-US"/>
              </w:rPr>
              <w:t>Description</w:t>
            </w:r>
          </w:p>
        </w:tc>
        <w:tc>
          <w:tcPr>
            <w:tcW w:w="723" w:type="pct"/>
            <w:shd w:val="clear" w:color="auto" w:fill="441170"/>
          </w:tcPr>
          <w:p w14:paraId="55B2C996" w14:textId="77777777" w:rsidR="00B20C2C" w:rsidRPr="003E77F6"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color w:val="FFFFFF"/>
                <w:lang w:val="en-US"/>
              </w:rPr>
            </w:pPr>
            <w:r>
              <w:rPr>
                <w:color w:val="FFFFFF"/>
                <w:lang w:val="en-US"/>
              </w:rPr>
              <w:t>Geography</w:t>
            </w:r>
          </w:p>
        </w:tc>
        <w:tc>
          <w:tcPr>
            <w:tcW w:w="638" w:type="pct"/>
            <w:shd w:val="clear" w:color="auto" w:fill="441170"/>
          </w:tcPr>
          <w:p w14:paraId="4F9EB398" w14:textId="7E759A3E"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color w:val="FFFFFF"/>
                <w:lang w:val="en-US"/>
              </w:rPr>
            </w:pPr>
            <w:r>
              <w:rPr>
                <w:color w:val="FFFFFF"/>
                <w:lang w:val="en-US"/>
              </w:rPr>
              <w:t>Weight</w:t>
            </w:r>
          </w:p>
        </w:tc>
      </w:tr>
      <w:tr w:rsidR="00B20C2C" w:rsidRPr="009C2FB6" w14:paraId="0F9188CD" w14:textId="165CADFB"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7403A55C" w14:textId="77777777" w:rsidR="00B20C2C" w:rsidRPr="009C2FB6" w:rsidRDefault="00B20C2C" w:rsidP="00216716">
            <w:pPr>
              <w:spacing w:before="120" w:after="120"/>
              <w:rPr>
                <w:rFonts w:cs="Arial"/>
                <w:b w:val="0"/>
                <w:bCs w:val="0"/>
                <w:color w:val="000000"/>
              </w:rPr>
            </w:pPr>
            <w:r w:rsidRPr="003E77F6">
              <w:rPr>
                <w:b w:val="0"/>
                <w:color w:val="000000"/>
              </w:rPr>
              <w:t xml:space="preserve">Employment </w:t>
            </w:r>
            <w:r w:rsidRPr="003E77F6">
              <w:rPr>
                <w:rFonts w:cs="Arial"/>
                <w:b w:val="0"/>
                <w:bCs w:val="0"/>
                <w:color w:val="000000"/>
              </w:rPr>
              <w:t>rate (15-64</w:t>
            </w:r>
            <w:r w:rsidRPr="003E77F6">
              <w:rPr>
                <w:b w:val="0"/>
                <w:color w:val="000000"/>
              </w:rPr>
              <w:t xml:space="preserve"> years</w:t>
            </w:r>
            <w:r w:rsidRPr="003E77F6">
              <w:rPr>
                <w:rFonts w:cs="Arial"/>
                <w:b w:val="0"/>
                <w:bCs w:val="0"/>
                <w:color w:val="000000"/>
              </w:rPr>
              <w:t>)</w:t>
            </w:r>
          </w:p>
        </w:tc>
        <w:tc>
          <w:tcPr>
            <w:tcW w:w="2092" w:type="pct"/>
            <w:shd w:val="clear" w:color="auto" w:fill="F2F2F2" w:themeFill="background1" w:themeFillShade="F2"/>
          </w:tcPr>
          <w:p w14:paraId="4AEBA724" w14:textId="77777777" w:rsidR="00B20C2C" w:rsidRPr="009C2FB6"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rPr>
            </w:pPr>
            <w:r w:rsidRPr="003E77F6">
              <w:rPr>
                <w:rFonts w:cs="Arial"/>
              </w:rPr>
              <w:t>The number of employed persons as a proportion of the working age (15-64 years) population (%)</w:t>
            </w:r>
          </w:p>
        </w:tc>
        <w:tc>
          <w:tcPr>
            <w:tcW w:w="723" w:type="pct"/>
            <w:shd w:val="clear" w:color="auto" w:fill="F2F2F2" w:themeFill="background1" w:themeFillShade="F2"/>
          </w:tcPr>
          <w:p w14:paraId="4D77FF7F" w14:textId="77777777" w:rsidR="00B20C2C" w:rsidRPr="003E77F6"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SA4</w:t>
            </w:r>
          </w:p>
        </w:tc>
        <w:tc>
          <w:tcPr>
            <w:tcW w:w="638" w:type="pct"/>
            <w:shd w:val="clear" w:color="auto" w:fill="F2F2F2" w:themeFill="background1" w:themeFillShade="F2"/>
          </w:tcPr>
          <w:p w14:paraId="7C8B3A5D" w14:textId="5B8B2562"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w:t>
            </w:r>
            <w:r w:rsidR="00F77796">
              <w:rPr>
                <w:rFonts w:cs="Arial"/>
              </w:rPr>
              <w:t>0</w:t>
            </w:r>
          </w:p>
        </w:tc>
      </w:tr>
      <w:tr w:rsidR="00B20C2C" w:rsidRPr="009C2FB6" w14:paraId="40ED5C9E" w14:textId="044B0D3B"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FFFFFF" w:themeFill="background1"/>
          </w:tcPr>
          <w:p w14:paraId="5D39D5E5" w14:textId="77777777" w:rsidR="00B20C2C" w:rsidRPr="0011605D" w:rsidRDefault="00B20C2C" w:rsidP="00216716">
            <w:pPr>
              <w:spacing w:before="120" w:after="120"/>
              <w:rPr>
                <w:rFonts w:cs="Arial"/>
                <w:b w:val="0"/>
                <w:bCs w:val="0"/>
                <w:color w:val="000000"/>
              </w:rPr>
            </w:pPr>
            <w:r w:rsidRPr="003E77F6">
              <w:rPr>
                <w:rFonts w:cs="Arial"/>
                <w:b w:val="0"/>
                <w:bCs w:val="0"/>
                <w:color w:val="000000"/>
              </w:rPr>
              <w:t xml:space="preserve">Unemployment rate </w:t>
            </w:r>
          </w:p>
        </w:tc>
        <w:tc>
          <w:tcPr>
            <w:tcW w:w="2092" w:type="pct"/>
            <w:shd w:val="clear" w:color="auto" w:fill="FFFFFF" w:themeFill="background1"/>
          </w:tcPr>
          <w:p w14:paraId="0ECF9F97"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E77F6">
              <w:rPr>
                <w:rFonts w:cs="Arial"/>
              </w:rPr>
              <w:t xml:space="preserve">The number of unemployed persons as a proportion of the total labour force (%) </w:t>
            </w:r>
          </w:p>
        </w:tc>
        <w:tc>
          <w:tcPr>
            <w:tcW w:w="723" w:type="pct"/>
            <w:shd w:val="clear" w:color="auto" w:fill="FFFFFF" w:themeFill="background1"/>
          </w:tcPr>
          <w:p w14:paraId="4E2A1ED3" w14:textId="77777777" w:rsidR="00B20C2C" w:rsidRPr="003E77F6"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SA4</w:t>
            </w:r>
          </w:p>
        </w:tc>
        <w:tc>
          <w:tcPr>
            <w:tcW w:w="638" w:type="pct"/>
            <w:shd w:val="clear" w:color="auto" w:fill="FFFFFF" w:themeFill="background1"/>
          </w:tcPr>
          <w:p w14:paraId="4E474542" w14:textId="638693C8"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0.5</w:t>
            </w:r>
          </w:p>
        </w:tc>
      </w:tr>
      <w:tr w:rsidR="00B20C2C" w:rsidRPr="009C2FB6" w14:paraId="5C2E1D57" w14:textId="1F38D0FE"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6D06FCAD" w14:textId="1C627BC3" w:rsidR="00B20C2C" w:rsidRPr="007F1F37" w:rsidRDefault="00B20C2C" w:rsidP="00216716">
            <w:pPr>
              <w:spacing w:before="120" w:after="120"/>
              <w:rPr>
                <w:b w:val="0"/>
                <w:color w:val="000000"/>
              </w:rPr>
            </w:pPr>
            <w:r>
              <w:rPr>
                <w:b w:val="0"/>
                <w:color w:val="000000"/>
              </w:rPr>
              <w:t>Job</w:t>
            </w:r>
            <w:r w:rsidR="00887DF0">
              <w:rPr>
                <w:b w:val="0"/>
                <w:color w:val="000000"/>
              </w:rPr>
              <w:t>S</w:t>
            </w:r>
            <w:r>
              <w:rPr>
                <w:b w:val="0"/>
                <w:color w:val="000000"/>
              </w:rPr>
              <w:t>eeker income support rate</w:t>
            </w:r>
          </w:p>
        </w:tc>
        <w:tc>
          <w:tcPr>
            <w:tcW w:w="2092" w:type="pct"/>
            <w:shd w:val="clear" w:color="auto" w:fill="F2F2F2" w:themeFill="background1" w:themeFillShade="F2"/>
          </w:tcPr>
          <w:p w14:paraId="40186C8A" w14:textId="09329E04" w:rsidR="00B20C2C" w:rsidRPr="007F1F37"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bCs/>
                <w:color w:val="000000"/>
              </w:rPr>
            </w:pPr>
            <w:r w:rsidRPr="00C23B91">
              <w:rPr>
                <w:bCs/>
                <w:color w:val="000000"/>
              </w:rPr>
              <w:t>Proportion of the working age (15-64 years) population on Job</w:t>
            </w:r>
            <w:r w:rsidR="00887DF0">
              <w:rPr>
                <w:bCs/>
                <w:color w:val="000000"/>
              </w:rPr>
              <w:t>S</w:t>
            </w:r>
            <w:r w:rsidRPr="00C23B91">
              <w:rPr>
                <w:bCs/>
                <w:color w:val="000000"/>
              </w:rPr>
              <w:t>eeker Income Support</w:t>
            </w:r>
            <w:r>
              <w:rPr>
                <w:bCs/>
                <w:color w:val="000000"/>
              </w:rPr>
              <w:t>*</w:t>
            </w:r>
          </w:p>
        </w:tc>
        <w:tc>
          <w:tcPr>
            <w:tcW w:w="723" w:type="pct"/>
            <w:shd w:val="clear" w:color="auto" w:fill="F2F2F2" w:themeFill="background1" w:themeFillShade="F2"/>
          </w:tcPr>
          <w:p w14:paraId="0408AEFF" w14:textId="77777777" w:rsidR="00B20C2C" w:rsidRPr="00C23B91"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SA4</w:t>
            </w:r>
          </w:p>
        </w:tc>
        <w:tc>
          <w:tcPr>
            <w:tcW w:w="638" w:type="pct"/>
            <w:shd w:val="clear" w:color="auto" w:fill="F2F2F2" w:themeFill="background1" w:themeFillShade="F2"/>
          </w:tcPr>
          <w:p w14:paraId="61B655D8" w14:textId="400591FE"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1.5</w:t>
            </w:r>
          </w:p>
        </w:tc>
      </w:tr>
      <w:tr w:rsidR="00B20C2C" w:rsidRPr="009C2FB6" w14:paraId="45C910B9" w14:textId="2B083ACD" w:rsidTr="00B20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pct"/>
            <w:shd w:val="clear" w:color="auto" w:fill="FFFFFF" w:themeFill="background1"/>
          </w:tcPr>
          <w:p w14:paraId="70286EFD" w14:textId="77777777" w:rsidR="00B20C2C" w:rsidRPr="003E77F6" w:rsidRDefault="00B20C2C" w:rsidP="00216716">
            <w:pPr>
              <w:spacing w:before="120" w:after="120"/>
              <w:rPr>
                <w:rFonts w:cs="Arial"/>
                <w:color w:val="000000"/>
              </w:rPr>
            </w:pPr>
            <w:r>
              <w:rPr>
                <w:rFonts w:cs="Arial"/>
                <w:b w:val="0"/>
                <w:bCs w:val="0"/>
                <w:color w:val="000000"/>
              </w:rPr>
              <w:t>Underemployment rate</w:t>
            </w:r>
          </w:p>
        </w:tc>
        <w:tc>
          <w:tcPr>
            <w:tcW w:w="2092" w:type="pct"/>
            <w:shd w:val="clear" w:color="auto" w:fill="FFFFFF" w:themeFill="background1"/>
          </w:tcPr>
          <w:p w14:paraId="5A36DEB0" w14:textId="77777777" w:rsidR="00B20C2C" w:rsidRPr="003E77F6" w:rsidRDefault="00B20C2C"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rPr>
              <w:t>The number of underemployed persons as a proportion of the labour force (%)</w:t>
            </w:r>
          </w:p>
        </w:tc>
        <w:tc>
          <w:tcPr>
            <w:tcW w:w="723" w:type="pct"/>
            <w:shd w:val="clear" w:color="auto" w:fill="FFFFFF" w:themeFill="background1"/>
          </w:tcPr>
          <w:p w14:paraId="0609ECAB" w14:textId="77777777" w:rsidR="00B20C2C" w:rsidDel="00E97ACE"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GCCSA** </w:t>
            </w:r>
          </w:p>
        </w:tc>
        <w:tc>
          <w:tcPr>
            <w:tcW w:w="638" w:type="pct"/>
            <w:shd w:val="clear" w:color="auto" w:fill="FFFFFF" w:themeFill="background1"/>
          </w:tcPr>
          <w:p w14:paraId="75C4A38F" w14:textId="06C2F5A6" w:rsidR="00B20C2C" w:rsidRDefault="00B20C2C"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0.125</w:t>
            </w:r>
          </w:p>
        </w:tc>
      </w:tr>
      <w:tr w:rsidR="00B20C2C" w:rsidRPr="009C2FB6" w14:paraId="79CD3824" w14:textId="13C3A408" w:rsidTr="00B20C2C">
        <w:tc>
          <w:tcPr>
            <w:cnfStyle w:val="001000000000" w:firstRow="0" w:lastRow="0" w:firstColumn="1" w:lastColumn="0" w:oddVBand="0" w:evenVBand="0" w:oddHBand="0" w:evenHBand="0" w:firstRowFirstColumn="0" w:firstRowLastColumn="0" w:lastRowFirstColumn="0" w:lastRowLastColumn="0"/>
            <w:tcW w:w="1547" w:type="pct"/>
            <w:shd w:val="clear" w:color="auto" w:fill="F2F2F2" w:themeFill="background1" w:themeFillShade="F2"/>
          </w:tcPr>
          <w:p w14:paraId="4D935050" w14:textId="77777777" w:rsidR="00B20C2C" w:rsidRPr="003E77F6" w:rsidRDefault="00B20C2C" w:rsidP="00216716">
            <w:pPr>
              <w:spacing w:before="120" w:after="120"/>
              <w:rPr>
                <w:rFonts w:cs="Arial"/>
                <w:color w:val="000000"/>
              </w:rPr>
            </w:pPr>
            <w:r>
              <w:rPr>
                <w:rFonts w:cs="Arial"/>
                <w:b w:val="0"/>
                <w:bCs w:val="0"/>
                <w:color w:val="000000"/>
              </w:rPr>
              <w:t>Vacancy fill rate</w:t>
            </w:r>
          </w:p>
        </w:tc>
        <w:tc>
          <w:tcPr>
            <w:tcW w:w="2092" w:type="pct"/>
            <w:shd w:val="clear" w:color="auto" w:fill="F2F2F2" w:themeFill="background1" w:themeFillShade="F2"/>
          </w:tcPr>
          <w:p w14:paraId="277CF55D" w14:textId="77777777" w:rsidR="00B20C2C" w:rsidRPr="003E77F6" w:rsidRDefault="00B20C2C"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rPr>
              <w:t>The percentage of vacancies that have been filled (%)</w:t>
            </w:r>
          </w:p>
        </w:tc>
        <w:tc>
          <w:tcPr>
            <w:tcW w:w="723" w:type="pct"/>
            <w:shd w:val="clear" w:color="auto" w:fill="F2F2F2" w:themeFill="background1" w:themeFillShade="F2"/>
          </w:tcPr>
          <w:p w14:paraId="7FDDC4A0" w14:textId="33309B54" w:rsidR="00B20C2C" w:rsidRPr="005C5815"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GCCSA</w:t>
            </w:r>
            <w:r w:rsidR="00047BAD">
              <w:rPr>
                <w:rFonts w:cs="Arial"/>
                <w:color w:val="000000"/>
              </w:rPr>
              <w:t>**</w:t>
            </w:r>
          </w:p>
        </w:tc>
        <w:tc>
          <w:tcPr>
            <w:tcW w:w="638" w:type="pct"/>
            <w:shd w:val="clear" w:color="auto" w:fill="F2F2F2" w:themeFill="background1" w:themeFillShade="F2"/>
          </w:tcPr>
          <w:p w14:paraId="53787CC7" w14:textId="49682956" w:rsidR="00B20C2C" w:rsidRDefault="00B20C2C"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0.125</w:t>
            </w:r>
          </w:p>
        </w:tc>
      </w:tr>
    </w:tbl>
    <w:p w14:paraId="50EFAD65" w14:textId="451DDA58" w:rsidR="00F65F36" w:rsidRDefault="00F65F36" w:rsidP="00F65F36">
      <w:pPr>
        <w:rPr>
          <w:rFonts w:cs="Arial"/>
          <w:color w:val="000000"/>
          <w:sz w:val="18"/>
          <w:szCs w:val="18"/>
        </w:rPr>
      </w:pPr>
      <w:r>
        <w:t>*</w:t>
      </w:r>
      <w:r w:rsidRPr="00A722E3">
        <w:rPr>
          <w:rFonts w:cs="Arial"/>
          <w:sz w:val="18"/>
          <w:szCs w:val="18"/>
        </w:rPr>
        <w:t xml:space="preserve"> </w:t>
      </w:r>
      <w:bookmarkStart w:id="12" w:name="_Hlk149220454"/>
      <w:r>
        <w:rPr>
          <w:rFonts w:cs="Arial"/>
          <w:sz w:val="18"/>
          <w:szCs w:val="18"/>
        </w:rPr>
        <w:t>Job</w:t>
      </w:r>
      <w:r w:rsidR="00B20C2C">
        <w:rPr>
          <w:rFonts w:cs="Arial"/>
          <w:sz w:val="18"/>
          <w:szCs w:val="18"/>
        </w:rPr>
        <w:t>S</w:t>
      </w:r>
      <w:r>
        <w:rPr>
          <w:rFonts w:cs="Arial"/>
          <w:sz w:val="18"/>
          <w:szCs w:val="18"/>
        </w:rPr>
        <w:t xml:space="preserve">eeker </w:t>
      </w:r>
      <w:r w:rsidRPr="003A1EE3">
        <w:rPr>
          <w:rFonts w:cs="Arial"/>
          <w:sz w:val="18"/>
          <w:szCs w:val="18"/>
        </w:rPr>
        <w:t>income support’</w:t>
      </w:r>
      <w:r>
        <w:rPr>
          <w:rFonts w:cs="Arial"/>
          <w:sz w:val="18"/>
          <w:szCs w:val="18"/>
        </w:rPr>
        <w:t xml:space="preserve"> is a combination of the </w:t>
      </w:r>
      <w:r w:rsidRPr="003A1EE3">
        <w:rPr>
          <w:rFonts w:cs="Arial"/>
          <w:color w:val="000000"/>
          <w:sz w:val="18"/>
          <w:szCs w:val="18"/>
        </w:rPr>
        <w:t xml:space="preserve">JobSeeker </w:t>
      </w:r>
      <w:r>
        <w:rPr>
          <w:rFonts w:cs="Arial"/>
          <w:color w:val="000000"/>
          <w:sz w:val="18"/>
          <w:szCs w:val="18"/>
        </w:rPr>
        <w:t>p</w:t>
      </w:r>
      <w:r w:rsidRPr="003A1EE3">
        <w:rPr>
          <w:rFonts w:cs="Arial"/>
          <w:color w:val="000000"/>
          <w:sz w:val="18"/>
          <w:szCs w:val="18"/>
        </w:rPr>
        <w:t>ayment</w:t>
      </w:r>
      <w:r>
        <w:rPr>
          <w:rFonts w:cs="Arial"/>
          <w:color w:val="000000"/>
          <w:sz w:val="18"/>
          <w:szCs w:val="18"/>
        </w:rPr>
        <w:t xml:space="preserve"> and</w:t>
      </w:r>
      <w:r w:rsidRPr="003A1EE3">
        <w:rPr>
          <w:rFonts w:cs="Arial"/>
          <w:color w:val="000000"/>
          <w:sz w:val="18"/>
          <w:szCs w:val="18"/>
        </w:rPr>
        <w:t xml:space="preserve"> Youth Allowance (other</w:t>
      </w:r>
      <w:r>
        <w:rPr>
          <w:rFonts w:cs="Arial"/>
          <w:color w:val="000000"/>
          <w:sz w:val="18"/>
          <w:szCs w:val="18"/>
        </w:rPr>
        <w:t>) payment</w:t>
      </w:r>
      <w:bookmarkEnd w:id="12"/>
    </w:p>
    <w:p w14:paraId="15DBE053" w14:textId="77777777" w:rsidR="00F65F36" w:rsidRPr="006725BF" w:rsidRDefault="00F65F36" w:rsidP="00F65F36">
      <w:pPr>
        <w:rPr>
          <w:rFonts w:cs="Arial"/>
          <w:color w:val="000000"/>
          <w:sz w:val="18"/>
          <w:szCs w:val="18"/>
        </w:rPr>
      </w:pPr>
      <w:r>
        <w:rPr>
          <w:rFonts w:cs="Arial"/>
          <w:color w:val="000000"/>
          <w:sz w:val="18"/>
          <w:szCs w:val="18"/>
        </w:rPr>
        <w:t>** Greater Capital City Statistical Area (GCCSA)</w:t>
      </w:r>
    </w:p>
    <w:p w14:paraId="2F398175" w14:textId="77777777" w:rsidR="00F65F36" w:rsidRPr="00F65F36" w:rsidRDefault="00F65F36" w:rsidP="00F65F36">
      <w:pPr>
        <w:pStyle w:val="Heading2"/>
      </w:pPr>
      <w:bookmarkStart w:id="13" w:name="_Toc168662805"/>
      <w:r w:rsidRPr="00F65F36">
        <w:rPr>
          <w:rStyle w:val="Heading3Char"/>
          <w:b/>
          <w:color w:val="auto"/>
          <w:sz w:val="32"/>
          <w:szCs w:val="26"/>
        </w:rPr>
        <w:t>Constructing the RLMI</w:t>
      </w:r>
      <w:bookmarkEnd w:id="13"/>
    </w:p>
    <w:p w14:paraId="4C282CE9" w14:textId="77777777" w:rsidR="00F65F36" w:rsidRPr="00E37B75" w:rsidRDefault="00F65F36" w:rsidP="00F65F36">
      <w:pPr>
        <w:pStyle w:val="Heading3"/>
      </w:pPr>
      <w:bookmarkStart w:id="14" w:name="_Toc168662806"/>
      <w:r w:rsidRPr="00F65F36">
        <w:t>Standardising the factors (z-score)</w:t>
      </w:r>
      <w:bookmarkEnd w:id="14"/>
    </w:p>
    <w:p w14:paraId="3C4FC475" w14:textId="77777777" w:rsidR="00F65F36" w:rsidRDefault="00F65F36" w:rsidP="00F65F36">
      <w:pPr>
        <w:spacing w:before="120" w:after="120" w:line="276" w:lineRule="auto"/>
      </w:pPr>
      <w:r w:rsidRPr="003E77F6">
        <w:t>The</w:t>
      </w:r>
      <w:r>
        <w:t xml:space="preserve"> estimates for the</w:t>
      </w:r>
      <w:r w:rsidRPr="003E77F6">
        <w:t xml:space="preserve"> </w:t>
      </w:r>
      <w:r>
        <w:t>5</w:t>
      </w:r>
      <w:r w:rsidRPr="003E77F6">
        <w:t xml:space="preserve"> individual factors </w:t>
      </w:r>
      <w:r>
        <w:t xml:space="preserve">across all SA4s </w:t>
      </w:r>
      <w:r w:rsidRPr="003E77F6">
        <w:t xml:space="preserve">are standardised (z-score) to have a mean of zero and standard deviation of one. One of the main benefits of using a z-score is to standardise </w:t>
      </w:r>
      <w:r>
        <w:t xml:space="preserve">the component factors </w:t>
      </w:r>
      <w:r w:rsidRPr="003E77F6">
        <w:t>so that all the different data sources are comparable</w:t>
      </w:r>
      <w:r>
        <w:t>.</w:t>
      </w:r>
    </w:p>
    <w:p w14:paraId="5B307FDD" w14:textId="77777777" w:rsidR="00F65F36" w:rsidRDefault="00F65F36" w:rsidP="00F65F36">
      <w:pPr>
        <w:pStyle w:val="ListParagraph"/>
        <w:numPr>
          <w:ilvl w:val="0"/>
          <w:numId w:val="22"/>
        </w:numPr>
        <w:spacing w:before="120" w:after="120" w:line="276" w:lineRule="auto"/>
      </w:pPr>
      <w:r w:rsidRPr="003E77F6">
        <w:t>A</w:t>
      </w:r>
      <w:r>
        <w:t xml:space="preserve"> </w:t>
      </w:r>
      <w:r w:rsidRPr="003E77F6">
        <w:t>z-score</w:t>
      </w:r>
      <w:r w:rsidRPr="001842E1">
        <w:t xml:space="preserve"> </w:t>
      </w:r>
      <w:r w:rsidRPr="003E77F6">
        <w:t xml:space="preserve">is a numerical measurement that describes a value's relationship to the mean of a group of values. If a z-score is zero, it indicates that the data point's score is identical to the mean score. The larger the z-score, the further away from the mean the value is. Factors with extreme values thus have a greater effect on the composite indicator. </w:t>
      </w:r>
    </w:p>
    <w:p w14:paraId="6EA62670" w14:textId="3322E2BE" w:rsidR="00F65F36" w:rsidRDefault="00F65F36" w:rsidP="00F65F36">
      <w:pPr>
        <w:spacing w:before="120" w:after="120" w:line="276" w:lineRule="auto"/>
      </w:pPr>
      <w:r w:rsidRPr="003E77F6">
        <w:lastRenderedPageBreak/>
        <w:t xml:space="preserve">In the </w:t>
      </w:r>
      <w:r>
        <w:t>RLMI</w:t>
      </w:r>
      <w:r w:rsidRPr="003E77F6">
        <w:t xml:space="preserve">, the z-scores are estimated across regions (rather than across </w:t>
      </w:r>
      <w:r w:rsidRPr="001842E1">
        <w:t>time</w:t>
      </w:r>
      <w:r w:rsidRPr="003E77F6">
        <w:t>), such that a</w:t>
      </w:r>
      <w:r>
        <w:t> </w:t>
      </w:r>
      <w:r w:rsidRPr="003E77F6">
        <w:t xml:space="preserve">z-score is indicative of current </w:t>
      </w:r>
      <w:r w:rsidR="009F3360">
        <w:t>performance</w:t>
      </w:r>
      <w:r w:rsidRPr="003E77F6">
        <w:t xml:space="preserve"> relative to other regions, rather than relative to historical conditions. </w:t>
      </w:r>
      <w:r w:rsidRPr="004512D6">
        <w:t>The weighted sum of the individual factor z-scores is the region’s index score</w:t>
      </w:r>
      <w:r>
        <w:t xml:space="preserve"> (at the SA4 level)</w:t>
      </w:r>
      <w:r w:rsidRPr="004512D6">
        <w:t>.</w:t>
      </w:r>
    </w:p>
    <w:p w14:paraId="771D78C4" w14:textId="77777777" w:rsidR="00F65F36" w:rsidRPr="000F79FD" w:rsidRDefault="00F65F36" w:rsidP="00F65F36">
      <w:pPr>
        <w:pStyle w:val="Heading3"/>
      </w:pPr>
      <w:bookmarkStart w:id="15" w:name="_Toc168662807"/>
      <w:r w:rsidRPr="00331B18">
        <w:t>Assign</w:t>
      </w:r>
      <w:r>
        <w:t>ing</w:t>
      </w:r>
      <w:r w:rsidRPr="000F79FD">
        <w:t xml:space="preserve"> a weight to the factors</w:t>
      </w:r>
      <w:bookmarkEnd w:id="15"/>
    </w:p>
    <w:p w14:paraId="40AEEE90" w14:textId="77777777" w:rsidR="00F65F36" w:rsidRDefault="00F65F36" w:rsidP="00F65F36">
      <w:pPr>
        <w:spacing w:before="120" w:after="120" w:line="276" w:lineRule="auto"/>
      </w:pPr>
      <w:r>
        <w:t>When used in a benchmarking framework, the weights applied to each individual factor can have a significant impact on the overall composite indicator. Factors with a higher weighting will have a larger influence on the index score of a region.</w:t>
      </w:r>
      <w:r w:rsidRPr="00412589">
        <w:t xml:space="preserve"> </w:t>
      </w:r>
    </w:p>
    <w:p w14:paraId="1202F1CB" w14:textId="6326AEF3" w:rsidR="00F65F36" w:rsidRDefault="00F65F36" w:rsidP="00F65F36">
      <w:pPr>
        <w:spacing w:before="120" w:after="120" w:line="276" w:lineRule="auto"/>
      </w:pPr>
      <w:r>
        <w:t xml:space="preserve">In the absence of a statistical model to determine the weights (such as a principal component analysis or factor analysis), the weights reflect a combination of considerations including uniqueness, data quality and geographical level. Importantly, the choice of weights is the result of extensive consultation and backtesting, which assists in understanding the impact different weight scenarios have on the ratings, including their sensitivity (see </w:t>
      </w:r>
      <w:r w:rsidRPr="001842E1">
        <w:rPr>
          <w:u w:val="single"/>
        </w:rPr>
        <w:t xml:space="preserve">Attachment </w:t>
      </w:r>
      <w:r w:rsidR="00A50513">
        <w:rPr>
          <w:u w:val="single"/>
        </w:rPr>
        <w:t>A</w:t>
      </w:r>
      <w:r>
        <w:t xml:space="preserve"> for a more detailed rationale of the factor weightings).</w:t>
      </w:r>
    </w:p>
    <w:p w14:paraId="1602A64E" w14:textId="77777777" w:rsidR="00F65F36" w:rsidRDefault="00F65F36" w:rsidP="00F65F36">
      <w:pPr>
        <w:pStyle w:val="Heading3"/>
      </w:pPr>
      <w:bookmarkStart w:id="16" w:name="_Toc168662808"/>
      <w:r>
        <w:t>Assigning a labour market rating</w:t>
      </w:r>
      <w:bookmarkEnd w:id="16"/>
    </w:p>
    <w:p w14:paraId="7EB2C298" w14:textId="767123D8" w:rsidR="00F65F36" w:rsidRPr="001842E1" w:rsidRDefault="00F65F36" w:rsidP="00F65F36">
      <w:pPr>
        <w:spacing w:before="120" w:after="120" w:line="276" w:lineRule="auto"/>
      </w:pPr>
      <w:r w:rsidRPr="004512D6">
        <w:t xml:space="preserve">The regions </w:t>
      </w:r>
      <w:r>
        <w:t xml:space="preserve">(SA4s) </w:t>
      </w:r>
      <w:r w:rsidRPr="004512D6">
        <w:t xml:space="preserve">are ranked by their index score and then grouped into the following 5 categories of relative labour market </w:t>
      </w:r>
      <w:r w:rsidR="009F3360">
        <w:t>performance</w:t>
      </w:r>
      <w:r w:rsidRPr="004512D6">
        <w:t xml:space="preserve">: </w:t>
      </w:r>
      <w:r>
        <w:t>‘strong’</w:t>
      </w:r>
      <w:r w:rsidRPr="004512D6">
        <w:t xml:space="preserve">; </w:t>
      </w:r>
      <w:r>
        <w:t>‘above average’</w:t>
      </w:r>
      <w:r w:rsidRPr="004512D6">
        <w:t xml:space="preserve">; </w:t>
      </w:r>
      <w:r>
        <w:t>‘average’</w:t>
      </w:r>
      <w:r w:rsidRPr="004512D6">
        <w:t xml:space="preserve">; </w:t>
      </w:r>
      <w:r>
        <w:t>‘below average’</w:t>
      </w:r>
      <w:r w:rsidRPr="004512D6">
        <w:t xml:space="preserve">; and </w:t>
      </w:r>
      <w:r>
        <w:t>‘poor’</w:t>
      </w:r>
      <w:r w:rsidR="00C1735E">
        <w:t>.</w:t>
      </w:r>
      <w:r w:rsidRPr="004512D6">
        <w:t xml:space="preserve"> The weighted index scores have a mean of zero. The </w:t>
      </w:r>
      <w:r w:rsidR="009F7C98">
        <w:t>higher</w:t>
      </w:r>
      <w:r w:rsidR="009F7C98" w:rsidRPr="004512D6">
        <w:t xml:space="preserve"> </w:t>
      </w:r>
      <w:r w:rsidRPr="004512D6">
        <w:t xml:space="preserve">a region’s weighted index score, the stronger a region’s labour market, relative to the other regions. The current boundaries for the 5 categories are listed below. </w:t>
      </w:r>
    </w:p>
    <w:p w14:paraId="2AE02D44" w14:textId="1C7BC982" w:rsidR="00F65F36" w:rsidRPr="00047BAD" w:rsidRDefault="00047BAD" w:rsidP="00047BAD">
      <w:pPr>
        <w:spacing w:after="0" w:line="276" w:lineRule="auto"/>
        <w:ind w:left="284"/>
      </w:pPr>
      <m:oMathPara>
        <m:oMathParaPr>
          <m:jc m:val="left"/>
        </m:oMathParaPr>
        <m:oMath>
          <m:r>
            <w:rPr>
              <w:rFonts w:ascii="Cambria Math" w:hAnsi="Cambria Math"/>
            </w:rPr>
            <m:t>Strong: ≥0.84 standard deviations from the mean</m:t>
          </m:r>
        </m:oMath>
      </m:oMathPara>
    </w:p>
    <w:p w14:paraId="753560D8" w14:textId="7924B9CD" w:rsidR="00F65F36" w:rsidRPr="00047BAD" w:rsidRDefault="00047BAD" w:rsidP="00047BAD">
      <w:pPr>
        <w:spacing w:after="0" w:line="276" w:lineRule="auto"/>
        <w:ind w:left="284"/>
        <w:rPr>
          <w:rFonts w:ascii="Cambria Math" w:hAnsi="Cambria Math"/>
          <w:i/>
        </w:rPr>
      </w:pPr>
      <w:r>
        <w:br/>
      </w:r>
      <m:oMathPara>
        <m:oMathParaPr>
          <m:jc m:val="left"/>
        </m:oMathParaPr>
        <m:oMath>
          <m:r>
            <w:rPr>
              <w:rFonts w:ascii="Cambria Math" w:hAnsi="Cambria Math"/>
            </w:rPr>
            <m:t>Above average:&lt;0.84 standard deviations from the mean and≥0.25 standard deviations from the mean</m:t>
          </m:r>
        </m:oMath>
      </m:oMathPara>
    </w:p>
    <w:p w14:paraId="6B00869A" w14:textId="3A412652" w:rsidR="00047BAD" w:rsidRPr="00047BAD" w:rsidRDefault="00047BAD" w:rsidP="00047BAD">
      <w:pPr>
        <w:spacing w:after="0" w:line="276" w:lineRule="auto"/>
        <w:ind w:left="284"/>
        <w:rPr>
          <w:rFonts w:eastAsiaTheme="minorEastAsia"/>
        </w:rPr>
      </w:pPr>
      <w:r w:rsidRPr="00047BAD">
        <w:br/>
      </w:r>
      <m:oMathPara>
        <m:oMathParaPr>
          <m:jc m:val="left"/>
        </m:oMathParaPr>
        <m:oMath>
          <m:r>
            <w:rPr>
              <w:rFonts w:ascii="Cambria Math" w:hAnsi="Cambria Math"/>
            </w:rPr>
            <m:t>Average: &lt;0.25 standard deviations from the mean and≥-0.25 standard deviations from the mean</m:t>
          </m:r>
        </m:oMath>
      </m:oMathPara>
    </w:p>
    <w:p w14:paraId="7D09671D" w14:textId="77777777" w:rsidR="00047BAD" w:rsidRPr="00047BAD" w:rsidRDefault="00047BAD" w:rsidP="00047BAD">
      <w:pPr>
        <w:spacing w:after="0" w:line="276" w:lineRule="auto"/>
        <w:ind w:left="284"/>
        <w:rPr>
          <w:rFonts w:ascii="Cambria Math" w:hAnsi="Cambria Math"/>
          <w:i/>
        </w:rPr>
      </w:pPr>
    </w:p>
    <w:p w14:paraId="3B6C15E4" w14:textId="5CF5B2F2" w:rsidR="00047BAD" w:rsidRPr="00047BAD" w:rsidRDefault="00047BAD" w:rsidP="00047BAD">
      <w:pPr>
        <w:spacing w:after="0" w:line="276" w:lineRule="auto"/>
        <w:ind w:left="284"/>
        <w:rPr>
          <w:rFonts w:ascii="Cambria Math" w:eastAsiaTheme="minorEastAsia" w:hAnsi="Cambria Math"/>
          <w:i/>
        </w:rPr>
      </w:pPr>
      <m:oMathPara>
        <m:oMathParaPr>
          <m:jc m:val="left"/>
        </m:oMathParaPr>
        <m:oMath>
          <m:r>
            <w:rPr>
              <w:rFonts w:ascii="Cambria Math" w:hAnsi="Cambria Math"/>
            </w:rPr>
            <m:t>Below average:&lt;-0.25 standard deviations from the mean and≥-0.84 standard deviations from the mean</m:t>
          </m:r>
        </m:oMath>
      </m:oMathPara>
    </w:p>
    <w:p w14:paraId="77975690" w14:textId="77777777" w:rsidR="00047BAD" w:rsidRPr="00047BAD" w:rsidRDefault="00047BAD" w:rsidP="00047BAD">
      <w:pPr>
        <w:spacing w:after="0" w:line="276" w:lineRule="auto"/>
        <w:ind w:left="284"/>
        <w:rPr>
          <w:rFonts w:ascii="Cambria Math" w:hAnsi="Cambria Math"/>
          <w:i/>
        </w:rPr>
      </w:pPr>
    </w:p>
    <w:p w14:paraId="6652224C" w14:textId="58DED816" w:rsidR="00047BAD" w:rsidRPr="00047BAD" w:rsidRDefault="00047BAD" w:rsidP="00047BAD">
      <w:pPr>
        <w:spacing w:after="0" w:line="276" w:lineRule="auto"/>
        <w:ind w:left="284"/>
        <w:rPr>
          <w:rFonts w:ascii="Cambria Math" w:hAnsi="Cambria Math"/>
          <w:i/>
        </w:rPr>
      </w:pPr>
      <m:oMathPara>
        <m:oMathParaPr>
          <m:jc m:val="left"/>
        </m:oMathParaPr>
        <m:oMath>
          <m:r>
            <w:rPr>
              <w:rFonts w:ascii="Cambria Math" w:hAnsi="Cambria Math"/>
            </w:rPr>
            <m:t>Poor:&lt;-0.84 standard deviations from the mean</m:t>
          </m:r>
        </m:oMath>
      </m:oMathPara>
    </w:p>
    <w:p w14:paraId="78C60AAC" w14:textId="00D11FE3" w:rsidR="00F65F36" w:rsidRPr="00C97936" w:rsidRDefault="00F65F36" w:rsidP="00F65F36">
      <w:pPr>
        <w:spacing w:before="120" w:after="120" w:line="276" w:lineRule="auto"/>
      </w:pPr>
      <w:r w:rsidRPr="00C97936">
        <w:t>The</w:t>
      </w:r>
      <w:r w:rsidR="00C97936" w:rsidRPr="00C97936">
        <w:t>se</w:t>
      </w:r>
      <w:r w:rsidRPr="00C97936">
        <w:t xml:space="preserve"> boundaries </w:t>
      </w:r>
      <w:r w:rsidR="00C97936" w:rsidRPr="00C97936">
        <w:t xml:space="preserve">are </w:t>
      </w:r>
      <w:r w:rsidRPr="00C97936">
        <w:t xml:space="preserve">designed to have an approximately equal distribution of regions within each category of relative labour market </w:t>
      </w:r>
      <w:r w:rsidR="009F3360">
        <w:t>performance</w:t>
      </w:r>
      <w:r w:rsidRPr="00C97936">
        <w:t xml:space="preserve">. For instance, a region rated as ‘strong’ may be considered one of the top 15-20% of regions when considering its current labour market </w:t>
      </w:r>
      <w:r w:rsidR="009F3360">
        <w:t>performance</w:t>
      </w:r>
      <w:r w:rsidRPr="00C97936">
        <w:t xml:space="preserve">, relative to the national average. </w:t>
      </w:r>
    </w:p>
    <w:p w14:paraId="60946889" w14:textId="77777777" w:rsidR="00F65F36" w:rsidRPr="00C97936" w:rsidRDefault="00F65F36" w:rsidP="00F65F36">
      <w:pPr>
        <w:pStyle w:val="ListParagraph"/>
        <w:numPr>
          <w:ilvl w:val="0"/>
          <w:numId w:val="24"/>
        </w:numPr>
        <w:spacing w:before="120" w:after="120" w:line="276" w:lineRule="auto"/>
      </w:pPr>
      <w:r w:rsidRPr="00C97936">
        <w:t>It is worth noting, however, that the distribution of regions within each rating category will vary over time given that each region is assessed relative to the national average. For instance, in a case where there is a small number of very poorly performing labour markets (well below the national average) this could result in a higher proportion of regions rated as ‘above average’.</w:t>
      </w:r>
    </w:p>
    <w:p w14:paraId="5517630F" w14:textId="76FB287A" w:rsidR="00F65F36" w:rsidRPr="00791484" w:rsidRDefault="00F65F36" w:rsidP="00791484">
      <w:pPr>
        <w:spacing w:before="120" w:after="120" w:line="276" w:lineRule="auto"/>
      </w:pPr>
      <w:r>
        <w:t xml:space="preserve">A </w:t>
      </w:r>
      <w:r w:rsidRPr="00715035">
        <w:t xml:space="preserve">review </w:t>
      </w:r>
      <w:r>
        <w:t xml:space="preserve">of </w:t>
      </w:r>
      <w:r w:rsidRPr="00715035">
        <w:t xml:space="preserve">the RLMI ratings </w:t>
      </w:r>
      <w:r>
        <w:t xml:space="preserve">is conducted </w:t>
      </w:r>
      <w:r w:rsidRPr="00715035">
        <w:t xml:space="preserve">to ensure the ratings are consistent and </w:t>
      </w:r>
      <w:r>
        <w:t>plausible</w:t>
      </w:r>
      <w:r w:rsidRPr="00715035">
        <w:t xml:space="preserve">, given that data at the regional level (particularly ABS </w:t>
      </w:r>
      <w:r w:rsidRPr="001842E1">
        <w:t>Labour Force Survey</w:t>
      </w:r>
      <w:r w:rsidRPr="00715035">
        <w:t xml:space="preserve"> data) are subject </w:t>
      </w:r>
      <w:r w:rsidRPr="00715035">
        <w:lastRenderedPageBreak/>
        <w:t xml:space="preserve">to a considerable degree of statistical variability and the inherent limitations of any statistical analysis. </w:t>
      </w:r>
      <w:r w:rsidR="00F77796">
        <w:t xml:space="preserve">Some ratings </w:t>
      </w:r>
      <w:r w:rsidR="00066A4B">
        <w:t>may be</w:t>
      </w:r>
      <w:r w:rsidR="00F77796">
        <w:t xml:space="preserve"> manually adjusted to reflect this review.</w:t>
      </w:r>
      <w:r>
        <w:br w:type="page"/>
      </w:r>
    </w:p>
    <w:p w14:paraId="7D401561" w14:textId="77777777" w:rsidR="00F65F36" w:rsidRPr="003E77F6" w:rsidRDefault="00F65F36" w:rsidP="00F65F36">
      <w:pPr>
        <w:pStyle w:val="Heading2"/>
      </w:pPr>
      <w:bookmarkStart w:id="17" w:name="_Toc168662809"/>
      <w:r w:rsidRPr="003E77F6">
        <w:lastRenderedPageBreak/>
        <w:t>Attachments</w:t>
      </w:r>
      <w:bookmarkEnd w:id="17"/>
    </w:p>
    <w:p w14:paraId="65B569FC" w14:textId="2B3AB4A9" w:rsidR="00F65F36" w:rsidRPr="00791484" w:rsidRDefault="00F65F36" w:rsidP="00791484">
      <w:pPr>
        <w:pStyle w:val="Title-Subtitle"/>
        <w:spacing w:after="120" w:line="276" w:lineRule="auto"/>
        <w:rPr>
          <w:rFonts w:asciiTheme="minorHAnsi" w:eastAsia="Times New Roman" w:hAnsiTheme="minorHAnsi"/>
          <w:b w:val="0"/>
          <w:color w:val="auto"/>
          <w:sz w:val="22"/>
          <w:szCs w:val="22"/>
          <w:lang w:eastAsia="en-AU"/>
        </w:rPr>
        <w:sectPr w:rsidR="00F65F36" w:rsidRPr="00791484" w:rsidSect="00F65F36">
          <w:footerReference w:type="default" r:id="rId17"/>
          <w:footerReference w:type="first" r:id="rId18"/>
          <w:type w:val="continuous"/>
          <w:pgSz w:w="11906" w:h="16838"/>
          <w:pgMar w:top="1418" w:right="1440" w:bottom="1440" w:left="1440" w:header="0" w:footer="708" w:gutter="0"/>
          <w:cols w:space="708"/>
          <w:titlePg/>
          <w:docGrid w:linePitch="360"/>
        </w:sectPr>
      </w:pPr>
      <w:bookmarkStart w:id="18" w:name="_Hlk146810725"/>
      <w:r w:rsidRPr="63D7E432">
        <w:rPr>
          <w:rFonts w:asciiTheme="minorHAnsi" w:eastAsia="Times New Roman" w:hAnsiTheme="minorHAnsi"/>
          <w:color w:val="auto"/>
          <w:sz w:val="22"/>
          <w:szCs w:val="22"/>
          <w:lang w:eastAsia="en-AU"/>
        </w:rPr>
        <w:t xml:space="preserve">Attachment </w:t>
      </w:r>
      <w:r w:rsidR="00A50513">
        <w:rPr>
          <w:rFonts w:asciiTheme="minorHAnsi" w:eastAsia="Times New Roman" w:hAnsiTheme="minorHAnsi"/>
          <w:color w:val="auto"/>
          <w:sz w:val="22"/>
          <w:szCs w:val="22"/>
          <w:lang w:eastAsia="en-AU"/>
        </w:rPr>
        <w:t>A</w:t>
      </w:r>
      <w:r w:rsidRPr="63D7E432">
        <w:rPr>
          <w:rFonts w:asciiTheme="minorHAnsi" w:eastAsia="Times New Roman" w:hAnsiTheme="minorHAnsi"/>
          <w:b w:val="0"/>
          <w:color w:val="auto"/>
          <w:sz w:val="22"/>
          <w:szCs w:val="22"/>
          <w:lang w:eastAsia="en-AU"/>
        </w:rPr>
        <w:t xml:space="preserve"> – Factors included in the RLMI </w:t>
      </w:r>
      <w:bookmarkEnd w:id="18"/>
    </w:p>
    <w:p w14:paraId="304AFBE8" w14:textId="4DDD9CB8" w:rsidR="00F65F36" w:rsidRPr="00F65F36" w:rsidRDefault="00F65F36" w:rsidP="00A50513">
      <w:pPr>
        <w:pStyle w:val="Heading2"/>
        <w:ind w:left="-1276"/>
      </w:pPr>
      <w:bookmarkStart w:id="19" w:name="_Toc168662810"/>
      <w:r w:rsidRPr="003E77F6">
        <w:lastRenderedPageBreak/>
        <w:t xml:space="preserve">Attachment </w:t>
      </w:r>
      <w:bookmarkStart w:id="20" w:name="_Hlk131589359"/>
      <w:r w:rsidR="00A50513">
        <w:t>A</w:t>
      </w:r>
      <w:r w:rsidR="00B20C2C">
        <w:t xml:space="preserve"> - </w:t>
      </w:r>
      <w:r w:rsidRPr="00F65F36">
        <w:t>Factors included in the RLMI</w:t>
      </w:r>
      <w:bookmarkEnd w:id="19"/>
      <w:r w:rsidRPr="00F65F36">
        <w:t xml:space="preserve"> </w:t>
      </w:r>
      <w:bookmarkEnd w:id="20"/>
    </w:p>
    <w:tbl>
      <w:tblPr>
        <w:tblStyle w:val="PlainTable41"/>
        <w:tblW w:w="16302" w:type="dxa"/>
        <w:tblInd w:w="-1418" w:type="dxa"/>
        <w:tblLook w:val="04A0" w:firstRow="1" w:lastRow="0" w:firstColumn="1" w:lastColumn="0" w:noHBand="0" w:noVBand="1"/>
      </w:tblPr>
      <w:tblGrid>
        <w:gridCol w:w="2014"/>
        <w:gridCol w:w="2665"/>
        <w:gridCol w:w="5670"/>
        <w:gridCol w:w="1417"/>
        <w:gridCol w:w="1418"/>
        <w:gridCol w:w="2137"/>
        <w:gridCol w:w="981"/>
      </w:tblGrid>
      <w:tr w:rsidR="00F65F36" w:rsidRPr="003E77F6" w14:paraId="120366DE" w14:textId="77777777" w:rsidTr="002167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4" w:type="dxa"/>
            <w:shd w:val="clear" w:color="auto" w:fill="441170"/>
            <w:vAlign w:val="bottom"/>
          </w:tcPr>
          <w:p w14:paraId="47AEBAB0" w14:textId="77777777" w:rsidR="00F65F36" w:rsidRPr="003E77F6" w:rsidRDefault="00F65F36" w:rsidP="00216716">
            <w:pPr>
              <w:spacing w:before="120" w:after="120"/>
              <w:rPr>
                <w:color w:val="FFFFFF"/>
                <w:lang w:val="en-US"/>
              </w:rPr>
            </w:pPr>
            <w:r w:rsidRPr="003E77F6">
              <w:rPr>
                <w:color w:val="FFFFFF"/>
                <w:lang w:val="en-US"/>
              </w:rPr>
              <w:t>Factor</w:t>
            </w:r>
          </w:p>
        </w:tc>
        <w:tc>
          <w:tcPr>
            <w:tcW w:w="2665" w:type="dxa"/>
            <w:shd w:val="clear" w:color="auto" w:fill="441170"/>
            <w:vAlign w:val="bottom"/>
          </w:tcPr>
          <w:p w14:paraId="153CCFC0"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lang w:val="en-US"/>
              </w:rPr>
            </w:pPr>
            <w:r w:rsidRPr="003E77F6">
              <w:rPr>
                <w:color w:val="FFFFFF"/>
                <w:lang w:val="en-US"/>
              </w:rPr>
              <w:t>Description</w:t>
            </w:r>
          </w:p>
        </w:tc>
        <w:tc>
          <w:tcPr>
            <w:tcW w:w="5670" w:type="dxa"/>
            <w:shd w:val="clear" w:color="auto" w:fill="441170"/>
          </w:tcPr>
          <w:p w14:paraId="58FABC1C"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3E77F6">
              <w:rPr>
                <w:color w:val="FFFFFF" w:themeColor="background1"/>
                <w:lang w:val="en-US"/>
              </w:rPr>
              <w:t>Rationale</w:t>
            </w:r>
          </w:p>
        </w:tc>
        <w:tc>
          <w:tcPr>
            <w:tcW w:w="1417" w:type="dxa"/>
            <w:shd w:val="clear" w:color="auto" w:fill="441170"/>
          </w:tcPr>
          <w:p w14:paraId="260F6354"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bCs w:val="0"/>
                <w:color w:val="FFFFFF" w:themeColor="background1"/>
                <w:lang w:val="en-US"/>
              </w:rPr>
            </w:pPr>
            <w:r w:rsidRPr="003E77F6">
              <w:rPr>
                <w:rFonts w:cstheme="minorHAnsi"/>
                <w:bCs w:val="0"/>
                <w:color w:val="FFFFFF" w:themeColor="background1"/>
              </w:rPr>
              <w:t>Availability</w:t>
            </w:r>
          </w:p>
        </w:tc>
        <w:tc>
          <w:tcPr>
            <w:tcW w:w="1418" w:type="dxa"/>
            <w:shd w:val="clear" w:color="auto" w:fill="441170"/>
          </w:tcPr>
          <w:p w14:paraId="3762493C" w14:textId="77777777" w:rsidR="00F65F36" w:rsidRPr="008E6340" w:rsidRDefault="00F65F36" w:rsidP="0021671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sidRPr="008E6340">
              <w:rPr>
                <w:rFonts w:cstheme="minorHAnsi"/>
                <w:color w:val="FFFFFF" w:themeColor="background1"/>
              </w:rPr>
              <w:t>Geography</w:t>
            </w:r>
          </w:p>
        </w:tc>
        <w:tc>
          <w:tcPr>
            <w:tcW w:w="2137" w:type="dxa"/>
            <w:shd w:val="clear" w:color="auto" w:fill="441170"/>
          </w:tcPr>
          <w:p w14:paraId="50A053B8" w14:textId="77777777" w:rsidR="00F65F36" w:rsidRPr="003E77F6" w:rsidRDefault="00F65F36" w:rsidP="0021671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3E77F6">
              <w:rPr>
                <w:rFonts w:cstheme="minorHAnsi"/>
                <w:color w:val="FFFFFF" w:themeColor="background1"/>
              </w:rPr>
              <w:t>Source</w:t>
            </w:r>
          </w:p>
        </w:tc>
        <w:tc>
          <w:tcPr>
            <w:tcW w:w="981" w:type="dxa"/>
            <w:shd w:val="clear" w:color="auto" w:fill="441170"/>
          </w:tcPr>
          <w:p w14:paraId="31B89A47" w14:textId="77777777" w:rsidR="00F65F36" w:rsidRPr="003E77F6" w:rsidRDefault="00F65F36" w:rsidP="0021671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rPr>
            </w:pPr>
            <w:r>
              <w:rPr>
                <w:rFonts w:cstheme="minorHAnsi"/>
                <w:color w:val="FFFFFF" w:themeColor="background1"/>
              </w:rPr>
              <w:t>Weight</w:t>
            </w:r>
          </w:p>
        </w:tc>
      </w:tr>
      <w:tr w:rsidR="00F65F36" w:rsidRPr="003E77F6" w14:paraId="6117808F"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78E1AA8" w14:textId="77777777" w:rsidR="00F65F36" w:rsidRPr="003E77F6" w:rsidRDefault="00F65F36" w:rsidP="00216716">
            <w:pPr>
              <w:spacing w:before="120" w:after="120"/>
              <w:rPr>
                <w:b w:val="0"/>
                <w:color w:val="000000"/>
              </w:rPr>
            </w:pPr>
            <w:r w:rsidRPr="003E77F6">
              <w:rPr>
                <w:b w:val="0"/>
                <w:color w:val="000000"/>
              </w:rPr>
              <w:t xml:space="preserve">Employment </w:t>
            </w:r>
            <w:r w:rsidRPr="003E77F6">
              <w:rPr>
                <w:rFonts w:cs="Arial"/>
                <w:b w:val="0"/>
                <w:bCs w:val="0"/>
                <w:color w:val="000000"/>
              </w:rPr>
              <w:t>rate (15-64</w:t>
            </w:r>
            <w:r w:rsidRPr="003E77F6">
              <w:rPr>
                <w:b w:val="0"/>
                <w:color w:val="000000"/>
              </w:rPr>
              <w:t xml:space="preserve"> years</w:t>
            </w:r>
            <w:r w:rsidRPr="003E77F6">
              <w:rPr>
                <w:rFonts w:cs="Arial"/>
                <w:b w:val="0"/>
                <w:bCs w:val="0"/>
                <w:color w:val="000000"/>
              </w:rPr>
              <w:t>)</w:t>
            </w:r>
          </w:p>
        </w:tc>
        <w:tc>
          <w:tcPr>
            <w:tcW w:w="2665" w:type="dxa"/>
          </w:tcPr>
          <w:p w14:paraId="11A167DD"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pPr>
            <w:r w:rsidRPr="003E77F6">
              <w:rPr>
                <w:rFonts w:cs="Arial"/>
              </w:rPr>
              <w:t xml:space="preserve">The number of employed persons as a proportion of the working age </w:t>
            </w:r>
            <w:r>
              <w:rPr>
                <w:rFonts w:cs="Arial"/>
              </w:rPr>
              <w:br/>
            </w:r>
            <w:r w:rsidRPr="003E77F6">
              <w:rPr>
                <w:rFonts w:cs="Arial"/>
              </w:rPr>
              <w:t>(15-64 years) population (%)</w:t>
            </w:r>
          </w:p>
        </w:tc>
        <w:tc>
          <w:tcPr>
            <w:tcW w:w="5670" w:type="dxa"/>
          </w:tcPr>
          <w:p w14:paraId="781A520A" w14:textId="19FBB8EE" w:rsidR="00F65F36"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sidRPr="00492BA3">
              <w:rPr>
                <w:rFonts w:cs="Arial"/>
                <w:bCs/>
                <w:color w:val="000000"/>
              </w:rPr>
              <w:t xml:space="preserve">The employment rate </w:t>
            </w:r>
            <w:r>
              <w:rPr>
                <w:rFonts w:cs="Arial"/>
                <w:bCs/>
                <w:color w:val="000000"/>
              </w:rPr>
              <w:t>measures the extent to which available</w:t>
            </w:r>
            <w:r>
              <w:rPr>
                <w:rStyle w:val="FootnoteReference"/>
                <w:rFonts w:cs="Arial"/>
                <w:lang w:eastAsia="en-AU"/>
              </w:rPr>
              <w:footnoteReference w:id="4"/>
            </w:r>
            <w:r>
              <w:rPr>
                <w:rFonts w:cs="Arial"/>
                <w:bCs/>
                <w:color w:val="000000"/>
              </w:rPr>
              <w:t xml:space="preserve"> labour (people available to work) is being used</w:t>
            </w:r>
            <w:r w:rsidRPr="00492BA3">
              <w:rPr>
                <w:rFonts w:cs="Arial"/>
                <w:bCs/>
                <w:color w:val="000000"/>
              </w:rPr>
              <w:t xml:space="preserve">. </w:t>
            </w:r>
            <w:r>
              <w:rPr>
                <w:rFonts w:cs="Arial"/>
                <w:bCs/>
                <w:color w:val="000000"/>
              </w:rPr>
              <w:t xml:space="preserve">Importantly, the employment rate is unaffected by voluntary changes in labour force participation and is therefore a useful indicator of current labour market </w:t>
            </w:r>
            <w:r w:rsidR="00EC6367">
              <w:rPr>
                <w:rFonts w:cs="Arial"/>
                <w:bCs/>
                <w:color w:val="000000"/>
              </w:rPr>
              <w:t>performance</w:t>
            </w:r>
            <w:r>
              <w:rPr>
                <w:rFonts w:cs="Arial"/>
                <w:bCs/>
                <w:color w:val="000000"/>
              </w:rPr>
              <w:t xml:space="preserve">. </w:t>
            </w:r>
          </w:p>
          <w:p w14:paraId="24CA31C9" w14:textId="77777777" w:rsidR="00F65F36"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 xml:space="preserve">The employment rate is considered an accurate and reliable indicator at the regional level, particularly when compared to other indicators such as the unemployment rate. </w:t>
            </w:r>
          </w:p>
          <w:p w14:paraId="7BE4B213" w14:textId="77777777" w:rsidR="00F65F36" w:rsidRPr="00FE502E"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Pr>
                <w:rFonts w:cs="Arial"/>
                <w:bCs/>
                <w:color w:val="000000"/>
              </w:rPr>
              <w:t>For these reasons, the employment rate has the highest weight of any factor.</w:t>
            </w:r>
          </w:p>
          <w:p w14:paraId="0F907CBD" w14:textId="25B9967C" w:rsidR="00F65F36" w:rsidRPr="009F4AD9" w:rsidRDefault="00F65F36" w:rsidP="00F65F36">
            <w:pPr>
              <w:pStyle w:val="ListParagraph"/>
              <w:numPr>
                <w:ilvl w:val="0"/>
                <w:numId w:val="18"/>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color w:val="000000"/>
                <w:lang w:val="en-US"/>
              </w:rPr>
            </w:pPr>
            <w:r>
              <w:rPr>
                <w:rFonts w:cs="Arial"/>
                <w:bCs/>
                <w:color w:val="000000"/>
              </w:rPr>
              <w:t>The employment rate is m</w:t>
            </w:r>
            <w:r w:rsidRPr="00FE502E">
              <w:rPr>
                <w:rFonts w:cs="Arial"/>
                <w:bCs/>
                <w:color w:val="000000"/>
              </w:rPr>
              <w:t xml:space="preserve">easured as a proportion of the </w:t>
            </w:r>
            <w:r>
              <w:rPr>
                <w:rFonts w:cs="Arial"/>
                <w:bCs/>
                <w:color w:val="000000"/>
              </w:rPr>
              <w:t xml:space="preserve">working age </w:t>
            </w:r>
            <w:r w:rsidRPr="00FE502E">
              <w:rPr>
                <w:rFonts w:cs="Arial"/>
                <w:bCs/>
                <w:color w:val="000000"/>
              </w:rPr>
              <w:t>population</w:t>
            </w:r>
            <w:r>
              <w:rPr>
                <w:rFonts w:cs="Arial"/>
                <w:bCs/>
                <w:color w:val="000000"/>
              </w:rPr>
              <w:t xml:space="preserve"> to ensure it is less impacted by differences in age demographic structures. </w:t>
            </w:r>
            <w:r w:rsidRPr="00D16F24">
              <w:rPr>
                <w:rFonts w:cs="Arial"/>
                <w:bCs/>
                <w:color w:val="000000"/>
              </w:rPr>
              <w:t>It is, however, important to note that since</w:t>
            </w:r>
            <w:r>
              <w:rPr>
                <w:rFonts w:cs="Arial"/>
                <w:bCs/>
                <w:color w:val="000000"/>
              </w:rPr>
              <w:t xml:space="preserve"> some</w:t>
            </w:r>
            <w:r w:rsidRPr="00D16F24">
              <w:rPr>
                <w:rFonts w:cs="Arial"/>
                <w:bCs/>
                <w:color w:val="000000"/>
              </w:rPr>
              <w:t xml:space="preserve"> people do continue to work past the age</w:t>
            </w:r>
            <w:r w:rsidR="006A0CE2">
              <w:rPr>
                <w:rFonts w:cs="Arial"/>
                <w:bCs/>
                <w:color w:val="000000"/>
              </w:rPr>
              <w:t xml:space="preserve"> of 64,</w:t>
            </w:r>
            <w:r w:rsidRPr="00D16F24">
              <w:rPr>
                <w:rFonts w:cs="Arial"/>
                <w:bCs/>
                <w:color w:val="000000"/>
              </w:rPr>
              <w:t xml:space="preserve"> this measure does not capture the full scope of employment.</w:t>
            </w:r>
          </w:p>
        </w:tc>
        <w:tc>
          <w:tcPr>
            <w:tcW w:w="1417" w:type="dxa"/>
          </w:tcPr>
          <w:p w14:paraId="350E1FA0"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3E77F6">
              <w:rPr>
                <w:rFonts w:cs="Arial"/>
                <w:color w:val="000000"/>
                <w:lang w:val="en-US"/>
              </w:rPr>
              <w:t>Monthly</w:t>
            </w:r>
          </w:p>
        </w:tc>
        <w:tc>
          <w:tcPr>
            <w:tcW w:w="1418" w:type="dxa"/>
          </w:tcPr>
          <w:p w14:paraId="79E0031B"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8E6340">
              <w:rPr>
                <w:rFonts w:cs="Arial"/>
              </w:rPr>
              <w:t>SA4</w:t>
            </w:r>
          </w:p>
        </w:tc>
        <w:tc>
          <w:tcPr>
            <w:tcW w:w="2137" w:type="dxa"/>
          </w:tcPr>
          <w:p w14:paraId="21E415AD" w14:textId="19E30A01"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b/>
              </w:rPr>
            </w:pPr>
            <w:r w:rsidRPr="003E77F6">
              <w:rPr>
                <w:rFonts w:cs="Arial"/>
                <w:b/>
                <w:bCs/>
              </w:rPr>
              <w:t xml:space="preserve">ABS </w:t>
            </w:r>
            <w:r w:rsidRPr="003E77F6">
              <w:rPr>
                <w:rFonts w:cs="Arial"/>
                <w:bCs/>
              </w:rPr>
              <w:t>Labour Force, Australia, Detailed,</w:t>
            </w:r>
            <w:r>
              <w:rPr>
                <w:rFonts w:cs="Arial"/>
                <w:bCs/>
              </w:rPr>
              <w:t xml:space="preserve"> </w:t>
            </w:r>
            <w:r w:rsidR="00095C03">
              <w:rPr>
                <w:rFonts w:cs="Arial"/>
                <w:bCs/>
              </w:rPr>
              <w:t>1</w:t>
            </w:r>
            <w:r w:rsidR="00095C03">
              <w:rPr>
                <w:bCs/>
              </w:rPr>
              <w:t>2</w:t>
            </w:r>
            <w:r w:rsidRPr="003E77F6">
              <w:rPr>
                <w:rFonts w:cs="Arial"/>
                <w:bCs/>
              </w:rPr>
              <w:t>-month averages of original estimates</w:t>
            </w:r>
          </w:p>
        </w:tc>
        <w:tc>
          <w:tcPr>
            <w:tcW w:w="981" w:type="dxa"/>
          </w:tcPr>
          <w:p w14:paraId="462052DB" w14:textId="7EB9E61E" w:rsidR="00F65F36" w:rsidRPr="002422EC"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w:t>
            </w:r>
            <w:r w:rsidR="00162F75">
              <w:rPr>
                <w:rFonts w:cs="Arial"/>
              </w:rPr>
              <w:t>.0</w:t>
            </w:r>
          </w:p>
        </w:tc>
      </w:tr>
      <w:tr w:rsidR="00F65F36" w:rsidRPr="003E77F6" w14:paraId="63251196" w14:textId="77777777" w:rsidTr="00216716">
        <w:tc>
          <w:tcPr>
            <w:cnfStyle w:val="001000000000" w:firstRow="0" w:lastRow="0" w:firstColumn="1" w:lastColumn="0" w:oddVBand="0" w:evenVBand="0" w:oddHBand="0" w:evenHBand="0" w:firstRowFirstColumn="0" w:firstRowLastColumn="0" w:lastRowFirstColumn="0" w:lastRowLastColumn="0"/>
            <w:tcW w:w="2014" w:type="dxa"/>
          </w:tcPr>
          <w:p w14:paraId="5DABE875" w14:textId="77777777" w:rsidR="00F65F36" w:rsidRPr="003E77F6" w:rsidRDefault="00F65F36" w:rsidP="00216716">
            <w:pPr>
              <w:spacing w:before="120" w:after="120"/>
              <w:rPr>
                <w:color w:val="000000"/>
              </w:rPr>
            </w:pPr>
            <w:r>
              <w:rPr>
                <w:rFonts w:cs="Arial"/>
                <w:b w:val="0"/>
                <w:bCs w:val="0"/>
                <w:color w:val="000000"/>
              </w:rPr>
              <w:t>JobSeeker i</w:t>
            </w:r>
            <w:r w:rsidRPr="003E77F6">
              <w:rPr>
                <w:rFonts w:cs="Arial"/>
                <w:b w:val="0"/>
                <w:bCs w:val="0"/>
                <w:color w:val="000000"/>
              </w:rPr>
              <w:t xml:space="preserve">ncome </w:t>
            </w:r>
            <w:r>
              <w:rPr>
                <w:rFonts w:cs="Arial"/>
                <w:b w:val="0"/>
                <w:bCs w:val="0"/>
                <w:color w:val="000000"/>
              </w:rPr>
              <w:t>s</w:t>
            </w:r>
            <w:r w:rsidRPr="003E77F6">
              <w:rPr>
                <w:rFonts w:cs="Arial"/>
                <w:b w:val="0"/>
                <w:bCs w:val="0"/>
                <w:color w:val="000000"/>
              </w:rPr>
              <w:t xml:space="preserve">upport </w:t>
            </w:r>
            <w:r>
              <w:rPr>
                <w:rFonts w:cs="Arial"/>
                <w:b w:val="0"/>
                <w:bCs w:val="0"/>
                <w:color w:val="000000"/>
              </w:rPr>
              <w:t>rate</w:t>
            </w:r>
          </w:p>
        </w:tc>
        <w:tc>
          <w:tcPr>
            <w:tcW w:w="2665" w:type="dxa"/>
          </w:tcPr>
          <w:p w14:paraId="2701A9AC" w14:textId="5ED67E2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3E77F6">
              <w:rPr>
                <w:rFonts w:cs="Arial"/>
                <w:color w:val="000000"/>
              </w:rPr>
              <w:t>Proportion of the working age (15-64 years) population on</w:t>
            </w:r>
            <w:r>
              <w:rPr>
                <w:rFonts w:cs="Arial"/>
                <w:color w:val="000000"/>
              </w:rPr>
              <w:t xml:space="preserve"> Job</w:t>
            </w:r>
            <w:r w:rsidR="00887DF0">
              <w:rPr>
                <w:rFonts w:cs="Arial"/>
                <w:color w:val="000000"/>
              </w:rPr>
              <w:t>S</w:t>
            </w:r>
            <w:r>
              <w:rPr>
                <w:rFonts w:cs="Arial"/>
                <w:color w:val="000000"/>
              </w:rPr>
              <w:t>eeker i</w:t>
            </w:r>
            <w:r w:rsidRPr="003E77F6">
              <w:rPr>
                <w:rFonts w:cs="Arial"/>
                <w:color w:val="000000"/>
              </w:rPr>
              <w:t xml:space="preserve">ncome </w:t>
            </w:r>
            <w:r>
              <w:rPr>
                <w:rFonts w:cs="Arial"/>
                <w:color w:val="000000"/>
              </w:rPr>
              <w:t>s</w:t>
            </w:r>
            <w:r w:rsidRPr="003E77F6">
              <w:rPr>
                <w:rFonts w:cs="Arial"/>
                <w:color w:val="000000"/>
              </w:rPr>
              <w:t>upport</w:t>
            </w:r>
            <w:r>
              <w:rPr>
                <w:rStyle w:val="FootnoteReference"/>
                <w:rFonts w:cs="Arial"/>
                <w:lang w:eastAsia="en-AU"/>
              </w:rPr>
              <w:footnoteReference w:id="5"/>
            </w:r>
            <w:r w:rsidRPr="003E77F6">
              <w:rPr>
                <w:rFonts w:cs="Arial"/>
                <w:color w:val="000000"/>
              </w:rPr>
              <w:t xml:space="preserve"> </w:t>
            </w:r>
            <w:r>
              <w:rPr>
                <w:rFonts w:cs="Arial"/>
                <w:color w:val="000000"/>
              </w:rPr>
              <w:t>(%)</w:t>
            </w:r>
          </w:p>
        </w:tc>
        <w:tc>
          <w:tcPr>
            <w:tcW w:w="5670" w:type="dxa"/>
          </w:tcPr>
          <w:p w14:paraId="05D6E4CF" w14:textId="65B283FE" w:rsidR="00F65F36" w:rsidRPr="00FE502E"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FE502E">
              <w:rPr>
                <w:rFonts w:cs="Arial"/>
                <w:bCs/>
                <w:color w:val="000000"/>
              </w:rPr>
              <w:t>The proportion of the working age population on Job</w:t>
            </w:r>
            <w:r w:rsidR="00887DF0">
              <w:rPr>
                <w:rFonts w:cs="Arial"/>
                <w:bCs/>
                <w:color w:val="000000"/>
              </w:rPr>
              <w:t>S</w:t>
            </w:r>
            <w:r w:rsidRPr="00FE502E">
              <w:rPr>
                <w:rFonts w:cs="Arial"/>
                <w:bCs/>
                <w:color w:val="000000"/>
              </w:rPr>
              <w:t>eeker income support is a broad measure of spare capacity. The Job</w:t>
            </w:r>
            <w:r>
              <w:rPr>
                <w:rFonts w:cs="Arial"/>
                <w:bCs/>
                <w:color w:val="000000"/>
              </w:rPr>
              <w:t>S</w:t>
            </w:r>
            <w:r w:rsidRPr="00FE502E">
              <w:rPr>
                <w:rFonts w:cs="Arial"/>
                <w:bCs/>
                <w:color w:val="000000"/>
              </w:rPr>
              <w:t>eeker income support payment is designed to provide financial assistance to support those looking for work, including those who may be working part-time. It is also worth noting that the payment is designed to provide financial assistance to those who are sick or injured and cannot work for short period</w:t>
            </w:r>
            <w:r>
              <w:rPr>
                <w:rFonts w:cs="Arial"/>
                <w:bCs/>
                <w:color w:val="000000"/>
              </w:rPr>
              <w:t>s</w:t>
            </w:r>
            <w:r w:rsidRPr="00FE502E">
              <w:rPr>
                <w:rFonts w:cs="Arial"/>
                <w:bCs/>
                <w:color w:val="000000"/>
              </w:rPr>
              <w:t xml:space="preserve"> of time. </w:t>
            </w:r>
          </w:p>
          <w:p w14:paraId="20148AF4" w14:textId="77777777" w:rsidR="00F65F36"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FE502E">
              <w:rPr>
                <w:rFonts w:cs="Arial"/>
                <w:bCs/>
                <w:color w:val="000000"/>
              </w:rPr>
              <w:lastRenderedPageBreak/>
              <w:t xml:space="preserve">This measure is sourced from administrative data and complements the measures of spare capacity from the ABS </w:t>
            </w:r>
            <w:r w:rsidRPr="008E1C5D">
              <w:rPr>
                <w:rFonts w:cs="Arial"/>
                <w:bCs/>
                <w:i/>
                <w:iCs/>
                <w:color w:val="000000"/>
              </w:rPr>
              <w:t>Labour Force Survey</w:t>
            </w:r>
            <w:r>
              <w:rPr>
                <w:rFonts w:cs="Arial"/>
                <w:bCs/>
                <w:color w:val="000000"/>
              </w:rPr>
              <w:t>, in particular the unemployment rate which is subject to a considerable degree of statistical variability.</w:t>
            </w:r>
          </w:p>
          <w:p w14:paraId="4F237D7E" w14:textId="77777777" w:rsidR="00F65F36" w:rsidRPr="00492BA3" w:rsidRDefault="00F65F36" w:rsidP="00F65F36">
            <w:pPr>
              <w:pStyle w:val="ListParagraph"/>
              <w:numPr>
                <w:ilvl w:val="0"/>
                <w:numId w:val="18"/>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Pr>
                <w:rFonts w:cs="Arial"/>
                <w:bCs/>
                <w:color w:val="000000"/>
              </w:rPr>
              <w:t>For these reasons, it has a higher weighting than the unemployment rate.</w:t>
            </w:r>
          </w:p>
        </w:tc>
        <w:tc>
          <w:tcPr>
            <w:tcW w:w="1417" w:type="dxa"/>
          </w:tcPr>
          <w:p w14:paraId="1F923639"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lang w:val="en-US"/>
              </w:rPr>
            </w:pPr>
            <w:r w:rsidRPr="003E77F6">
              <w:rPr>
                <w:rFonts w:cs="Arial"/>
                <w:color w:val="000000"/>
                <w:lang w:val="en-US"/>
              </w:rPr>
              <w:lastRenderedPageBreak/>
              <w:t>Monthly</w:t>
            </w:r>
          </w:p>
        </w:tc>
        <w:tc>
          <w:tcPr>
            <w:tcW w:w="1418" w:type="dxa"/>
          </w:tcPr>
          <w:p w14:paraId="4736EE51" w14:textId="77777777" w:rsidR="00F65F36" w:rsidRPr="008E6340"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SA4</w:t>
            </w:r>
          </w:p>
        </w:tc>
        <w:tc>
          <w:tcPr>
            <w:tcW w:w="2137" w:type="dxa"/>
          </w:tcPr>
          <w:p w14:paraId="21616974"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S</w:t>
            </w:r>
            <w:r w:rsidRPr="00F1769F">
              <w:rPr>
                <w:rFonts w:cs="Arial"/>
                <w:b/>
                <w:bCs/>
              </w:rPr>
              <w:t xml:space="preserve">ervices Australia </w:t>
            </w:r>
            <w:r w:rsidRPr="00DE267C">
              <w:rPr>
                <w:rFonts w:cs="Arial"/>
              </w:rPr>
              <w:t xml:space="preserve">Administrative </w:t>
            </w:r>
            <w:r>
              <w:rPr>
                <w:rFonts w:cs="Arial"/>
              </w:rPr>
              <w:t>d</w:t>
            </w:r>
            <w:r w:rsidRPr="00DE267C">
              <w:rPr>
                <w:rFonts w:cs="Arial"/>
              </w:rPr>
              <w:t>ata</w:t>
            </w:r>
            <w:r>
              <w:rPr>
                <w:rFonts w:cs="Arial"/>
              </w:rPr>
              <w:t xml:space="preserve">, and working age population estimates from </w:t>
            </w:r>
            <w:r>
              <w:rPr>
                <w:rFonts w:cs="Arial"/>
                <w:b/>
                <w:bCs/>
              </w:rPr>
              <w:t>ABS</w:t>
            </w:r>
            <w:r>
              <w:rPr>
                <w:rFonts w:cs="Arial"/>
              </w:rPr>
              <w:t xml:space="preserve"> Labour Force, Australia, Detailed, </w:t>
            </w:r>
            <w:r>
              <w:rPr>
                <w:rFonts w:cs="Arial"/>
              </w:rPr>
              <w:lastRenderedPageBreak/>
              <w:t>monthly original data</w:t>
            </w:r>
          </w:p>
        </w:tc>
        <w:tc>
          <w:tcPr>
            <w:tcW w:w="981" w:type="dxa"/>
          </w:tcPr>
          <w:p w14:paraId="31173A51" w14:textId="77777777" w:rsidR="00F65F36"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2422EC">
              <w:rPr>
                <w:rFonts w:cs="Arial"/>
              </w:rPr>
              <w:lastRenderedPageBreak/>
              <w:t>1</w:t>
            </w:r>
            <w:r>
              <w:rPr>
                <w:rFonts w:cs="Arial"/>
              </w:rPr>
              <w:t>.5</w:t>
            </w:r>
          </w:p>
        </w:tc>
      </w:tr>
      <w:tr w:rsidR="00F65F36" w:rsidRPr="003E77F6" w14:paraId="2ED3CB7D"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020915E" w14:textId="77777777" w:rsidR="00F65F36" w:rsidRPr="003E77F6" w:rsidRDefault="00F65F36" w:rsidP="00216716">
            <w:pPr>
              <w:spacing w:before="120" w:after="120"/>
              <w:rPr>
                <w:rFonts w:cs="Arial"/>
                <w:b w:val="0"/>
                <w:bCs w:val="0"/>
                <w:color w:val="000000"/>
              </w:rPr>
            </w:pPr>
            <w:r w:rsidRPr="003E77F6">
              <w:rPr>
                <w:rFonts w:cs="Arial"/>
                <w:b w:val="0"/>
                <w:bCs w:val="0"/>
                <w:color w:val="000000"/>
              </w:rPr>
              <w:t xml:space="preserve">Unemployment rate </w:t>
            </w:r>
          </w:p>
        </w:tc>
        <w:tc>
          <w:tcPr>
            <w:tcW w:w="2665" w:type="dxa"/>
          </w:tcPr>
          <w:p w14:paraId="1C758FE1"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3E77F6">
              <w:rPr>
                <w:rFonts w:cs="Arial"/>
              </w:rPr>
              <w:t xml:space="preserve">The number of unemployed persons as a proportion of the total labour force (%) </w:t>
            </w:r>
          </w:p>
        </w:tc>
        <w:tc>
          <w:tcPr>
            <w:tcW w:w="5670" w:type="dxa"/>
          </w:tcPr>
          <w:p w14:paraId="651D5E36" w14:textId="77777777" w:rsidR="00F65F36" w:rsidRPr="009F4AD9"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bCs/>
                <w:color w:val="000000"/>
              </w:rPr>
              <w:t>The unemployment rate measures the availability of unused labour that is willing and available for work and is the key measure of spare capacity.</w:t>
            </w:r>
          </w:p>
          <w:p w14:paraId="32B435A7" w14:textId="77777777" w:rsidR="00F65F36" w:rsidRPr="003B50CA"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color w:val="000000"/>
                <w:lang w:val="en-US"/>
              </w:rPr>
            </w:pPr>
            <w:r>
              <w:rPr>
                <w:rFonts w:cs="Arial"/>
                <w:bCs/>
                <w:color w:val="000000"/>
                <w:lang w:val="en-US"/>
              </w:rPr>
              <w:t>Despite its importance, the unemployment rate has a lower weight than the employment rate and JobSeeker income support rate as it is subject to a considerable degree of statistical variability at the SA4 level.</w:t>
            </w:r>
          </w:p>
        </w:tc>
        <w:tc>
          <w:tcPr>
            <w:tcW w:w="1417" w:type="dxa"/>
          </w:tcPr>
          <w:p w14:paraId="467B210F"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shd w:val="clear" w:color="auto" w:fill="FFFFFF"/>
              </w:rPr>
            </w:pPr>
            <w:r w:rsidRPr="003E77F6">
              <w:rPr>
                <w:rFonts w:cs="Arial"/>
                <w:color w:val="000000"/>
                <w:lang w:val="en-US"/>
              </w:rPr>
              <w:t>Monthly</w:t>
            </w:r>
          </w:p>
        </w:tc>
        <w:tc>
          <w:tcPr>
            <w:tcW w:w="1418" w:type="dxa"/>
          </w:tcPr>
          <w:p w14:paraId="7CB00AAC"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SA4</w:t>
            </w:r>
          </w:p>
        </w:tc>
        <w:tc>
          <w:tcPr>
            <w:tcW w:w="2137" w:type="dxa"/>
          </w:tcPr>
          <w:p w14:paraId="08965A9B" w14:textId="36038E46"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
                <w:bCs/>
              </w:rPr>
            </w:pPr>
            <w:r w:rsidRPr="003E77F6">
              <w:rPr>
                <w:rFonts w:cs="Arial"/>
                <w:b/>
                <w:bCs/>
              </w:rPr>
              <w:t xml:space="preserve">ABS </w:t>
            </w:r>
            <w:r w:rsidRPr="003E77F6">
              <w:rPr>
                <w:rFonts w:cs="Arial"/>
                <w:bCs/>
              </w:rPr>
              <w:t>Labour Force, Australia, Detailed</w:t>
            </w:r>
            <w:r>
              <w:rPr>
                <w:rFonts w:cs="Arial"/>
                <w:bCs/>
              </w:rPr>
              <w:t xml:space="preserve">, </w:t>
            </w:r>
            <w:r w:rsidR="00095C03">
              <w:rPr>
                <w:rFonts w:cs="Arial"/>
                <w:bCs/>
              </w:rPr>
              <w:t>1</w:t>
            </w:r>
            <w:r w:rsidR="00095C03">
              <w:rPr>
                <w:bCs/>
              </w:rPr>
              <w:t>2</w:t>
            </w:r>
            <w:r w:rsidRPr="003E77F6">
              <w:rPr>
                <w:rFonts w:cs="Arial"/>
                <w:bCs/>
              </w:rPr>
              <w:t>-month averages of original estimates</w:t>
            </w:r>
          </w:p>
        </w:tc>
        <w:tc>
          <w:tcPr>
            <w:tcW w:w="981" w:type="dxa"/>
          </w:tcPr>
          <w:p w14:paraId="0B1E9200" w14:textId="77777777" w:rsidR="00F65F36" w:rsidRPr="003E77F6"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rPr>
              <w:t>0.5</w:t>
            </w:r>
          </w:p>
        </w:tc>
      </w:tr>
      <w:tr w:rsidR="00F65F36" w:rsidRPr="003E77F6" w14:paraId="78156555" w14:textId="77777777" w:rsidTr="00216716">
        <w:tc>
          <w:tcPr>
            <w:cnfStyle w:val="001000000000" w:firstRow="0" w:lastRow="0" w:firstColumn="1" w:lastColumn="0" w:oddVBand="0" w:evenVBand="0" w:oddHBand="0" w:evenHBand="0" w:firstRowFirstColumn="0" w:firstRowLastColumn="0" w:lastRowFirstColumn="0" w:lastRowLastColumn="0"/>
            <w:tcW w:w="2014" w:type="dxa"/>
          </w:tcPr>
          <w:p w14:paraId="0E324AD0" w14:textId="77777777" w:rsidR="00F65F36" w:rsidRPr="003E77F6" w:rsidRDefault="00F65F36" w:rsidP="00216716">
            <w:pPr>
              <w:spacing w:before="120" w:after="120"/>
              <w:rPr>
                <w:rFonts w:cs="Arial"/>
                <w:b w:val="0"/>
                <w:bCs w:val="0"/>
                <w:color w:val="000000"/>
              </w:rPr>
            </w:pPr>
            <w:r>
              <w:rPr>
                <w:rFonts w:cs="Arial"/>
                <w:b w:val="0"/>
                <w:bCs w:val="0"/>
                <w:color w:val="000000"/>
              </w:rPr>
              <w:t>Underemployment rate</w:t>
            </w:r>
          </w:p>
        </w:tc>
        <w:tc>
          <w:tcPr>
            <w:tcW w:w="2665" w:type="dxa"/>
          </w:tcPr>
          <w:p w14:paraId="3A6CBD38" w14:textId="77777777"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The number of underemployed persons as a proportion of the labour force (%)</w:t>
            </w:r>
          </w:p>
        </w:tc>
        <w:tc>
          <w:tcPr>
            <w:tcW w:w="5670" w:type="dxa"/>
          </w:tcPr>
          <w:p w14:paraId="78A3D4E6" w14:textId="77777777" w:rsidR="00F65F36" w:rsidRPr="00353D65"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 xml:space="preserve">The underemployment rate provides a broader measure of the spare capacity of labour. </w:t>
            </w:r>
          </w:p>
          <w:p w14:paraId="402B674D" w14:textId="77777777" w:rsidR="00F65F36" w:rsidRPr="00353D65"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 xml:space="preserve">Measures of underemployment are important complements to the unemployment rate in assessing how much spare capacity could be called upon in adapting to labour market strength/weakness. </w:t>
            </w:r>
          </w:p>
          <w:p w14:paraId="7DEF5067" w14:textId="77777777" w:rsidR="00F65F36" w:rsidRDefault="00F65F36" w:rsidP="00F65F36">
            <w:pPr>
              <w:pStyle w:val="ListParagraph"/>
              <w:numPr>
                <w:ilvl w:val="0"/>
                <w:numId w:val="21"/>
              </w:numPr>
              <w:spacing w:before="120"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color w:val="000000"/>
              </w:rPr>
            </w:pPr>
            <w:r w:rsidRPr="00353D65">
              <w:rPr>
                <w:rFonts w:cs="Arial"/>
                <w:bCs/>
                <w:color w:val="000000"/>
              </w:rPr>
              <w:t>The underemployment rate has a lower weighting as it is measured at the GCCSA level (given the data quality issues with this factor at the SA4 level).</w:t>
            </w:r>
          </w:p>
          <w:p w14:paraId="4F9A8DB1" w14:textId="77777777" w:rsidR="004A4531" w:rsidRDefault="004A4531" w:rsidP="004A45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color w:val="000000"/>
              </w:rPr>
            </w:pPr>
          </w:p>
          <w:p w14:paraId="1F877AF1" w14:textId="77777777" w:rsidR="004A4531" w:rsidRDefault="004A4531" w:rsidP="004A45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color w:val="000000"/>
              </w:rPr>
            </w:pPr>
          </w:p>
          <w:p w14:paraId="076313AB" w14:textId="77777777" w:rsidR="004A4531" w:rsidRDefault="004A4531" w:rsidP="004A45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color w:val="000000"/>
              </w:rPr>
            </w:pPr>
          </w:p>
          <w:p w14:paraId="5C26D69A" w14:textId="77777777" w:rsidR="004A4531" w:rsidRPr="004A4531" w:rsidRDefault="004A4531" w:rsidP="004A453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Arial"/>
                <w:bCs/>
                <w:color w:val="000000"/>
              </w:rPr>
            </w:pPr>
          </w:p>
        </w:tc>
        <w:tc>
          <w:tcPr>
            <w:tcW w:w="1417" w:type="dxa"/>
          </w:tcPr>
          <w:p w14:paraId="5903C5C9" w14:textId="4F4F01FD" w:rsidR="00F65F36" w:rsidRPr="00AF5E4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Cs/>
                <w:color w:val="000000"/>
              </w:rPr>
            </w:pPr>
            <w:r w:rsidRPr="00AF5E46">
              <w:rPr>
                <w:rFonts w:cs="Arial"/>
                <w:bCs/>
              </w:rPr>
              <w:t>Monthly</w:t>
            </w:r>
          </w:p>
        </w:tc>
        <w:tc>
          <w:tcPr>
            <w:tcW w:w="1418" w:type="dxa"/>
          </w:tcPr>
          <w:p w14:paraId="00C782D2" w14:textId="77777777" w:rsidR="00F65F36" w:rsidRPr="008E6340"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GCCSA</w:t>
            </w:r>
          </w:p>
        </w:tc>
        <w:tc>
          <w:tcPr>
            <w:tcW w:w="2137" w:type="dxa"/>
          </w:tcPr>
          <w:p w14:paraId="00F25AC1" w14:textId="3D01860E" w:rsidR="00F65F36" w:rsidRPr="003E77F6" w:rsidRDefault="00F65F36" w:rsidP="00216716">
            <w:pPr>
              <w:spacing w:before="120" w:after="120"/>
              <w:cnfStyle w:val="000000000000" w:firstRow="0" w:lastRow="0" w:firstColumn="0" w:lastColumn="0" w:oddVBand="0" w:evenVBand="0" w:oddHBand="0" w:evenHBand="0" w:firstRowFirstColumn="0" w:firstRowLastColumn="0" w:lastRowFirstColumn="0" w:lastRowLastColumn="0"/>
              <w:rPr>
                <w:rFonts w:cs="Arial"/>
                <w:b/>
                <w:bCs/>
              </w:rPr>
            </w:pPr>
            <w:r w:rsidRPr="003E77F6">
              <w:rPr>
                <w:rFonts w:cs="Arial"/>
                <w:b/>
                <w:bCs/>
              </w:rPr>
              <w:t xml:space="preserve">ABS </w:t>
            </w:r>
            <w:r w:rsidRPr="003E77F6">
              <w:rPr>
                <w:rFonts w:cs="Arial"/>
                <w:bCs/>
              </w:rPr>
              <w:t xml:space="preserve">Labour Force, Australia, </w:t>
            </w:r>
            <w:r>
              <w:rPr>
                <w:rFonts w:cs="Arial"/>
                <w:bCs/>
              </w:rPr>
              <w:t xml:space="preserve">DataLab, </w:t>
            </w:r>
            <w:r w:rsidR="00095C03">
              <w:rPr>
                <w:rFonts w:cs="Arial"/>
                <w:bCs/>
              </w:rPr>
              <w:t>1</w:t>
            </w:r>
            <w:r w:rsidR="00095C03">
              <w:rPr>
                <w:bCs/>
              </w:rPr>
              <w:t>2</w:t>
            </w:r>
            <w:r w:rsidRPr="003E77F6">
              <w:rPr>
                <w:rFonts w:cs="Arial"/>
                <w:bCs/>
              </w:rPr>
              <w:t>-month averages of original estimates</w:t>
            </w:r>
          </w:p>
        </w:tc>
        <w:tc>
          <w:tcPr>
            <w:tcW w:w="981" w:type="dxa"/>
          </w:tcPr>
          <w:p w14:paraId="6C9054E2" w14:textId="77777777" w:rsidR="00F65F36" w:rsidRPr="003E77F6" w:rsidRDefault="00F65F36" w:rsidP="00216716">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rPr>
              <w:t>0.125</w:t>
            </w:r>
          </w:p>
        </w:tc>
      </w:tr>
      <w:tr w:rsidR="00F65F36" w:rsidRPr="003E77F6" w14:paraId="678759BE" w14:textId="77777777" w:rsidTr="002167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67DD6FE1" w14:textId="33B455A3" w:rsidR="00F65F36" w:rsidRPr="003E77F6" w:rsidRDefault="00F65F36" w:rsidP="00216716">
            <w:pPr>
              <w:spacing w:before="120" w:after="120"/>
              <w:rPr>
                <w:rFonts w:cs="Arial"/>
                <w:color w:val="000000"/>
              </w:rPr>
            </w:pPr>
            <w:r>
              <w:rPr>
                <w:rFonts w:cs="Arial"/>
                <w:b w:val="0"/>
                <w:bCs w:val="0"/>
                <w:color w:val="000000"/>
              </w:rPr>
              <w:lastRenderedPageBreak/>
              <w:t>Vacancy fill rate</w:t>
            </w:r>
          </w:p>
        </w:tc>
        <w:tc>
          <w:tcPr>
            <w:tcW w:w="2665" w:type="dxa"/>
          </w:tcPr>
          <w:p w14:paraId="3519EA46"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The percentage of vacancies that have been filled (%)</w:t>
            </w:r>
          </w:p>
        </w:tc>
        <w:tc>
          <w:tcPr>
            <w:tcW w:w="5670" w:type="dxa"/>
          </w:tcPr>
          <w:p w14:paraId="3E3D499C" w14:textId="77777777" w:rsidR="00F65F36" w:rsidRPr="0071512A"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bookmarkStart w:id="21" w:name="_Hlk149833682"/>
            <w:r w:rsidRPr="0071512A">
              <w:rPr>
                <w:rFonts w:cs="Arial"/>
                <w:bCs/>
                <w:color w:val="000000"/>
              </w:rPr>
              <w:t>The vacancy fill rate is a key measure of unmet demand for labour. A low fill rate indicates that the demand for labour is not matched by the supply of labour from workers. This may be due to a lack of suitable applicants or high search costs that reduce labour market matching efficiency</w:t>
            </w:r>
            <w:bookmarkEnd w:id="21"/>
            <w:r w:rsidRPr="0071512A">
              <w:rPr>
                <w:rFonts w:cs="Arial"/>
                <w:bCs/>
                <w:color w:val="000000"/>
              </w:rPr>
              <w:t>.</w:t>
            </w:r>
          </w:p>
          <w:p w14:paraId="503DB8C4" w14:textId="77777777" w:rsidR="00F65F36" w:rsidRPr="00FE502E" w:rsidRDefault="00F65F36" w:rsidP="00F65F36">
            <w:pPr>
              <w:pStyle w:val="ListParagraph"/>
              <w:numPr>
                <w:ilvl w:val="0"/>
                <w:numId w:val="21"/>
              </w:numPr>
              <w:spacing w:before="120" w:after="120"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cs="Arial"/>
                <w:bCs/>
                <w:color w:val="000000"/>
              </w:rPr>
            </w:pPr>
            <w:r w:rsidRPr="0071512A">
              <w:rPr>
                <w:rFonts w:cs="Arial"/>
                <w:bCs/>
                <w:color w:val="000000"/>
              </w:rPr>
              <w:t>Despite its uniqueness, the vacancy fill rate has a lower weighting as it is measured at the GCCSA level (given the data quality issues with this factor at the SA4 level).</w:t>
            </w:r>
          </w:p>
        </w:tc>
        <w:tc>
          <w:tcPr>
            <w:tcW w:w="1417" w:type="dxa"/>
          </w:tcPr>
          <w:p w14:paraId="6AE621E6" w14:textId="77777777" w:rsidR="00F65F36" w:rsidRPr="00AF5E4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Cs/>
                <w:color w:val="000000"/>
              </w:rPr>
            </w:pPr>
            <w:r w:rsidRPr="00AF5E46">
              <w:rPr>
                <w:rFonts w:cs="Arial"/>
                <w:bCs/>
              </w:rPr>
              <w:t>Monthly</w:t>
            </w:r>
          </w:p>
        </w:tc>
        <w:tc>
          <w:tcPr>
            <w:tcW w:w="1418" w:type="dxa"/>
          </w:tcPr>
          <w:p w14:paraId="19AF6793" w14:textId="77777777" w:rsidR="00F65F36" w:rsidRPr="008E6340"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GCCSA</w:t>
            </w:r>
          </w:p>
        </w:tc>
        <w:tc>
          <w:tcPr>
            <w:tcW w:w="2137" w:type="dxa"/>
          </w:tcPr>
          <w:p w14:paraId="79251EFB" w14:textId="77777777" w:rsidR="00F65F36" w:rsidRPr="003E77F6" w:rsidRDefault="00F65F36" w:rsidP="00216716">
            <w:pPr>
              <w:spacing w:before="120" w:after="120"/>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JSA</w:t>
            </w:r>
            <w:r>
              <w:rPr>
                <w:rFonts w:cs="Arial"/>
              </w:rPr>
              <w:t xml:space="preserve"> Survey of Employers who have Recently Advertised, 12-month averages of original estimates</w:t>
            </w:r>
          </w:p>
        </w:tc>
        <w:tc>
          <w:tcPr>
            <w:tcW w:w="981" w:type="dxa"/>
          </w:tcPr>
          <w:p w14:paraId="2022864F" w14:textId="77777777" w:rsidR="00F65F36" w:rsidRPr="002422EC" w:rsidRDefault="00F65F36" w:rsidP="00216716">
            <w:pPr>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0.125</w:t>
            </w:r>
          </w:p>
        </w:tc>
      </w:tr>
    </w:tbl>
    <w:p w14:paraId="4E8AAE15" w14:textId="77777777" w:rsidR="00F65F36" w:rsidRDefault="00F65F36" w:rsidP="00F65F36">
      <w:pPr>
        <w:rPr>
          <w:rFonts w:asciiTheme="minorHAnsi" w:hAnsiTheme="minorHAnsi" w:cstheme="minorHAnsi"/>
          <w:b/>
          <w:sz w:val="28"/>
          <w:szCs w:val="28"/>
        </w:rPr>
      </w:pPr>
    </w:p>
    <w:p w14:paraId="39453039" w14:textId="77777777" w:rsidR="00F65F36" w:rsidRDefault="00F65F36" w:rsidP="00F65F36">
      <w:pPr>
        <w:rPr>
          <w:rFonts w:asciiTheme="minorHAnsi" w:hAnsiTheme="minorHAnsi" w:cstheme="minorHAnsi"/>
          <w:b/>
          <w:sz w:val="28"/>
          <w:szCs w:val="28"/>
        </w:rPr>
      </w:pPr>
    </w:p>
    <w:p w14:paraId="2E57D752" w14:textId="77777777" w:rsidR="00F65F36" w:rsidRDefault="00F65F36" w:rsidP="00F65F36">
      <w:pPr>
        <w:rPr>
          <w:rFonts w:asciiTheme="minorHAnsi" w:hAnsiTheme="minorHAnsi" w:cstheme="minorHAnsi"/>
          <w:b/>
          <w:sz w:val="28"/>
          <w:szCs w:val="28"/>
        </w:rPr>
      </w:pPr>
    </w:p>
    <w:p w14:paraId="7AEC2BBE" w14:textId="77777777" w:rsidR="00F65F36" w:rsidRDefault="00F65F36" w:rsidP="00F65F36">
      <w:pPr>
        <w:rPr>
          <w:rFonts w:asciiTheme="minorHAnsi" w:hAnsiTheme="minorHAnsi" w:cstheme="minorHAnsi"/>
          <w:b/>
          <w:sz w:val="28"/>
          <w:szCs w:val="28"/>
        </w:rPr>
      </w:pPr>
    </w:p>
    <w:p w14:paraId="515718C0" w14:textId="77777777" w:rsidR="00F65F36" w:rsidRDefault="00F65F36" w:rsidP="00F65F36">
      <w:pPr>
        <w:rPr>
          <w:rFonts w:asciiTheme="minorHAnsi" w:hAnsiTheme="minorHAnsi" w:cstheme="minorHAnsi"/>
          <w:b/>
          <w:sz w:val="28"/>
          <w:szCs w:val="28"/>
        </w:rPr>
      </w:pPr>
    </w:p>
    <w:p w14:paraId="155D59FD" w14:textId="77777777" w:rsidR="00F65F36" w:rsidRDefault="00F65F36" w:rsidP="00F65F36">
      <w:pPr>
        <w:rPr>
          <w:rFonts w:asciiTheme="minorHAnsi" w:hAnsiTheme="minorHAnsi" w:cstheme="minorHAnsi"/>
          <w:b/>
          <w:sz w:val="28"/>
          <w:szCs w:val="28"/>
        </w:rPr>
      </w:pPr>
    </w:p>
    <w:bookmarkEnd w:id="0"/>
    <w:bookmarkEnd w:id="1"/>
    <w:p w14:paraId="2832C9E3" w14:textId="77777777" w:rsidR="00B11937" w:rsidRPr="00B11937" w:rsidRDefault="00B11937" w:rsidP="00791484"/>
    <w:sectPr w:rsidR="00B11937" w:rsidRPr="00B11937" w:rsidSect="00791484">
      <w:headerReference w:type="default" r:id="rId19"/>
      <w:headerReference w:type="first" r:id="rId20"/>
      <w:footerReference w:type="first" r:id="rId21"/>
      <w:pgSz w:w="16838" w:h="11906" w:orient="landscape"/>
      <w:pgMar w:top="567" w:right="1418" w:bottom="851"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A2EB" w14:textId="77777777" w:rsidR="004633D9" w:rsidRDefault="004633D9" w:rsidP="008C0056">
      <w:r>
        <w:separator/>
      </w:r>
    </w:p>
  </w:endnote>
  <w:endnote w:type="continuationSeparator" w:id="0">
    <w:p w14:paraId="24931FC6" w14:textId="77777777" w:rsidR="004633D9" w:rsidRDefault="004633D9" w:rsidP="008C0056">
      <w:r>
        <w:continuationSeparator/>
      </w:r>
    </w:p>
  </w:endnote>
  <w:endnote w:type="continuationNotice" w:id="1">
    <w:p w14:paraId="3A6B9CAB" w14:textId="77777777" w:rsidR="004633D9" w:rsidRDefault="004633D9"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44FA4A1C"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65F36">
              <w:t>Regional Labour Market Indicator (RLMI)</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42297"/>
      <w:docPartObj>
        <w:docPartGallery w:val="Page Numbers (Bottom of Page)"/>
        <w:docPartUnique/>
      </w:docPartObj>
    </w:sdtPr>
    <w:sdtEndPr>
      <w:rPr>
        <w:noProof/>
      </w:rPr>
    </w:sdtEndPr>
    <w:sdtContent>
      <w:p w14:paraId="5DCE2B95" w14:textId="77777777" w:rsidR="00F65F36" w:rsidRDefault="00F65F36">
        <w:pPr>
          <w:pStyle w:val="Footer"/>
        </w:pPr>
        <w:r>
          <w:fldChar w:fldCharType="begin"/>
        </w:r>
        <w:r>
          <w:instrText xml:space="preserve"> PAGE   \* MERGEFORMAT </w:instrText>
        </w:r>
        <w:r>
          <w:fldChar w:fldCharType="separate"/>
        </w:r>
        <w:r>
          <w:rPr>
            <w:noProof/>
          </w:rPr>
          <w:t>2</w:t>
        </w:r>
        <w:r>
          <w:rPr>
            <w:noProof/>
          </w:rPr>
          <w:fldChar w:fldCharType="end"/>
        </w:r>
      </w:p>
    </w:sdtContent>
  </w:sdt>
  <w:p w14:paraId="496ACAB8" w14:textId="77777777" w:rsidR="00F65F36" w:rsidRDefault="00F65F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2AE0" w14:textId="77777777" w:rsidR="00F65F36" w:rsidRPr="00D47011" w:rsidRDefault="00F65F36" w:rsidP="00D47011">
    <w:pPr>
      <w:pStyle w:val="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C70CB2E" w:rsidR="576AB269" w:rsidRDefault="007925C9" w:rsidP="007925C9">
    <w:pPr>
      <w:pStyle w:val="Footer"/>
    </w:pPr>
    <w: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878B" w14:textId="77777777" w:rsidR="004633D9" w:rsidRDefault="004633D9" w:rsidP="008C0056">
      <w:r>
        <w:separator/>
      </w:r>
    </w:p>
  </w:footnote>
  <w:footnote w:type="continuationSeparator" w:id="0">
    <w:p w14:paraId="5F184206" w14:textId="77777777" w:rsidR="004633D9" w:rsidRDefault="004633D9" w:rsidP="008C0056">
      <w:r>
        <w:continuationSeparator/>
      </w:r>
    </w:p>
  </w:footnote>
  <w:footnote w:type="continuationNotice" w:id="1">
    <w:p w14:paraId="4CD326A6" w14:textId="77777777" w:rsidR="004633D9" w:rsidRDefault="004633D9" w:rsidP="008C0056"/>
  </w:footnote>
  <w:footnote w:id="2">
    <w:p w14:paraId="497963D8" w14:textId="77777777" w:rsidR="00F65F36" w:rsidRPr="005911E6" w:rsidRDefault="00F65F36" w:rsidP="00F65F36">
      <w:pPr>
        <w:pStyle w:val="FootnoteText"/>
        <w:rPr>
          <w:rFonts w:asciiTheme="minorHAnsi" w:hAnsiTheme="minorHAnsi" w:cstheme="minorHAnsi"/>
        </w:rPr>
      </w:pPr>
      <w:r w:rsidRPr="005911E6">
        <w:rPr>
          <w:rStyle w:val="FootnoteReference"/>
          <w:rFonts w:asciiTheme="minorHAnsi" w:hAnsiTheme="minorHAnsi" w:cstheme="minorHAnsi"/>
          <w:sz w:val="18"/>
          <w:szCs w:val="18"/>
        </w:rPr>
        <w:footnoteRef/>
      </w:r>
      <w:r w:rsidRPr="005911E6">
        <w:rPr>
          <w:rFonts w:asciiTheme="minorHAnsi" w:hAnsiTheme="minorHAnsi" w:cstheme="minorHAnsi"/>
          <w:sz w:val="18"/>
          <w:szCs w:val="18"/>
        </w:rPr>
        <w:t xml:space="preserve"> From the 2008 OECD Handbook on Constructing Composite Indicators.</w:t>
      </w:r>
    </w:p>
  </w:footnote>
  <w:footnote w:id="3">
    <w:p w14:paraId="547011C3" w14:textId="77777777" w:rsidR="0082743C" w:rsidRDefault="0082743C" w:rsidP="0082743C">
      <w:pPr>
        <w:pStyle w:val="FootnoteText"/>
      </w:pPr>
      <w:r>
        <w:rPr>
          <w:rStyle w:val="FootnoteReference"/>
        </w:rPr>
        <w:footnoteRef/>
      </w:r>
      <w:r>
        <w:t xml:space="preserve"> </w:t>
      </w:r>
      <w:r>
        <w:rPr>
          <w:rFonts w:asciiTheme="minorHAnsi" w:hAnsiTheme="minorHAnsi" w:cstheme="minorHAnsi"/>
          <w:sz w:val="18"/>
          <w:szCs w:val="18"/>
        </w:rPr>
        <w:t xml:space="preserve">Bishop &amp; Greenland, ‘Is the Phillips Curve Still a Curve? Evidence from the Regions’, </w:t>
      </w:r>
      <w:r>
        <w:rPr>
          <w:rFonts w:asciiTheme="minorHAnsi" w:hAnsiTheme="minorHAnsi" w:cstheme="minorHAnsi"/>
          <w:i/>
          <w:iCs/>
          <w:sz w:val="18"/>
          <w:szCs w:val="18"/>
        </w:rPr>
        <w:t>Research Discussion paper 2021-09</w:t>
      </w:r>
      <w:r>
        <w:rPr>
          <w:rFonts w:asciiTheme="minorHAnsi" w:hAnsiTheme="minorHAnsi" w:cstheme="minorHAnsi"/>
          <w:sz w:val="18"/>
          <w:szCs w:val="18"/>
        </w:rPr>
        <w:t>.</w:t>
      </w:r>
    </w:p>
  </w:footnote>
  <w:footnote w:id="4">
    <w:p w14:paraId="112AC8AE" w14:textId="77777777" w:rsidR="00F65F36" w:rsidRPr="0081301B" w:rsidRDefault="00F65F36" w:rsidP="00F65F36">
      <w:pPr>
        <w:pStyle w:val="FootnoteText"/>
        <w:ind w:left="-1134"/>
        <w:rPr>
          <w:rFonts w:asciiTheme="minorHAnsi" w:hAnsiTheme="minorHAnsi" w:cstheme="minorHAnsi"/>
          <w:sz w:val="18"/>
          <w:szCs w:val="18"/>
        </w:rPr>
      </w:pPr>
      <w:r w:rsidRPr="0081301B">
        <w:rPr>
          <w:rStyle w:val="FootnoteReference"/>
          <w:rFonts w:asciiTheme="minorHAnsi" w:hAnsiTheme="minorHAnsi" w:cstheme="minorHAnsi"/>
          <w:sz w:val="18"/>
          <w:szCs w:val="18"/>
        </w:rPr>
        <w:footnoteRef/>
      </w:r>
      <w:r w:rsidRPr="0081301B">
        <w:rPr>
          <w:rFonts w:asciiTheme="minorHAnsi" w:hAnsiTheme="minorHAnsi" w:cstheme="minorHAnsi"/>
          <w:sz w:val="18"/>
          <w:szCs w:val="18"/>
        </w:rPr>
        <w:t xml:space="preserve"> </w:t>
      </w:r>
      <w:r>
        <w:rPr>
          <w:rFonts w:asciiTheme="minorHAnsi" w:hAnsiTheme="minorHAnsi" w:cstheme="minorHAnsi"/>
          <w:sz w:val="18"/>
          <w:szCs w:val="18"/>
        </w:rPr>
        <w:t xml:space="preserve">It is important to note that some individual’s personal circumstances may prevent them from participating in the labour market despite being considered a part of the ‘working age population’. </w:t>
      </w:r>
    </w:p>
  </w:footnote>
  <w:footnote w:id="5">
    <w:p w14:paraId="316182D8" w14:textId="699ED356" w:rsidR="00F65F36" w:rsidRPr="0081301B" w:rsidRDefault="00F65F36" w:rsidP="00F65F36">
      <w:pPr>
        <w:pStyle w:val="FootnoteText"/>
        <w:ind w:left="-1134"/>
        <w:rPr>
          <w:rFonts w:asciiTheme="minorHAnsi" w:hAnsiTheme="minorHAnsi" w:cstheme="minorHAnsi"/>
          <w:sz w:val="18"/>
          <w:szCs w:val="18"/>
        </w:rPr>
      </w:pPr>
      <w:r w:rsidRPr="0081301B">
        <w:rPr>
          <w:rStyle w:val="FootnoteReference"/>
          <w:rFonts w:asciiTheme="minorHAnsi" w:hAnsiTheme="minorHAnsi" w:cstheme="minorHAnsi"/>
          <w:sz w:val="18"/>
          <w:szCs w:val="18"/>
        </w:rPr>
        <w:footnoteRef/>
      </w:r>
      <w:r w:rsidRPr="0081301B">
        <w:rPr>
          <w:rFonts w:asciiTheme="minorHAnsi" w:hAnsiTheme="minorHAnsi" w:cstheme="minorHAnsi"/>
          <w:sz w:val="18"/>
          <w:szCs w:val="18"/>
        </w:rPr>
        <w:t xml:space="preserve"> </w:t>
      </w:r>
      <w:r w:rsidRPr="004E4174">
        <w:rPr>
          <w:rFonts w:asciiTheme="minorHAnsi" w:hAnsiTheme="minorHAnsi" w:cstheme="minorHAnsi"/>
          <w:sz w:val="18"/>
          <w:szCs w:val="18"/>
        </w:rPr>
        <w:t>Job</w:t>
      </w:r>
      <w:r w:rsidR="00C44D5E">
        <w:rPr>
          <w:rFonts w:asciiTheme="minorHAnsi" w:hAnsiTheme="minorHAnsi" w:cstheme="minorHAnsi"/>
          <w:sz w:val="18"/>
          <w:szCs w:val="18"/>
        </w:rPr>
        <w:t>S</w:t>
      </w:r>
      <w:r w:rsidRPr="004E4174">
        <w:rPr>
          <w:rFonts w:asciiTheme="minorHAnsi" w:hAnsiTheme="minorHAnsi" w:cstheme="minorHAnsi"/>
          <w:sz w:val="18"/>
          <w:szCs w:val="18"/>
        </w:rPr>
        <w:t>eeker income support’ is a combination of the JobSeeker payment and Youth Allowance (other)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69701D"/>
    <w:multiLevelType w:val="hybridMultilevel"/>
    <w:tmpl w:val="CC84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4208B"/>
    <w:multiLevelType w:val="hybridMultilevel"/>
    <w:tmpl w:val="BF0EE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1DBF6705"/>
    <w:multiLevelType w:val="hybridMultilevel"/>
    <w:tmpl w:val="06AAF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454AEA"/>
    <w:multiLevelType w:val="hybridMultilevel"/>
    <w:tmpl w:val="7B12F64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5519707D"/>
    <w:multiLevelType w:val="hybridMultilevel"/>
    <w:tmpl w:val="45A4F7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5F5926DA"/>
    <w:multiLevelType w:val="hybridMultilevel"/>
    <w:tmpl w:val="FB069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0663E6"/>
    <w:multiLevelType w:val="hybridMultilevel"/>
    <w:tmpl w:val="532C4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494896"/>
    <w:multiLevelType w:val="hybridMultilevel"/>
    <w:tmpl w:val="CA2A6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D6F70EF"/>
    <w:multiLevelType w:val="hybridMultilevel"/>
    <w:tmpl w:val="E068B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7269666">
    <w:abstractNumId w:val="22"/>
  </w:num>
  <w:num w:numId="2" w16cid:durableId="1668050683">
    <w:abstractNumId w:val="14"/>
  </w:num>
  <w:num w:numId="3" w16cid:durableId="1683042470">
    <w:abstractNumId w:val="6"/>
  </w:num>
  <w:num w:numId="4" w16cid:durableId="133523604">
    <w:abstractNumId w:val="19"/>
  </w:num>
  <w:num w:numId="5" w16cid:durableId="1994024302">
    <w:abstractNumId w:val="20"/>
  </w:num>
  <w:num w:numId="6" w16cid:durableId="1358852113">
    <w:abstractNumId w:val="13"/>
  </w:num>
  <w:num w:numId="7" w16cid:durableId="2047246184">
    <w:abstractNumId w:val="10"/>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2"/>
  </w:num>
  <w:num w:numId="15" w16cid:durableId="406730085">
    <w:abstractNumId w:val="9"/>
  </w:num>
  <w:num w:numId="16" w16cid:durableId="647587675">
    <w:abstractNumId w:val="21"/>
  </w:num>
  <w:num w:numId="17" w16cid:durableId="1288047154">
    <w:abstractNumId w:val="15"/>
  </w:num>
  <w:num w:numId="18" w16cid:durableId="1081174813">
    <w:abstractNumId w:val="17"/>
  </w:num>
  <w:num w:numId="19" w16cid:durableId="2106806323">
    <w:abstractNumId w:val="11"/>
  </w:num>
  <w:num w:numId="20" w16cid:durableId="2021731715">
    <w:abstractNumId w:val="7"/>
  </w:num>
  <w:num w:numId="21" w16cid:durableId="1114906167">
    <w:abstractNumId w:val="8"/>
  </w:num>
  <w:num w:numId="22" w16cid:durableId="1211188810">
    <w:abstractNumId w:val="18"/>
  </w:num>
  <w:num w:numId="23" w16cid:durableId="1146780901">
    <w:abstractNumId w:val="23"/>
  </w:num>
  <w:num w:numId="24" w16cid:durableId="801191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5BD0"/>
    <w:rsid w:val="000261A3"/>
    <w:rsid w:val="0003316F"/>
    <w:rsid w:val="00037EB9"/>
    <w:rsid w:val="000404CE"/>
    <w:rsid w:val="0004100D"/>
    <w:rsid w:val="00041073"/>
    <w:rsid w:val="00042336"/>
    <w:rsid w:val="00042611"/>
    <w:rsid w:val="00047BAD"/>
    <w:rsid w:val="00051CBE"/>
    <w:rsid w:val="0005518A"/>
    <w:rsid w:val="000572BD"/>
    <w:rsid w:val="00066A4B"/>
    <w:rsid w:val="00095C03"/>
    <w:rsid w:val="00095E11"/>
    <w:rsid w:val="000A145A"/>
    <w:rsid w:val="000A7F1E"/>
    <w:rsid w:val="000B6324"/>
    <w:rsid w:val="000C0BA2"/>
    <w:rsid w:val="000C48C1"/>
    <w:rsid w:val="000D4135"/>
    <w:rsid w:val="000D5FCE"/>
    <w:rsid w:val="000D6745"/>
    <w:rsid w:val="000E38BA"/>
    <w:rsid w:val="000E7042"/>
    <w:rsid w:val="000F79D3"/>
    <w:rsid w:val="00101FBF"/>
    <w:rsid w:val="001134ED"/>
    <w:rsid w:val="00123DFA"/>
    <w:rsid w:val="00124D9E"/>
    <w:rsid w:val="00125C36"/>
    <w:rsid w:val="001306D6"/>
    <w:rsid w:val="00131E99"/>
    <w:rsid w:val="00143208"/>
    <w:rsid w:val="001516BF"/>
    <w:rsid w:val="001534EA"/>
    <w:rsid w:val="00162F75"/>
    <w:rsid w:val="00164614"/>
    <w:rsid w:val="0017574A"/>
    <w:rsid w:val="00186DC1"/>
    <w:rsid w:val="00190DE6"/>
    <w:rsid w:val="00192BED"/>
    <w:rsid w:val="001A14AA"/>
    <w:rsid w:val="001A22A8"/>
    <w:rsid w:val="001B7035"/>
    <w:rsid w:val="001B7F1C"/>
    <w:rsid w:val="001C0CB2"/>
    <w:rsid w:val="001C0D18"/>
    <w:rsid w:val="001C381D"/>
    <w:rsid w:val="001C6BA8"/>
    <w:rsid w:val="001E4423"/>
    <w:rsid w:val="001E58C4"/>
    <w:rsid w:val="001F36D6"/>
    <w:rsid w:val="001F59D3"/>
    <w:rsid w:val="00201984"/>
    <w:rsid w:val="00206249"/>
    <w:rsid w:val="00233A75"/>
    <w:rsid w:val="00235437"/>
    <w:rsid w:val="0024392D"/>
    <w:rsid w:val="00244550"/>
    <w:rsid w:val="002618DF"/>
    <w:rsid w:val="00261D00"/>
    <w:rsid w:val="002633D9"/>
    <w:rsid w:val="00280AC6"/>
    <w:rsid w:val="002824C3"/>
    <w:rsid w:val="002839A5"/>
    <w:rsid w:val="002877AE"/>
    <w:rsid w:val="002927DB"/>
    <w:rsid w:val="002950ED"/>
    <w:rsid w:val="00296166"/>
    <w:rsid w:val="002A3080"/>
    <w:rsid w:val="002A4B17"/>
    <w:rsid w:val="002B56AD"/>
    <w:rsid w:val="002B6904"/>
    <w:rsid w:val="002C30E8"/>
    <w:rsid w:val="002D68E2"/>
    <w:rsid w:val="002E0E18"/>
    <w:rsid w:val="002E5B03"/>
    <w:rsid w:val="002E6E2F"/>
    <w:rsid w:val="002F3EB5"/>
    <w:rsid w:val="002F5690"/>
    <w:rsid w:val="002F60F2"/>
    <w:rsid w:val="002F6346"/>
    <w:rsid w:val="003060CC"/>
    <w:rsid w:val="00306575"/>
    <w:rsid w:val="00306C0E"/>
    <w:rsid w:val="00307C4E"/>
    <w:rsid w:val="00310CA1"/>
    <w:rsid w:val="003122CC"/>
    <w:rsid w:val="003123C1"/>
    <w:rsid w:val="00313B29"/>
    <w:rsid w:val="00314E27"/>
    <w:rsid w:val="00323B9A"/>
    <w:rsid w:val="00327AB4"/>
    <w:rsid w:val="0033752C"/>
    <w:rsid w:val="003377F6"/>
    <w:rsid w:val="003433C4"/>
    <w:rsid w:val="0035131B"/>
    <w:rsid w:val="00353086"/>
    <w:rsid w:val="00366923"/>
    <w:rsid w:val="003708C1"/>
    <w:rsid w:val="00374E1D"/>
    <w:rsid w:val="00385788"/>
    <w:rsid w:val="00385ABF"/>
    <w:rsid w:val="003873EB"/>
    <w:rsid w:val="0039115D"/>
    <w:rsid w:val="003926FD"/>
    <w:rsid w:val="003A2337"/>
    <w:rsid w:val="003B474F"/>
    <w:rsid w:val="003C0817"/>
    <w:rsid w:val="003C17DB"/>
    <w:rsid w:val="003D48E5"/>
    <w:rsid w:val="003E0796"/>
    <w:rsid w:val="003E0B70"/>
    <w:rsid w:val="003E3395"/>
    <w:rsid w:val="00400705"/>
    <w:rsid w:val="00414A4A"/>
    <w:rsid w:val="00421AC1"/>
    <w:rsid w:val="00422AD4"/>
    <w:rsid w:val="00423409"/>
    <w:rsid w:val="00431BE4"/>
    <w:rsid w:val="00431BFC"/>
    <w:rsid w:val="00440C82"/>
    <w:rsid w:val="004440ED"/>
    <w:rsid w:val="004633D9"/>
    <w:rsid w:val="00465736"/>
    <w:rsid w:val="004773D3"/>
    <w:rsid w:val="004959E6"/>
    <w:rsid w:val="004A4531"/>
    <w:rsid w:val="004C542A"/>
    <w:rsid w:val="004C705B"/>
    <w:rsid w:val="004D0F14"/>
    <w:rsid w:val="004D22A5"/>
    <w:rsid w:val="004D3224"/>
    <w:rsid w:val="004D3A08"/>
    <w:rsid w:val="004E0B8B"/>
    <w:rsid w:val="004E7165"/>
    <w:rsid w:val="004F2369"/>
    <w:rsid w:val="004F6FCE"/>
    <w:rsid w:val="00506CD7"/>
    <w:rsid w:val="005109B7"/>
    <w:rsid w:val="00513C8F"/>
    <w:rsid w:val="0051507F"/>
    <w:rsid w:val="005240C4"/>
    <w:rsid w:val="00532929"/>
    <w:rsid w:val="005339C1"/>
    <w:rsid w:val="00534D48"/>
    <w:rsid w:val="005411A8"/>
    <w:rsid w:val="0054234B"/>
    <w:rsid w:val="00543D06"/>
    <w:rsid w:val="005446B5"/>
    <w:rsid w:val="005533B5"/>
    <w:rsid w:val="00567E50"/>
    <w:rsid w:val="0057143D"/>
    <w:rsid w:val="00572133"/>
    <w:rsid w:val="00584E9E"/>
    <w:rsid w:val="00592584"/>
    <w:rsid w:val="005964AC"/>
    <w:rsid w:val="00597EF7"/>
    <w:rsid w:val="005A0B81"/>
    <w:rsid w:val="005A2862"/>
    <w:rsid w:val="005B2318"/>
    <w:rsid w:val="005B5A7A"/>
    <w:rsid w:val="005B60AC"/>
    <w:rsid w:val="005C1000"/>
    <w:rsid w:val="005C5BF0"/>
    <w:rsid w:val="005C6471"/>
    <w:rsid w:val="005D467D"/>
    <w:rsid w:val="005D4AEC"/>
    <w:rsid w:val="005D57CB"/>
    <w:rsid w:val="005E18D8"/>
    <w:rsid w:val="005F1E8D"/>
    <w:rsid w:val="006029D6"/>
    <w:rsid w:val="006066C4"/>
    <w:rsid w:val="006109D8"/>
    <w:rsid w:val="00631632"/>
    <w:rsid w:val="00635255"/>
    <w:rsid w:val="0064002D"/>
    <w:rsid w:val="00642A9A"/>
    <w:rsid w:val="00655BCA"/>
    <w:rsid w:val="006606E0"/>
    <w:rsid w:val="006670A4"/>
    <w:rsid w:val="00675795"/>
    <w:rsid w:val="00677034"/>
    <w:rsid w:val="00693BA4"/>
    <w:rsid w:val="00693E00"/>
    <w:rsid w:val="006A0CE2"/>
    <w:rsid w:val="006B6C94"/>
    <w:rsid w:val="006C06BF"/>
    <w:rsid w:val="006C282B"/>
    <w:rsid w:val="006D2345"/>
    <w:rsid w:val="006D3281"/>
    <w:rsid w:val="006E1136"/>
    <w:rsid w:val="006E49A4"/>
    <w:rsid w:val="006F7520"/>
    <w:rsid w:val="00702CB5"/>
    <w:rsid w:val="00703260"/>
    <w:rsid w:val="00706431"/>
    <w:rsid w:val="00710DAA"/>
    <w:rsid w:val="007117F1"/>
    <w:rsid w:val="007119BB"/>
    <w:rsid w:val="00717636"/>
    <w:rsid w:val="007177A7"/>
    <w:rsid w:val="0072616C"/>
    <w:rsid w:val="0073513A"/>
    <w:rsid w:val="007371B3"/>
    <w:rsid w:val="007374F9"/>
    <w:rsid w:val="00741355"/>
    <w:rsid w:val="00746A43"/>
    <w:rsid w:val="00754AB9"/>
    <w:rsid w:val="00767C3A"/>
    <w:rsid w:val="00782490"/>
    <w:rsid w:val="007866FA"/>
    <w:rsid w:val="00791484"/>
    <w:rsid w:val="007925C9"/>
    <w:rsid w:val="007A3F61"/>
    <w:rsid w:val="007A5668"/>
    <w:rsid w:val="007A7572"/>
    <w:rsid w:val="007B0EC1"/>
    <w:rsid w:val="007B100A"/>
    <w:rsid w:val="007B21A5"/>
    <w:rsid w:val="007B2AD6"/>
    <w:rsid w:val="007B3938"/>
    <w:rsid w:val="007C6AEC"/>
    <w:rsid w:val="007D2E86"/>
    <w:rsid w:val="007D4ED8"/>
    <w:rsid w:val="007D799D"/>
    <w:rsid w:val="007F7DBD"/>
    <w:rsid w:val="0080173E"/>
    <w:rsid w:val="00802F0D"/>
    <w:rsid w:val="0081136A"/>
    <w:rsid w:val="00811B37"/>
    <w:rsid w:val="00814D30"/>
    <w:rsid w:val="0082743C"/>
    <w:rsid w:val="00837EDC"/>
    <w:rsid w:val="00840DAA"/>
    <w:rsid w:val="0084197B"/>
    <w:rsid w:val="00845009"/>
    <w:rsid w:val="0084740A"/>
    <w:rsid w:val="00857878"/>
    <w:rsid w:val="00857E1B"/>
    <w:rsid w:val="008634C2"/>
    <w:rsid w:val="00864EEA"/>
    <w:rsid w:val="00865E4F"/>
    <w:rsid w:val="00866663"/>
    <w:rsid w:val="00873BE7"/>
    <w:rsid w:val="0087706C"/>
    <w:rsid w:val="0088237E"/>
    <w:rsid w:val="00886A15"/>
    <w:rsid w:val="00887DF0"/>
    <w:rsid w:val="008A6964"/>
    <w:rsid w:val="008B3E8F"/>
    <w:rsid w:val="008C0056"/>
    <w:rsid w:val="008C21E1"/>
    <w:rsid w:val="008D09A1"/>
    <w:rsid w:val="008D76F6"/>
    <w:rsid w:val="008F2F17"/>
    <w:rsid w:val="008F2F5C"/>
    <w:rsid w:val="008F5797"/>
    <w:rsid w:val="009062AE"/>
    <w:rsid w:val="00917B70"/>
    <w:rsid w:val="00923B0D"/>
    <w:rsid w:val="0092478E"/>
    <w:rsid w:val="00932813"/>
    <w:rsid w:val="00937A11"/>
    <w:rsid w:val="00940D54"/>
    <w:rsid w:val="009417F7"/>
    <w:rsid w:val="009426F3"/>
    <w:rsid w:val="00960625"/>
    <w:rsid w:val="00963C9F"/>
    <w:rsid w:val="00963F49"/>
    <w:rsid w:val="0096517C"/>
    <w:rsid w:val="00966619"/>
    <w:rsid w:val="00970592"/>
    <w:rsid w:val="00973117"/>
    <w:rsid w:val="009858C3"/>
    <w:rsid w:val="00990AC4"/>
    <w:rsid w:val="00991526"/>
    <w:rsid w:val="00991DED"/>
    <w:rsid w:val="00997F6C"/>
    <w:rsid w:val="009A0E76"/>
    <w:rsid w:val="009A5BC4"/>
    <w:rsid w:val="009B0BC5"/>
    <w:rsid w:val="009B34AC"/>
    <w:rsid w:val="009C3CB0"/>
    <w:rsid w:val="009C4CA6"/>
    <w:rsid w:val="009C56D1"/>
    <w:rsid w:val="009D18C2"/>
    <w:rsid w:val="009D5A36"/>
    <w:rsid w:val="009E34D5"/>
    <w:rsid w:val="009E4054"/>
    <w:rsid w:val="009F3360"/>
    <w:rsid w:val="009F4D35"/>
    <w:rsid w:val="009F7A5A"/>
    <w:rsid w:val="009F7C98"/>
    <w:rsid w:val="00A03C15"/>
    <w:rsid w:val="00A070B7"/>
    <w:rsid w:val="00A13691"/>
    <w:rsid w:val="00A14752"/>
    <w:rsid w:val="00A3043E"/>
    <w:rsid w:val="00A36734"/>
    <w:rsid w:val="00A369AC"/>
    <w:rsid w:val="00A37B10"/>
    <w:rsid w:val="00A43021"/>
    <w:rsid w:val="00A4461A"/>
    <w:rsid w:val="00A459DE"/>
    <w:rsid w:val="00A50513"/>
    <w:rsid w:val="00A50D02"/>
    <w:rsid w:val="00A5508E"/>
    <w:rsid w:val="00A60428"/>
    <w:rsid w:val="00A62216"/>
    <w:rsid w:val="00A65913"/>
    <w:rsid w:val="00A70A4D"/>
    <w:rsid w:val="00A7229C"/>
    <w:rsid w:val="00A74E0F"/>
    <w:rsid w:val="00A80E09"/>
    <w:rsid w:val="00A82967"/>
    <w:rsid w:val="00A851E3"/>
    <w:rsid w:val="00A9012A"/>
    <w:rsid w:val="00A93DF6"/>
    <w:rsid w:val="00AA5771"/>
    <w:rsid w:val="00AB2FCB"/>
    <w:rsid w:val="00AC08D2"/>
    <w:rsid w:val="00AC1BEE"/>
    <w:rsid w:val="00AC3E56"/>
    <w:rsid w:val="00AC4BDA"/>
    <w:rsid w:val="00AD0C81"/>
    <w:rsid w:val="00AE1EED"/>
    <w:rsid w:val="00AE68CA"/>
    <w:rsid w:val="00AF2783"/>
    <w:rsid w:val="00AF57B3"/>
    <w:rsid w:val="00B04E3B"/>
    <w:rsid w:val="00B10FC9"/>
    <w:rsid w:val="00B11937"/>
    <w:rsid w:val="00B12498"/>
    <w:rsid w:val="00B20C2C"/>
    <w:rsid w:val="00B21E09"/>
    <w:rsid w:val="00B26C3D"/>
    <w:rsid w:val="00B275AC"/>
    <w:rsid w:val="00B27734"/>
    <w:rsid w:val="00B32201"/>
    <w:rsid w:val="00B366DB"/>
    <w:rsid w:val="00B37667"/>
    <w:rsid w:val="00B44B46"/>
    <w:rsid w:val="00B44BFF"/>
    <w:rsid w:val="00B5117D"/>
    <w:rsid w:val="00B532DB"/>
    <w:rsid w:val="00B545CC"/>
    <w:rsid w:val="00B54794"/>
    <w:rsid w:val="00B72A6C"/>
    <w:rsid w:val="00B72B74"/>
    <w:rsid w:val="00B94111"/>
    <w:rsid w:val="00B94F0A"/>
    <w:rsid w:val="00B95FED"/>
    <w:rsid w:val="00BA18F6"/>
    <w:rsid w:val="00BA4854"/>
    <w:rsid w:val="00BB2ACB"/>
    <w:rsid w:val="00BD5583"/>
    <w:rsid w:val="00BE0FFD"/>
    <w:rsid w:val="00BE13B4"/>
    <w:rsid w:val="00BE2AB7"/>
    <w:rsid w:val="00BE4587"/>
    <w:rsid w:val="00BE5400"/>
    <w:rsid w:val="00BE68F3"/>
    <w:rsid w:val="00BF3528"/>
    <w:rsid w:val="00C03955"/>
    <w:rsid w:val="00C051C3"/>
    <w:rsid w:val="00C1735E"/>
    <w:rsid w:val="00C27FFB"/>
    <w:rsid w:val="00C337DD"/>
    <w:rsid w:val="00C40E20"/>
    <w:rsid w:val="00C44D5E"/>
    <w:rsid w:val="00C6447C"/>
    <w:rsid w:val="00C83737"/>
    <w:rsid w:val="00C84B60"/>
    <w:rsid w:val="00C91F4E"/>
    <w:rsid w:val="00C97936"/>
    <w:rsid w:val="00CD0493"/>
    <w:rsid w:val="00CD1F19"/>
    <w:rsid w:val="00CE03A4"/>
    <w:rsid w:val="00CE1816"/>
    <w:rsid w:val="00CE6EEC"/>
    <w:rsid w:val="00CE71A4"/>
    <w:rsid w:val="00CF277F"/>
    <w:rsid w:val="00CF78B0"/>
    <w:rsid w:val="00D03812"/>
    <w:rsid w:val="00D045C6"/>
    <w:rsid w:val="00D048F7"/>
    <w:rsid w:val="00D05054"/>
    <w:rsid w:val="00D10911"/>
    <w:rsid w:val="00D125F6"/>
    <w:rsid w:val="00D12938"/>
    <w:rsid w:val="00D21F38"/>
    <w:rsid w:val="00D238E3"/>
    <w:rsid w:val="00D241DE"/>
    <w:rsid w:val="00D26A23"/>
    <w:rsid w:val="00D31218"/>
    <w:rsid w:val="00D31FDA"/>
    <w:rsid w:val="00D376E6"/>
    <w:rsid w:val="00D4055A"/>
    <w:rsid w:val="00D4302A"/>
    <w:rsid w:val="00D436E8"/>
    <w:rsid w:val="00D500BB"/>
    <w:rsid w:val="00D536A6"/>
    <w:rsid w:val="00D56072"/>
    <w:rsid w:val="00D56B38"/>
    <w:rsid w:val="00D658D0"/>
    <w:rsid w:val="00D70F8A"/>
    <w:rsid w:val="00D71EFE"/>
    <w:rsid w:val="00D73EA4"/>
    <w:rsid w:val="00D803EC"/>
    <w:rsid w:val="00D82891"/>
    <w:rsid w:val="00D8323E"/>
    <w:rsid w:val="00D8583A"/>
    <w:rsid w:val="00D92118"/>
    <w:rsid w:val="00D9651B"/>
    <w:rsid w:val="00D96A1E"/>
    <w:rsid w:val="00DB0916"/>
    <w:rsid w:val="00DC69D9"/>
    <w:rsid w:val="00DC6A05"/>
    <w:rsid w:val="00DC6BC0"/>
    <w:rsid w:val="00DD32CF"/>
    <w:rsid w:val="00DD4A34"/>
    <w:rsid w:val="00DE251A"/>
    <w:rsid w:val="00DE4605"/>
    <w:rsid w:val="00E148F7"/>
    <w:rsid w:val="00E21A5F"/>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7F1F"/>
    <w:rsid w:val="00EA04CB"/>
    <w:rsid w:val="00EB6B00"/>
    <w:rsid w:val="00EB6B22"/>
    <w:rsid w:val="00EC1CE1"/>
    <w:rsid w:val="00EC6367"/>
    <w:rsid w:val="00ED1D58"/>
    <w:rsid w:val="00ED2051"/>
    <w:rsid w:val="00ED538C"/>
    <w:rsid w:val="00EE49FB"/>
    <w:rsid w:val="00F01D0D"/>
    <w:rsid w:val="00F01D6B"/>
    <w:rsid w:val="00F06BC4"/>
    <w:rsid w:val="00F10A19"/>
    <w:rsid w:val="00F11DE4"/>
    <w:rsid w:val="00F154E4"/>
    <w:rsid w:val="00F2332D"/>
    <w:rsid w:val="00F2586E"/>
    <w:rsid w:val="00F32D7A"/>
    <w:rsid w:val="00F40DA7"/>
    <w:rsid w:val="00F42F13"/>
    <w:rsid w:val="00F43668"/>
    <w:rsid w:val="00F4374D"/>
    <w:rsid w:val="00F46CCF"/>
    <w:rsid w:val="00F52452"/>
    <w:rsid w:val="00F61B23"/>
    <w:rsid w:val="00F627D7"/>
    <w:rsid w:val="00F63A24"/>
    <w:rsid w:val="00F65F36"/>
    <w:rsid w:val="00F739F5"/>
    <w:rsid w:val="00F77796"/>
    <w:rsid w:val="00F8257B"/>
    <w:rsid w:val="00F97459"/>
    <w:rsid w:val="00F97B7E"/>
    <w:rsid w:val="00FB47CC"/>
    <w:rsid w:val="00FC25C0"/>
    <w:rsid w:val="00FD1FBC"/>
    <w:rsid w:val="00FE1090"/>
    <w:rsid w:val="00FF53A9"/>
    <w:rsid w:val="54D27441"/>
    <w:rsid w:val="576AB269"/>
    <w:rsid w:val="5A03A0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C402349-059D-4A74-8FFC-3785380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Bullet point,Content descriptions,DDM Gen Text,FooterText,L,List Paragraph - bullets,List Paragraph Number,List Paragraph1,List Paragraph11,Main,NFP GP Bulleted List,Recommendation,Report subheading,bullet point list,numbered,列出段落,列出段落1"/>
    <w:basedOn w:val="Normal"/>
    <w:link w:val="ListParagraphChar"/>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Title-Subtitle">
    <w:name w:val="Title - Subtitle"/>
    <w:basedOn w:val="Normal"/>
    <w:qFormat/>
    <w:rsid w:val="00F65F36"/>
    <w:pPr>
      <w:spacing w:before="120" w:after="400" w:line="259" w:lineRule="auto"/>
    </w:pPr>
    <w:rPr>
      <w:b/>
      <w:color w:val="000000" w:themeColor="text1"/>
      <w:sz w:val="36"/>
      <w:szCs w:val="40"/>
    </w:rPr>
  </w:style>
  <w:style w:type="paragraph" w:styleId="FootnoteText">
    <w:name w:val="footnote text"/>
    <w:basedOn w:val="Normal"/>
    <w:link w:val="FootnoteTextChar"/>
    <w:uiPriority w:val="99"/>
    <w:semiHidden/>
    <w:unhideWhenUsed/>
    <w:rsid w:val="00F65F3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F65F3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F65F36"/>
    <w:rPr>
      <w:vertAlign w:val="superscript"/>
    </w:rPr>
  </w:style>
  <w:style w:type="table" w:customStyle="1" w:styleId="PlainTable41">
    <w:name w:val="Plain Table 41"/>
    <w:basedOn w:val="TableNormal"/>
    <w:next w:val="PlainTable4"/>
    <w:uiPriority w:val="44"/>
    <w:rsid w:val="00F65F36"/>
    <w:pPr>
      <w:spacing w:after="0" w:line="240" w:lineRule="auto"/>
    </w:pPr>
    <w:rPr>
      <w:rFonts w:ascii="Arial" w:eastAsia="Arial" w:hAnsi="Arial"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Main Char,NFP GP Bulleted List Char,列出段落 Char"/>
    <w:basedOn w:val="DefaultParagraphFont"/>
    <w:link w:val="ListParagraph"/>
    <w:uiPriority w:val="34"/>
    <w:rsid w:val="00F65F36"/>
    <w:rPr>
      <w:rFonts w:ascii="Arial" w:hAnsi="Arial"/>
    </w:rPr>
  </w:style>
  <w:style w:type="paragraph" w:styleId="Revision">
    <w:name w:val="Revision"/>
    <w:hidden/>
    <w:uiPriority w:val="99"/>
    <w:semiHidden/>
    <w:rsid w:val="00B20C2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77A93"/>
    <w:rsid w:val="00123457"/>
    <w:rsid w:val="001442D5"/>
    <w:rsid w:val="00475DED"/>
    <w:rsid w:val="00477F4C"/>
    <w:rsid w:val="00592CE3"/>
    <w:rsid w:val="005A0B81"/>
    <w:rsid w:val="005A7108"/>
    <w:rsid w:val="0066452D"/>
    <w:rsid w:val="00691D84"/>
    <w:rsid w:val="00850FAC"/>
    <w:rsid w:val="008D254B"/>
    <w:rsid w:val="008E447F"/>
    <w:rsid w:val="00930265"/>
    <w:rsid w:val="00BD7177"/>
    <w:rsid w:val="00C337DD"/>
    <w:rsid w:val="00CA0B21"/>
    <w:rsid w:val="00D54A71"/>
    <w:rsid w:val="00E962D2"/>
    <w:rsid w:val="00EA637B"/>
    <w:rsid w:val="00EF6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1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7" ma:contentTypeDescription="Create a new document." ma:contentTypeScope="" ma:versionID="9686ad9937bb0b6ac8744ad76cefc19b">
  <xsd:schema xmlns:xsd="http://www.w3.org/2001/XMLSchema" xmlns:xs="http://www.w3.org/2001/XMLSchema" xmlns:p="http://schemas.microsoft.com/office/2006/metadata/properties" xmlns:ns2="afd363e9-35fc-44f3-a206-b83cf12c84c7" xmlns:ns3="a3870de7-628d-4f96-ad09-9338c4ed9354" targetNamespace="http://schemas.microsoft.com/office/2006/metadata/properties" ma:root="true" ma:fieldsID="0f6064618e0b67fdba87386a3bacbdb4" ns2:_="" ns3:_="">
    <xsd:import namespace="afd363e9-35fc-44f3-a206-b83cf12c84c7"/>
    <xsd:import namespace="a3870de7-628d-4f96-ad09-9338c4ed93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aa144a-9290-4d15-a1d0-928f0964c235}"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72BD527F-F651-4B37-BAB8-A6440680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363e9-35fc-44f3-a206-b83cf12c84c7"/>
    <ds:schemaRef ds:uri="a3870de7-628d-4f96-ad09-9338c4ed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Regional Labour Market Indicator (RLMI)</vt:lpstr>
    </vt:vector>
  </TitlesOfParts>
  <Company>JSA</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Labour Market Indicator (RLMI)</dc:title>
  <dc:subject>Report</dc:subject>
  <dc:creator>JSA</dc:creator>
  <cp:keywords>JSA report template</cp:keywords>
  <dc:description>Use this template to create a JSA report</dc:description>
  <cp:lastModifiedBy>SANDERSON,Jack</cp:lastModifiedBy>
  <cp:revision>15</cp:revision>
  <cp:lastPrinted>2024-06-07T04:27:00Z</cp:lastPrinted>
  <dcterms:created xsi:type="dcterms:W3CDTF">2024-05-16T06:18:00Z</dcterms:created>
  <dcterms:modified xsi:type="dcterms:W3CDTF">2024-06-17T06:24:00Z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