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B0B" w14:textId="77777777" w:rsidR="00E8019E" w:rsidRPr="00E85606" w:rsidRDefault="00E8019E" w:rsidP="00E8019E">
      <w:bookmarkStart w:id="0" w:name="_Hlk144278138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9F336C" wp14:editId="5084806A">
            <wp:simplePos x="0" y="0"/>
            <wp:positionH relativeFrom="column">
              <wp:posOffset>-1007168</wp:posOffset>
            </wp:positionH>
            <wp:positionV relativeFrom="paragraph">
              <wp:posOffset>-900430</wp:posOffset>
            </wp:positionV>
            <wp:extent cx="7752477" cy="1665486"/>
            <wp:effectExtent l="0" t="0" r="1270" b="0"/>
            <wp:wrapNone/>
            <wp:docPr id="8" name="Picture 8" descr="Australian Government, Jobs and Skill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stralian Government, Jobs and Skills Austral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477" cy="166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B459" w14:textId="77777777" w:rsidR="00E8019E" w:rsidRPr="00E85606" w:rsidRDefault="00E8019E" w:rsidP="00E8019E"/>
    <w:p w14:paraId="34F17B85" w14:textId="77777777" w:rsidR="00E8019E" w:rsidRPr="00E85606" w:rsidRDefault="00E8019E" w:rsidP="00E8019E">
      <w:pPr>
        <w:spacing w:line="720" w:lineRule="auto"/>
      </w:pPr>
    </w:p>
    <w:p w14:paraId="2F1C7835" w14:textId="77777777" w:rsidR="00E8019E" w:rsidRPr="00E8019E" w:rsidRDefault="00E8019E" w:rsidP="00E8019E">
      <w:pPr>
        <w:pStyle w:val="Title"/>
        <w:spacing w:before="0"/>
        <w:rPr>
          <w:color w:val="441170"/>
        </w:rPr>
      </w:pPr>
      <w:r w:rsidRPr="00E8019E">
        <w:rPr>
          <w:color w:val="441170"/>
        </w:rPr>
        <w:t>2023 Skills Priority List (SPL)</w:t>
      </w:r>
    </w:p>
    <w:p w14:paraId="723C4964" w14:textId="387FC483" w:rsidR="00E8019E" w:rsidRDefault="40C6B9FD" w:rsidP="00E8019E">
      <w:pPr>
        <w:pStyle w:val="Title-Subtitle"/>
      </w:pPr>
      <w:bookmarkStart w:id="1" w:name="_Toc118443202"/>
      <w:bookmarkStart w:id="2" w:name="_Toc118443343"/>
      <w:r>
        <w:t>Snapshot of s</w:t>
      </w:r>
      <w:r w:rsidR="6C133E8A">
        <w:t xml:space="preserve">takeholder </w:t>
      </w:r>
      <w:r w:rsidR="2A396729">
        <w:t>survey response</w:t>
      </w:r>
      <w:r w:rsidR="35861B6C">
        <w:t>s</w:t>
      </w:r>
      <w:r w:rsidR="2A396729">
        <w:t xml:space="preserve"> </w:t>
      </w:r>
      <w:r w:rsidR="00E8019E">
        <w:br/>
      </w:r>
      <w:r w:rsidR="6C133E8A">
        <w:t>September 2023</w:t>
      </w:r>
    </w:p>
    <w:p w14:paraId="0DD86DC1" w14:textId="77777777" w:rsidR="00E8019E" w:rsidRPr="00A0474E" w:rsidRDefault="00E8019E" w:rsidP="00A0474E">
      <w:pPr>
        <w:pStyle w:val="Heading1"/>
      </w:pPr>
      <w:r w:rsidRPr="00A0474E">
        <w:t>Submission overview</w:t>
      </w:r>
    </w:p>
    <w:p w14:paraId="42F7324C" w14:textId="204859D9" w:rsidR="00E8019E" w:rsidRPr="00E8019E" w:rsidRDefault="6C133E8A" w:rsidP="00E8019E">
      <w:pPr>
        <w:pStyle w:val="ListBullet"/>
        <w:rPr>
          <w:color w:val="auto"/>
        </w:rPr>
      </w:pPr>
      <w:r w:rsidRPr="5F022A79">
        <w:rPr>
          <w:color w:val="auto"/>
        </w:rPr>
        <w:t xml:space="preserve">A total of 96 organisations </w:t>
      </w:r>
      <w:r w:rsidR="78F85716" w:rsidRPr="5F022A79">
        <w:rPr>
          <w:color w:val="auto"/>
        </w:rPr>
        <w:t xml:space="preserve">responded to the </w:t>
      </w:r>
      <w:r w:rsidRPr="5F022A79">
        <w:rPr>
          <w:color w:val="auto"/>
        </w:rPr>
        <w:t>2023 Skills Priority List (SPL)</w:t>
      </w:r>
      <w:r w:rsidR="6B6AB941" w:rsidRPr="5F022A79">
        <w:rPr>
          <w:color w:val="auto"/>
        </w:rPr>
        <w:t xml:space="preserve"> stakeholder survey</w:t>
      </w:r>
      <w:r w:rsidRPr="5F022A79">
        <w:rPr>
          <w:color w:val="auto"/>
        </w:rPr>
        <w:t>.</w:t>
      </w:r>
    </w:p>
    <w:p w14:paraId="6B45B79D" w14:textId="5FE3290E" w:rsidR="00E8019E" w:rsidRPr="00E8019E" w:rsidRDefault="004700CD" w:rsidP="00E8019E">
      <w:pPr>
        <w:pStyle w:val="ListBullet"/>
        <w:rPr>
          <w:color w:val="auto"/>
        </w:rPr>
      </w:pPr>
      <w:r>
        <w:rPr>
          <w:color w:val="auto"/>
        </w:rPr>
        <w:t>Of these</w:t>
      </w:r>
      <w:r w:rsidR="7C7437C0" w:rsidRPr="5F022A79">
        <w:rPr>
          <w:color w:val="auto"/>
        </w:rPr>
        <w:t xml:space="preserve"> </w:t>
      </w:r>
      <w:r w:rsidR="6C133E8A" w:rsidRPr="5F022A79">
        <w:rPr>
          <w:color w:val="auto"/>
        </w:rPr>
        <w:t xml:space="preserve">80 organisations </w:t>
      </w:r>
      <w:r w:rsidR="14718B64" w:rsidRPr="5F022A79">
        <w:rPr>
          <w:color w:val="auto"/>
        </w:rPr>
        <w:t xml:space="preserve">provided </w:t>
      </w:r>
      <w:r w:rsidR="6C133E8A" w:rsidRPr="5F022A79">
        <w:rPr>
          <w:color w:val="auto"/>
        </w:rPr>
        <w:t xml:space="preserve">sufficient evidence </w:t>
      </w:r>
      <w:r>
        <w:rPr>
          <w:color w:val="auto"/>
        </w:rPr>
        <w:t xml:space="preserve">as part of their survey response </w:t>
      </w:r>
      <w:r w:rsidR="6C133E8A" w:rsidRPr="5F022A79">
        <w:rPr>
          <w:color w:val="auto"/>
        </w:rPr>
        <w:t xml:space="preserve">to </w:t>
      </w:r>
      <w:r>
        <w:rPr>
          <w:color w:val="auto"/>
        </w:rPr>
        <w:t xml:space="preserve">materially </w:t>
      </w:r>
      <w:r w:rsidR="1BD05E4B" w:rsidRPr="5F022A79">
        <w:rPr>
          <w:color w:val="auto"/>
        </w:rPr>
        <w:t xml:space="preserve">inform </w:t>
      </w:r>
      <w:r w:rsidR="0D64B440" w:rsidRPr="7B2AFD45">
        <w:rPr>
          <w:color w:val="auto"/>
        </w:rPr>
        <w:t>Jobs and Skills Australia</w:t>
      </w:r>
      <w:r w:rsidRPr="7B2AFD45">
        <w:rPr>
          <w:color w:val="auto"/>
        </w:rPr>
        <w:t>’s</w:t>
      </w:r>
      <w:r>
        <w:rPr>
          <w:color w:val="auto"/>
        </w:rPr>
        <w:t xml:space="preserve"> </w:t>
      </w:r>
      <w:r w:rsidR="1BD05E4B" w:rsidRPr="5F022A79">
        <w:rPr>
          <w:color w:val="auto"/>
        </w:rPr>
        <w:t>occupation assessments</w:t>
      </w:r>
      <w:r w:rsidR="6C133E8A" w:rsidRPr="5F022A79">
        <w:rPr>
          <w:color w:val="auto"/>
        </w:rPr>
        <w:t>.</w:t>
      </w:r>
      <w:bookmarkStart w:id="3" w:name="_Hlk144209296"/>
    </w:p>
    <w:p w14:paraId="6CA1FD84" w14:textId="7C2C2C7B" w:rsidR="00E8019E" w:rsidRPr="00E8019E" w:rsidRDefault="6C133E8A" w:rsidP="00E8019E">
      <w:pPr>
        <w:pStyle w:val="ListBullet"/>
        <w:rPr>
          <w:color w:val="auto"/>
        </w:rPr>
      </w:pPr>
      <w:r w:rsidRPr="5F022A79">
        <w:rPr>
          <w:color w:val="auto"/>
        </w:rPr>
        <w:t>From the</w:t>
      </w:r>
      <w:r w:rsidR="004700CD">
        <w:rPr>
          <w:color w:val="auto"/>
        </w:rPr>
        <w:t>se</w:t>
      </w:r>
      <w:r w:rsidRPr="5F022A79">
        <w:rPr>
          <w:color w:val="auto"/>
        </w:rPr>
        <w:t xml:space="preserve"> 80</w:t>
      </w:r>
      <w:r w:rsidR="004700CD">
        <w:rPr>
          <w:color w:val="auto"/>
        </w:rPr>
        <w:t xml:space="preserve"> organisations</w:t>
      </w:r>
      <w:r w:rsidRPr="5F022A79">
        <w:rPr>
          <w:color w:val="auto"/>
        </w:rPr>
        <w:t>, submissions were primarily received from peak bodies (48</w:t>
      </w:r>
      <w:r w:rsidR="11AEF2D4" w:rsidRPr="7B2AFD45">
        <w:rPr>
          <w:color w:val="auto"/>
        </w:rPr>
        <w:t>%</w:t>
      </w:r>
      <w:r w:rsidRPr="5F022A79">
        <w:rPr>
          <w:color w:val="auto"/>
        </w:rPr>
        <w:t xml:space="preserve"> of organisations) and industry groups (39</w:t>
      </w:r>
      <w:r w:rsidR="11AEF2D4" w:rsidRPr="7B2AFD45">
        <w:rPr>
          <w:color w:val="auto"/>
        </w:rPr>
        <w:t>%</w:t>
      </w:r>
      <w:r w:rsidRPr="7B2AFD45">
        <w:rPr>
          <w:color w:val="auto"/>
        </w:rPr>
        <w:t>).</w:t>
      </w:r>
      <w:r w:rsidRPr="5F022A79">
        <w:rPr>
          <w:color w:val="auto"/>
        </w:rPr>
        <w:t xml:space="preserve"> Unions, regional bodies</w:t>
      </w:r>
      <w:r w:rsidR="0068600D">
        <w:rPr>
          <w:color w:val="auto"/>
        </w:rPr>
        <w:t>,</w:t>
      </w:r>
      <w:r w:rsidRPr="5F022A79">
        <w:rPr>
          <w:color w:val="auto"/>
        </w:rPr>
        <w:t xml:space="preserve"> and other organisations </w:t>
      </w:r>
      <w:r w:rsidR="00A26F78">
        <w:rPr>
          <w:color w:val="auto"/>
        </w:rPr>
        <w:t xml:space="preserve">made up </w:t>
      </w:r>
      <w:r w:rsidRPr="5F022A79">
        <w:rPr>
          <w:color w:val="auto"/>
        </w:rPr>
        <w:t xml:space="preserve">the remaining </w:t>
      </w:r>
      <w:r w:rsidR="00CA2552">
        <w:rPr>
          <w:color w:val="auto"/>
        </w:rPr>
        <w:t>(</w:t>
      </w:r>
      <w:r w:rsidRPr="5F022A79">
        <w:rPr>
          <w:color w:val="auto"/>
        </w:rPr>
        <w:t>1</w:t>
      </w:r>
      <w:r w:rsidR="004E7CF2">
        <w:rPr>
          <w:color w:val="auto"/>
        </w:rPr>
        <w:t>4</w:t>
      </w:r>
      <w:bookmarkEnd w:id="3"/>
      <w:r w:rsidR="2B4BF084" w:rsidRPr="7B2AFD45">
        <w:rPr>
          <w:color w:val="auto"/>
        </w:rPr>
        <w:t>%</w:t>
      </w:r>
      <w:r w:rsidR="00CA2552" w:rsidRPr="7B2AFD45">
        <w:rPr>
          <w:color w:val="auto"/>
        </w:rPr>
        <w:t>)</w:t>
      </w:r>
      <w:r w:rsidRPr="7B2AFD45">
        <w:rPr>
          <w:color w:val="auto"/>
        </w:rPr>
        <w:t>.</w:t>
      </w:r>
    </w:p>
    <w:bookmarkEnd w:id="1"/>
    <w:bookmarkEnd w:id="2"/>
    <w:p w14:paraId="3FEA7CCA" w14:textId="672638F7" w:rsidR="00CA07A1" w:rsidRPr="000C3A13" w:rsidRDefault="1F91920F" w:rsidP="00693A53">
      <w:pPr>
        <w:pStyle w:val="Caption"/>
      </w:pPr>
      <w:r w:rsidRPr="000C3A13">
        <w:t xml:space="preserve">Table </w:t>
      </w:r>
      <w:r w:rsidR="069FCCB2">
        <w:fldChar w:fldCharType="begin"/>
      </w:r>
      <w:r w:rsidR="069FCCB2">
        <w:instrText>SEQ Table \* ARABIC</w:instrText>
      </w:r>
      <w:r w:rsidR="069FCCB2">
        <w:fldChar w:fldCharType="separate"/>
      </w:r>
      <w:r w:rsidR="008E1B6B">
        <w:rPr>
          <w:noProof/>
        </w:rPr>
        <w:t>1</w:t>
      </w:r>
      <w:r w:rsidR="069FCCB2">
        <w:fldChar w:fldCharType="end"/>
      </w:r>
      <w:r w:rsidR="000C3A13">
        <w:t>:</w:t>
      </w:r>
      <w:r w:rsidR="6037EBEE">
        <w:t xml:space="preserve"> </w:t>
      </w:r>
      <w:r w:rsidRPr="000C3A13">
        <w:t>Submitters by Organisation type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2038"/>
        <w:gridCol w:w="2099"/>
      </w:tblGrid>
      <w:tr w:rsidR="00E8019E" w:rsidRPr="00380473" w14:paraId="1D9A6C65" w14:textId="77777777" w:rsidTr="000C3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</w:tcPr>
          <w:p w14:paraId="75DE48BB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bookmarkStart w:id="4" w:name="_Hlk144219381"/>
            <w:r w:rsidRPr="000C3A13">
              <w:rPr>
                <w:rFonts w:eastAsia="Times New Roman" w:cs="Arial"/>
                <w:color w:val="auto"/>
                <w:lang w:eastAsia="en-AU"/>
              </w:rPr>
              <w:t>Organisation type</w:t>
            </w:r>
          </w:p>
        </w:tc>
        <w:tc>
          <w:tcPr>
            <w:tcW w:w="2038" w:type="dxa"/>
            <w:noWrap/>
            <w:vAlign w:val="center"/>
          </w:tcPr>
          <w:p w14:paraId="6B9911E3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Organisations (</w:t>
            </w:r>
            <w:r w:rsidRPr="000C3A13">
              <w:rPr>
                <w:rFonts w:eastAsia="Times New Roman" w:cs="Arial"/>
                <w:i/>
                <w:iCs/>
                <w:color w:val="auto"/>
                <w:lang w:eastAsia="en-AU"/>
              </w:rPr>
              <w:t>n</w:t>
            </w:r>
            <w:r w:rsidRPr="000C3A13">
              <w:rPr>
                <w:rFonts w:eastAsia="Times New Roman" w:cs="Arial"/>
                <w:color w:val="auto"/>
                <w:lang w:eastAsia="en-AU"/>
              </w:rPr>
              <w:t>)</w:t>
            </w:r>
          </w:p>
        </w:tc>
        <w:tc>
          <w:tcPr>
            <w:tcW w:w="2099" w:type="dxa"/>
            <w:noWrap/>
            <w:vAlign w:val="center"/>
          </w:tcPr>
          <w:p w14:paraId="6A50174A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Organisations (%)</w:t>
            </w:r>
          </w:p>
        </w:tc>
      </w:tr>
      <w:tr w:rsidR="00E8019E" w:rsidRPr="00380473" w14:paraId="55525C9D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  <w:hideMark/>
          </w:tcPr>
          <w:p w14:paraId="483D117E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Peak Body</w:t>
            </w:r>
          </w:p>
        </w:tc>
        <w:tc>
          <w:tcPr>
            <w:tcW w:w="2038" w:type="dxa"/>
            <w:noWrap/>
            <w:vAlign w:val="center"/>
            <w:hideMark/>
          </w:tcPr>
          <w:p w14:paraId="69D4EE74" w14:textId="77777777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38</w:t>
            </w:r>
          </w:p>
        </w:tc>
        <w:tc>
          <w:tcPr>
            <w:tcW w:w="2099" w:type="dxa"/>
            <w:noWrap/>
            <w:vAlign w:val="center"/>
            <w:hideMark/>
          </w:tcPr>
          <w:p w14:paraId="28CCD69F" w14:textId="7647E9D9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48</w:t>
            </w:r>
          </w:p>
        </w:tc>
      </w:tr>
      <w:tr w:rsidR="00E8019E" w:rsidRPr="00380473" w14:paraId="7480DB9F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  <w:hideMark/>
          </w:tcPr>
          <w:p w14:paraId="53B7DE7B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Industry Group</w:t>
            </w:r>
          </w:p>
        </w:tc>
        <w:tc>
          <w:tcPr>
            <w:tcW w:w="2038" w:type="dxa"/>
            <w:noWrap/>
            <w:vAlign w:val="center"/>
            <w:hideMark/>
          </w:tcPr>
          <w:p w14:paraId="4FDF00A8" w14:textId="77777777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31</w:t>
            </w:r>
          </w:p>
        </w:tc>
        <w:tc>
          <w:tcPr>
            <w:tcW w:w="2099" w:type="dxa"/>
            <w:noWrap/>
            <w:vAlign w:val="center"/>
            <w:hideMark/>
          </w:tcPr>
          <w:p w14:paraId="3928FD0E" w14:textId="3FE313EE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39</w:t>
            </w:r>
          </w:p>
        </w:tc>
      </w:tr>
      <w:tr w:rsidR="00E8019E" w:rsidRPr="00380473" w14:paraId="042DACA5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  <w:hideMark/>
          </w:tcPr>
          <w:p w14:paraId="0E76654A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Union</w:t>
            </w:r>
          </w:p>
        </w:tc>
        <w:tc>
          <w:tcPr>
            <w:tcW w:w="2038" w:type="dxa"/>
            <w:noWrap/>
            <w:vAlign w:val="center"/>
            <w:hideMark/>
          </w:tcPr>
          <w:p w14:paraId="6F188B8A" w14:textId="77777777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4</w:t>
            </w:r>
          </w:p>
        </w:tc>
        <w:tc>
          <w:tcPr>
            <w:tcW w:w="2099" w:type="dxa"/>
            <w:noWrap/>
            <w:vAlign w:val="center"/>
            <w:hideMark/>
          </w:tcPr>
          <w:p w14:paraId="1BAE2E29" w14:textId="05807319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5</w:t>
            </w:r>
          </w:p>
        </w:tc>
      </w:tr>
      <w:tr w:rsidR="00E8019E" w:rsidRPr="00380473" w14:paraId="3701A455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  <w:hideMark/>
          </w:tcPr>
          <w:p w14:paraId="6744EFEF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Regional Body</w:t>
            </w:r>
          </w:p>
        </w:tc>
        <w:tc>
          <w:tcPr>
            <w:tcW w:w="2038" w:type="dxa"/>
            <w:noWrap/>
            <w:vAlign w:val="center"/>
            <w:hideMark/>
          </w:tcPr>
          <w:p w14:paraId="5AB5944A" w14:textId="77777777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3</w:t>
            </w:r>
          </w:p>
        </w:tc>
        <w:tc>
          <w:tcPr>
            <w:tcW w:w="2099" w:type="dxa"/>
            <w:noWrap/>
            <w:vAlign w:val="center"/>
            <w:hideMark/>
          </w:tcPr>
          <w:p w14:paraId="0306CD61" w14:textId="2BCC2D32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4</w:t>
            </w:r>
          </w:p>
        </w:tc>
      </w:tr>
      <w:tr w:rsidR="00E8019E" w:rsidRPr="00380473" w14:paraId="2FE418EE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  <w:hideMark/>
          </w:tcPr>
          <w:p w14:paraId="550A1D28" w14:textId="77777777" w:rsidR="00E8019E" w:rsidRPr="000C3A13" w:rsidRDefault="00E8019E" w:rsidP="00A45FB6">
            <w:pPr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Other</w:t>
            </w:r>
          </w:p>
        </w:tc>
        <w:tc>
          <w:tcPr>
            <w:tcW w:w="2038" w:type="dxa"/>
            <w:noWrap/>
            <w:vAlign w:val="center"/>
            <w:hideMark/>
          </w:tcPr>
          <w:p w14:paraId="000D74EE" w14:textId="485B2BDF" w:rsidR="00E8019E" w:rsidRPr="000C3A13" w:rsidRDefault="00A45FB6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4</w:t>
            </w:r>
          </w:p>
        </w:tc>
        <w:tc>
          <w:tcPr>
            <w:tcW w:w="2099" w:type="dxa"/>
            <w:noWrap/>
            <w:vAlign w:val="center"/>
            <w:hideMark/>
          </w:tcPr>
          <w:p w14:paraId="1F4B896F" w14:textId="52EEA9F6" w:rsidR="00E8019E" w:rsidRPr="000C3A13" w:rsidRDefault="00E8019E" w:rsidP="00A45FB6">
            <w:pPr>
              <w:jc w:val="right"/>
              <w:rPr>
                <w:rFonts w:eastAsia="Times New Roman" w:cs="Arial"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color w:val="auto"/>
                <w:lang w:eastAsia="en-AU"/>
              </w:rPr>
              <w:t>5</w:t>
            </w:r>
          </w:p>
        </w:tc>
      </w:tr>
      <w:tr w:rsidR="00A45FB6" w:rsidRPr="00380473" w14:paraId="71343F6D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087" w:type="dxa"/>
            <w:noWrap/>
            <w:vAlign w:val="center"/>
          </w:tcPr>
          <w:p w14:paraId="1AD54C56" w14:textId="7BCF2E97" w:rsidR="00A45FB6" w:rsidRPr="000C3A13" w:rsidRDefault="00A45FB6" w:rsidP="00A45FB6">
            <w:pPr>
              <w:rPr>
                <w:rFonts w:eastAsia="Times New Roman" w:cs="Arial"/>
                <w:b/>
                <w:bCs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b/>
                <w:bCs/>
                <w:color w:val="auto"/>
                <w:lang w:eastAsia="en-AU"/>
              </w:rPr>
              <w:t>Total</w:t>
            </w:r>
          </w:p>
        </w:tc>
        <w:tc>
          <w:tcPr>
            <w:tcW w:w="2038" w:type="dxa"/>
            <w:noWrap/>
            <w:vAlign w:val="center"/>
          </w:tcPr>
          <w:p w14:paraId="03DE447B" w14:textId="3EA9FF0F" w:rsidR="00A45FB6" w:rsidRPr="000C3A13" w:rsidRDefault="00A45FB6" w:rsidP="00A45FB6">
            <w:pPr>
              <w:jc w:val="right"/>
              <w:rPr>
                <w:rFonts w:eastAsia="Times New Roman" w:cs="Arial"/>
                <w:b/>
                <w:bCs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b/>
                <w:bCs/>
                <w:color w:val="auto"/>
                <w:lang w:eastAsia="en-AU"/>
              </w:rPr>
              <w:t>80</w:t>
            </w:r>
          </w:p>
        </w:tc>
        <w:tc>
          <w:tcPr>
            <w:tcW w:w="2099" w:type="dxa"/>
            <w:noWrap/>
            <w:vAlign w:val="center"/>
          </w:tcPr>
          <w:p w14:paraId="00F5CFDF" w14:textId="28FB1132" w:rsidR="00A45FB6" w:rsidRPr="000C3A13" w:rsidRDefault="00A45FB6" w:rsidP="00A45FB6">
            <w:pPr>
              <w:jc w:val="right"/>
              <w:rPr>
                <w:rFonts w:eastAsia="Times New Roman" w:cs="Arial"/>
                <w:b/>
                <w:bCs/>
                <w:color w:val="auto"/>
                <w:lang w:eastAsia="en-AU"/>
              </w:rPr>
            </w:pPr>
            <w:r w:rsidRPr="000C3A13">
              <w:rPr>
                <w:rFonts w:eastAsia="Times New Roman" w:cs="Arial"/>
                <w:b/>
                <w:bCs/>
                <w:color w:val="auto"/>
                <w:lang w:eastAsia="en-AU"/>
              </w:rPr>
              <w:t>100</w:t>
            </w:r>
          </w:p>
        </w:tc>
      </w:tr>
    </w:tbl>
    <w:bookmarkEnd w:id="4"/>
    <w:p w14:paraId="5C9D2D03" w14:textId="0886610A" w:rsidR="00E8019E" w:rsidRPr="00F643FE" w:rsidRDefault="003017CD" w:rsidP="00E8019E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color w:val="auto"/>
          <w:sz w:val="18"/>
          <w:szCs w:val="18"/>
        </w:rPr>
        <w:t>Source: Jobs and Skills Australia, Stakeholder submissions 2022</w:t>
      </w:r>
      <w:r w:rsidR="004754E6">
        <w:rPr>
          <w:color w:val="auto"/>
          <w:sz w:val="18"/>
          <w:szCs w:val="18"/>
        </w:rPr>
        <w:t>–</w:t>
      </w:r>
      <w:r w:rsidRPr="00F643FE">
        <w:rPr>
          <w:color w:val="auto"/>
          <w:sz w:val="18"/>
          <w:szCs w:val="18"/>
        </w:rPr>
        <w:t>23</w:t>
      </w:r>
      <w:r w:rsidR="004754E6">
        <w:rPr>
          <w:color w:val="auto"/>
          <w:sz w:val="18"/>
          <w:szCs w:val="18"/>
        </w:rPr>
        <w:t>.</w:t>
      </w:r>
    </w:p>
    <w:p w14:paraId="73264DDC" w14:textId="14DFDAE8" w:rsidR="00E8019E" w:rsidRDefault="6C133E8A" w:rsidP="00E8019E">
      <w:pPr>
        <w:pStyle w:val="ListBullet"/>
        <w:rPr>
          <w:color w:val="auto"/>
        </w:rPr>
      </w:pPr>
      <w:r>
        <w:rPr>
          <w:color w:val="auto"/>
        </w:rPr>
        <w:t>Submissions were received across a broad range of industries</w:t>
      </w:r>
      <w:r w:rsidR="3BB760AC">
        <w:rPr>
          <w:color w:val="auto"/>
        </w:rPr>
        <w:t xml:space="preserve"> (Table 2)</w:t>
      </w:r>
      <w:r>
        <w:rPr>
          <w:color w:val="auto"/>
        </w:rPr>
        <w:t>.</w:t>
      </w:r>
    </w:p>
    <w:p w14:paraId="6B0E0360" w14:textId="3522755A" w:rsidR="00E8019E" w:rsidRDefault="6C133E8A" w:rsidP="00E8019E">
      <w:pPr>
        <w:pStyle w:val="ListBullet"/>
        <w:rPr>
          <w:color w:val="auto"/>
        </w:rPr>
      </w:pPr>
      <w:r w:rsidRPr="5F022A79">
        <w:rPr>
          <w:color w:val="auto"/>
        </w:rPr>
        <w:t xml:space="preserve">The largest number of submissions were </w:t>
      </w:r>
      <w:r w:rsidR="6203A1C0" w:rsidRPr="5F022A79">
        <w:rPr>
          <w:color w:val="auto"/>
        </w:rPr>
        <w:t xml:space="preserve">from </w:t>
      </w:r>
      <w:r w:rsidRPr="5F022A79">
        <w:rPr>
          <w:color w:val="auto"/>
        </w:rPr>
        <w:t>stakeholders representing the Health Care and Social Assistance industry (21 submissions), followed by Manufacturing (17) and Professional, Scientific and Technical Services (16).</w:t>
      </w:r>
    </w:p>
    <w:p w14:paraId="7E2E71E3" w14:textId="77777777" w:rsidR="00E8019E" w:rsidRDefault="00E8019E">
      <w:pPr>
        <w:rPr>
          <w:rFonts w:eastAsiaTheme="majorEastAsia" w:cstheme="majorBidi"/>
          <w:b/>
          <w:color w:val="auto"/>
          <w:lang w:val="en-US"/>
        </w:rPr>
      </w:pPr>
      <w:r>
        <w:rPr>
          <w:color w:val="auto"/>
          <w:lang w:val="en-US"/>
        </w:rPr>
        <w:br w:type="page"/>
      </w:r>
    </w:p>
    <w:p w14:paraId="64DDCCDD" w14:textId="1A4DA964" w:rsidR="00CA07A1" w:rsidRPr="000C3A13" w:rsidRDefault="1F91920F" w:rsidP="00693A53">
      <w:pPr>
        <w:pStyle w:val="Caption"/>
      </w:pPr>
      <w:r w:rsidRPr="000C3A13">
        <w:lastRenderedPageBreak/>
        <w:t xml:space="preserve">Table </w:t>
      </w:r>
      <w:r w:rsidR="069FCCB2">
        <w:fldChar w:fldCharType="begin"/>
      </w:r>
      <w:r w:rsidR="069FCCB2">
        <w:instrText>SEQ Table \* ARABIC</w:instrText>
      </w:r>
      <w:r w:rsidR="069FCCB2">
        <w:fldChar w:fldCharType="separate"/>
      </w:r>
      <w:r w:rsidR="008E1B6B">
        <w:rPr>
          <w:noProof/>
        </w:rPr>
        <w:t>2</w:t>
      </w:r>
      <w:r w:rsidR="069FCCB2">
        <w:fldChar w:fldCharType="end"/>
      </w:r>
      <w:r w:rsidR="0FDD1FB8">
        <w:t xml:space="preserve">: </w:t>
      </w:r>
      <w:r w:rsidRPr="000C3A13">
        <w:t>Industries with the most submissions</w:t>
      </w: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826"/>
        <w:gridCol w:w="1928"/>
      </w:tblGrid>
      <w:tr w:rsidR="00E8019E" w:rsidRPr="00F2546D" w14:paraId="13E0F72F" w14:textId="77777777" w:rsidTr="000C3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</w:tcPr>
          <w:p w14:paraId="2374167C" w14:textId="77777777" w:rsidR="00E8019E" w:rsidRPr="000C3A13" w:rsidRDefault="00E8019E" w:rsidP="00D0320A">
            <w:pPr>
              <w:rPr>
                <w:rFonts w:eastAsia="Times New Roman" w:cs="Arial"/>
                <w:b w:val="0"/>
                <w:bCs/>
                <w:color w:val="FFFFFF" w:themeColor="background1"/>
                <w:lang w:eastAsia="en-AU"/>
              </w:rPr>
            </w:pPr>
            <w:r w:rsidRPr="000C3A13">
              <w:rPr>
                <w:rFonts w:eastAsia="Times New Roman" w:cs="Arial"/>
                <w:bCs/>
                <w:color w:val="FFFFFF" w:themeColor="background1"/>
                <w:lang w:eastAsia="en-AU"/>
              </w:rPr>
              <w:t>Industry</w:t>
            </w:r>
          </w:p>
        </w:tc>
        <w:tc>
          <w:tcPr>
            <w:tcW w:w="0" w:type="auto"/>
            <w:noWrap/>
            <w:vAlign w:val="center"/>
          </w:tcPr>
          <w:p w14:paraId="378F69F7" w14:textId="77777777" w:rsidR="00E8019E" w:rsidRPr="000C3A13" w:rsidRDefault="00E8019E" w:rsidP="00D0320A">
            <w:pPr>
              <w:rPr>
                <w:rFonts w:eastAsia="Times New Roman" w:cs="Arial"/>
                <w:b w:val="0"/>
                <w:bCs/>
                <w:color w:val="FFFFFF" w:themeColor="background1"/>
                <w:lang w:eastAsia="en-AU"/>
              </w:rPr>
            </w:pPr>
            <w:r w:rsidRPr="000C3A13">
              <w:rPr>
                <w:rFonts w:eastAsia="Times New Roman" w:cs="Arial"/>
                <w:bCs/>
                <w:color w:val="FFFFFF" w:themeColor="background1"/>
                <w:lang w:eastAsia="en-AU"/>
              </w:rPr>
              <w:t>Submissions (</w:t>
            </w:r>
            <w:r w:rsidRPr="000C3A13">
              <w:rPr>
                <w:rFonts w:eastAsia="Times New Roman" w:cs="Arial"/>
                <w:bCs/>
                <w:i/>
                <w:iCs/>
                <w:color w:val="FFFFFF" w:themeColor="background1"/>
                <w:lang w:eastAsia="en-AU"/>
              </w:rPr>
              <w:t>n</w:t>
            </w:r>
            <w:r w:rsidRPr="000C3A13">
              <w:rPr>
                <w:rFonts w:eastAsia="Times New Roman" w:cs="Arial"/>
                <w:bCs/>
                <w:color w:val="FFFFFF" w:themeColor="background1"/>
                <w:lang w:eastAsia="en-AU"/>
              </w:rPr>
              <w:t>)</w:t>
            </w:r>
          </w:p>
        </w:tc>
      </w:tr>
      <w:tr w:rsidR="00E8019E" w:rsidRPr="00F2546D" w14:paraId="049AB9A3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3877805F" w14:textId="037F7DE4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Health </w:t>
            </w:r>
            <w:r w:rsidR="00CD4325">
              <w:rPr>
                <w:rFonts w:cs="Arial"/>
              </w:rPr>
              <w:t>C</w:t>
            </w:r>
            <w:r w:rsidR="00CD4325" w:rsidRPr="000C3A13">
              <w:rPr>
                <w:rFonts w:cs="Arial"/>
              </w:rPr>
              <w:t xml:space="preserve">are </w:t>
            </w:r>
            <w:r w:rsidRPr="000C3A13">
              <w:rPr>
                <w:rFonts w:cs="Arial"/>
              </w:rPr>
              <w:t xml:space="preserve">and </w:t>
            </w:r>
            <w:r w:rsidR="00CD4325">
              <w:rPr>
                <w:rFonts w:cs="Arial"/>
              </w:rPr>
              <w:t>S</w:t>
            </w:r>
            <w:r w:rsidR="00CD4325" w:rsidRPr="000C3A13">
              <w:rPr>
                <w:rFonts w:cs="Arial"/>
              </w:rPr>
              <w:t xml:space="preserve">ocial </w:t>
            </w:r>
            <w:r w:rsidR="00CD4325">
              <w:rPr>
                <w:rFonts w:cs="Arial"/>
              </w:rPr>
              <w:t>A</w:t>
            </w:r>
            <w:r w:rsidRPr="000C3A13">
              <w:rPr>
                <w:rFonts w:cs="Arial"/>
              </w:rPr>
              <w:t>ssistance</w:t>
            </w:r>
          </w:p>
        </w:tc>
        <w:tc>
          <w:tcPr>
            <w:tcW w:w="0" w:type="auto"/>
            <w:noWrap/>
            <w:vAlign w:val="center"/>
            <w:hideMark/>
          </w:tcPr>
          <w:p w14:paraId="5B847C20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21</w:t>
            </w:r>
          </w:p>
        </w:tc>
      </w:tr>
      <w:tr w:rsidR="00E8019E" w:rsidRPr="00F2546D" w14:paraId="086AD108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3ED045CE" w14:textId="77777777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>Manufacturing</w:t>
            </w:r>
          </w:p>
        </w:tc>
        <w:tc>
          <w:tcPr>
            <w:tcW w:w="0" w:type="auto"/>
            <w:noWrap/>
            <w:vAlign w:val="center"/>
            <w:hideMark/>
          </w:tcPr>
          <w:p w14:paraId="5712D463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17</w:t>
            </w:r>
          </w:p>
        </w:tc>
      </w:tr>
      <w:tr w:rsidR="00E8019E" w:rsidRPr="00F2546D" w14:paraId="3DC7DDB4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04E1C513" w14:textId="30CB286E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Professional, </w:t>
            </w:r>
            <w:r w:rsidR="00CD4325">
              <w:rPr>
                <w:rFonts w:cs="Arial"/>
              </w:rPr>
              <w:t>S</w:t>
            </w:r>
            <w:r w:rsidR="00743B61" w:rsidRPr="000C3A13">
              <w:rPr>
                <w:rFonts w:cs="Arial"/>
              </w:rPr>
              <w:t>cientific,</w:t>
            </w:r>
            <w:r w:rsidRPr="000C3A13">
              <w:rPr>
                <w:rFonts w:cs="Arial"/>
              </w:rPr>
              <w:t xml:space="preserve"> and </w:t>
            </w:r>
            <w:r w:rsidR="00CD4325">
              <w:rPr>
                <w:rFonts w:cs="Arial"/>
              </w:rPr>
              <w:t>T</w:t>
            </w:r>
            <w:r w:rsidRPr="000C3A13">
              <w:rPr>
                <w:rFonts w:cs="Arial"/>
              </w:rPr>
              <w:t xml:space="preserve">echnical </w:t>
            </w:r>
            <w:r w:rsidR="00CD4325">
              <w:rPr>
                <w:rFonts w:cs="Arial"/>
              </w:rPr>
              <w:t>S</w:t>
            </w:r>
            <w:r w:rsidRPr="000C3A13">
              <w:rPr>
                <w:rFonts w:cs="Arial"/>
              </w:rPr>
              <w:t>ervices</w:t>
            </w:r>
          </w:p>
        </w:tc>
        <w:tc>
          <w:tcPr>
            <w:tcW w:w="0" w:type="auto"/>
            <w:noWrap/>
            <w:vAlign w:val="center"/>
            <w:hideMark/>
          </w:tcPr>
          <w:p w14:paraId="645220F9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16</w:t>
            </w:r>
          </w:p>
        </w:tc>
      </w:tr>
      <w:tr w:rsidR="00E8019E" w:rsidRPr="00F2546D" w14:paraId="43F8B39A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379115C9" w14:textId="7CDACDB0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Retail </w:t>
            </w:r>
            <w:r w:rsidR="00CD4325">
              <w:rPr>
                <w:rFonts w:cs="Arial"/>
              </w:rPr>
              <w:t>T</w:t>
            </w:r>
            <w:r w:rsidRPr="000C3A13">
              <w:rPr>
                <w:rFonts w:cs="Arial"/>
              </w:rPr>
              <w:t>rade</w:t>
            </w:r>
          </w:p>
        </w:tc>
        <w:tc>
          <w:tcPr>
            <w:tcW w:w="0" w:type="auto"/>
            <w:noWrap/>
            <w:vAlign w:val="center"/>
            <w:hideMark/>
          </w:tcPr>
          <w:p w14:paraId="53FDA03A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14</w:t>
            </w:r>
          </w:p>
        </w:tc>
      </w:tr>
      <w:tr w:rsidR="00E8019E" w:rsidRPr="00F2546D" w14:paraId="382DF1AC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370EEF51" w14:textId="533D1D6A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Transport, </w:t>
            </w:r>
            <w:r w:rsidR="00CD4325">
              <w:rPr>
                <w:rFonts w:cs="Arial"/>
              </w:rPr>
              <w:t>P</w:t>
            </w:r>
            <w:r w:rsidRPr="000C3A13">
              <w:rPr>
                <w:rFonts w:cs="Arial"/>
              </w:rPr>
              <w:t xml:space="preserve">ostal and </w:t>
            </w:r>
            <w:r w:rsidR="00CD4325">
              <w:rPr>
                <w:rFonts w:cs="Arial"/>
              </w:rPr>
              <w:t>W</w:t>
            </w:r>
            <w:r w:rsidRPr="000C3A13">
              <w:rPr>
                <w:rFonts w:cs="Arial"/>
              </w:rPr>
              <w:t>arehousing</w:t>
            </w:r>
          </w:p>
        </w:tc>
        <w:tc>
          <w:tcPr>
            <w:tcW w:w="0" w:type="auto"/>
            <w:noWrap/>
            <w:vAlign w:val="center"/>
            <w:hideMark/>
          </w:tcPr>
          <w:p w14:paraId="52FFBE22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14</w:t>
            </w:r>
          </w:p>
        </w:tc>
      </w:tr>
      <w:tr w:rsidR="00E8019E" w:rsidRPr="00F2546D" w14:paraId="166D1AEB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559D2CB9" w14:textId="6A9E3CF4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Education and </w:t>
            </w:r>
            <w:r w:rsidR="00CD4325">
              <w:rPr>
                <w:rFonts w:cs="Arial"/>
              </w:rPr>
              <w:t>T</w:t>
            </w:r>
            <w:r w:rsidRPr="000C3A13">
              <w:rPr>
                <w:rFonts w:cs="Arial"/>
              </w:rPr>
              <w:t>raining</w:t>
            </w:r>
          </w:p>
        </w:tc>
        <w:tc>
          <w:tcPr>
            <w:tcW w:w="0" w:type="auto"/>
            <w:noWrap/>
            <w:vAlign w:val="center"/>
            <w:hideMark/>
          </w:tcPr>
          <w:p w14:paraId="09C99BDD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13</w:t>
            </w:r>
          </w:p>
        </w:tc>
      </w:tr>
      <w:tr w:rsidR="00E8019E" w:rsidRPr="00F2546D" w14:paraId="2B5FC7AB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72AE7499" w14:textId="77777777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>Construction</w:t>
            </w:r>
          </w:p>
        </w:tc>
        <w:tc>
          <w:tcPr>
            <w:tcW w:w="0" w:type="auto"/>
            <w:noWrap/>
            <w:vAlign w:val="center"/>
            <w:hideMark/>
          </w:tcPr>
          <w:p w14:paraId="29BBF982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11</w:t>
            </w:r>
          </w:p>
        </w:tc>
      </w:tr>
      <w:tr w:rsidR="00E8019E" w:rsidRPr="00F2546D" w14:paraId="73626F71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147BC3FD" w14:textId="20E46100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Arts and </w:t>
            </w:r>
            <w:r w:rsidR="00CD4325">
              <w:rPr>
                <w:rFonts w:cs="Arial"/>
              </w:rPr>
              <w:t>R</w:t>
            </w:r>
            <w:r w:rsidRPr="000C3A13">
              <w:rPr>
                <w:rFonts w:cs="Arial"/>
              </w:rPr>
              <w:t xml:space="preserve">ecreation </w:t>
            </w:r>
            <w:r w:rsidR="00CD4325">
              <w:rPr>
                <w:rFonts w:cs="Arial"/>
              </w:rPr>
              <w:t>S</w:t>
            </w:r>
            <w:r w:rsidRPr="000C3A13">
              <w:rPr>
                <w:rFonts w:cs="Arial"/>
              </w:rPr>
              <w:t>ervices</w:t>
            </w:r>
          </w:p>
        </w:tc>
        <w:tc>
          <w:tcPr>
            <w:tcW w:w="0" w:type="auto"/>
            <w:noWrap/>
            <w:vAlign w:val="center"/>
            <w:hideMark/>
          </w:tcPr>
          <w:p w14:paraId="6B1A84B8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10</w:t>
            </w:r>
          </w:p>
        </w:tc>
      </w:tr>
      <w:tr w:rsidR="00E8019E" w:rsidRPr="00F2546D" w14:paraId="609B6ED5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225A31C5" w14:textId="22B38208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Agriculture, </w:t>
            </w:r>
            <w:r w:rsidR="00CD4325">
              <w:rPr>
                <w:rFonts w:cs="Arial"/>
              </w:rPr>
              <w:t>F</w:t>
            </w:r>
            <w:r w:rsidR="00743B61" w:rsidRPr="000C3A13">
              <w:rPr>
                <w:rFonts w:cs="Arial"/>
              </w:rPr>
              <w:t>orestry,</w:t>
            </w:r>
            <w:r w:rsidRPr="000C3A13">
              <w:rPr>
                <w:rFonts w:cs="Arial"/>
              </w:rPr>
              <w:t xml:space="preserve"> and </w:t>
            </w:r>
            <w:r w:rsidR="00CD4325">
              <w:rPr>
                <w:rFonts w:cs="Arial"/>
              </w:rPr>
              <w:t>F</w:t>
            </w:r>
            <w:r w:rsidRPr="000C3A13">
              <w:rPr>
                <w:rFonts w:cs="Arial"/>
              </w:rPr>
              <w:t>ishing</w:t>
            </w:r>
          </w:p>
        </w:tc>
        <w:tc>
          <w:tcPr>
            <w:tcW w:w="0" w:type="auto"/>
            <w:noWrap/>
            <w:vAlign w:val="center"/>
            <w:hideMark/>
          </w:tcPr>
          <w:p w14:paraId="793425CF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9</w:t>
            </w:r>
          </w:p>
        </w:tc>
      </w:tr>
      <w:tr w:rsidR="00E8019E" w:rsidRPr="00F2546D" w14:paraId="280D32EA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45F7CC4D" w14:textId="5B903EF4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Wholesale </w:t>
            </w:r>
            <w:r w:rsidR="00CD4325">
              <w:rPr>
                <w:rFonts w:cs="Arial"/>
              </w:rPr>
              <w:t>T</w:t>
            </w:r>
            <w:r w:rsidRPr="000C3A13">
              <w:rPr>
                <w:rFonts w:cs="Arial"/>
              </w:rPr>
              <w:t>rade</w:t>
            </w:r>
          </w:p>
        </w:tc>
        <w:tc>
          <w:tcPr>
            <w:tcW w:w="0" w:type="auto"/>
            <w:noWrap/>
            <w:vAlign w:val="center"/>
            <w:hideMark/>
          </w:tcPr>
          <w:p w14:paraId="4E658787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9</w:t>
            </w:r>
          </w:p>
        </w:tc>
      </w:tr>
      <w:tr w:rsidR="00E8019E" w:rsidRPr="00F2546D" w14:paraId="0454FE85" w14:textId="77777777" w:rsidTr="000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1D6711ED" w14:textId="753D1735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 xml:space="preserve">Financial and </w:t>
            </w:r>
            <w:r w:rsidR="00CD4325">
              <w:rPr>
                <w:rFonts w:cs="Arial"/>
              </w:rPr>
              <w:t>I</w:t>
            </w:r>
            <w:r w:rsidRPr="000C3A13">
              <w:rPr>
                <w:rFonts w:cs="Arial"/>
              </w:rPr>
              <w:t xml:space="preserve">nsurance </w:t>
            </w:r>
            <w:r w:rsidR="00CD4325">
              <w:rPr>
                <w:rFonts w:cs="Arial"/>
              </w:rPr>
              <w:t>S</w:t>
            </w:r>
            <w:r w:rsidRPr="000C3A13">
              <w:rPr>
                <w:rFonts w:cs="Arial"/>
              </w:rPr>
              <w:t>ervices</w:t>
            </w:r>
          </w:p>
        </w:tc>
        <w:tc>
          <w:tcPr>
            <w:tcW w:w="0" w:type="auto"/>
            <w:noWrap/>
            <w:vAlign w:val="center"/>
            <w:hideMark/>
          </w:tcPr>
          <w:p w14:paraId="16277F8D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8</w:t>
            </w:r>
          </w:p>
        </w:tc>
      </w:tr>
      <w:tr w:rsidR="00E8019E" w:rsidRPr="00F2546D" w14:paraId="06036C8D" w14:textId="77777777" w:rsidTr="000C3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noWrap/>
            <w:vAlign w:val="center"/>
            <w:hideMark/>
          </w:tcPr>
          <w:p w14:paraId="4BB4F3EE" w14:textId="77777777" w:rsidR="00E8019E" w:rsidRPr="000C3A13" w:rsidRDefault="00E8019E" w:rsidP="00D0320A">
            <w:pPr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</w:rPr>
              <w:t>Mining</w:t>
            </w:r>
          </w:p>
        </w:tc>
        <w:tc>
          <w:tcPr>
            <w:tcW w:w="0" w:type="auto"/>
            <w:noWrap/>
            <w:vAlign w:val="center"/>
            <w:hideMark/>
          </w:tcPr>
          <w:p w14:paraId="77FED377" w14:textId="77777777" w:rsidR="00E8019E" w:rsidRPr="000C3A13" w:rsidRDefault="00E8019E" w:rsidP="000C3A13">
            <w:pPr>
              <w:jc w:val="right"/>
              <w:rPr>
                <w:rFonts w:eastAsia="Times New Roman" w:cs="Arial"/>
                <w:color w:val="000000"/>
                <w:lang w:eastAsia="en-AU"/>
              </w:rPr>
            </w:pPr>
            <w:r w:rsidRPr="000C3A13">
              <w:rPr>
                <w:rFonts w:cs="Arial"/>
                <w:color w:val="000000"/>
              </w:rPr>
              <w:t>8</w:t>
            </w:r>
          </w:p>
        </w:tc>
      </w:tr>
    </w:tbl>
    <w:p w14:paraId="06598FCC" w14:textId="521E4601" w:rsidR="003017CD" w:rsidRPr="00F643FE" w:rsidRDefault="00E8019E" w:rsidP="000C3A13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b/>
          <w:bCs/>
          <w:sz w:val="16"/>
          <w:szCs w:val="16"/>
        </w:rPr>
        <w:br w:type="textWrapping" w:clear="all"/>
      </w:r>
      <w:r w:rsidR="003017CD" w:rsidRPr="00F643FE">
        <w:rPr>
          <w:color w:val="auto"/>
          <w:sz w:val="18"/>
          <w:szCs w:val="18"/>
        </w:rPr>
        <w:t xml:space="preserve">Source: </w:t>
      </w:r>
      <w:r w:rsidR="09997BAA" w:rsidRPr="00F643FE">
        <w:rPr>
          <w:color w:val="auto"/>
          <w:sz w:val="18"/>
          <w:szCs w:val="18"/>
        </w:rPr>
        <w:t>Jobs and Skills Australia</w:t>
      </w:r>
      <w:r w:rsidR="003017CD" w:rsidRPr="00F643FE">
        <w:rPr>
          <w:color w:val="auto"/>
          <w:sz w:val="18"/>
          <w:szCs w:val="18"/>
        </w:rPr>
        <w:t>; Stakeholder submissions 2022</w:t>
      </w:r>
      <w:r w:rsidR="004754E6">
        <w:rPr>
          <w:color w:val="auto"/>
          <w:sz w:val="18"/>
          <w:szCs w:val="18"/>
        </w:rPr>
        <w:t>–</w:t>
      </w:r>
      <w:r w:rsidR="003017CD" w:rsidRPr="00F643FE">
        <w:rPr>
          <w:color w:val="auto"/>
          <w:sz w:val="18"/>
          <w:szCs w:val="18"/>
        </w:rPr>
        <w:t>23</w:t>
      </w:r>
      <w:r w:rsidR="004754E6">
        <w:rPr>
          <w:color w:val="auto"/>
          <w:sz w:val="18"/>
          <w:szCs w:val="18"/>
        </w:rPr>
        <w:t>.</w:t>
      </w:r>
    </w:p>
    <w:p w14:paraId="4FD2EE47" w14:textId="30E591EF" w:rsidR="004700CD" w:rsidRPr="003017CD" w:rsidRDefault="004700CD" w:rsidP="003017CD">
      <w:pPr>
        <w:pStyle w:val="ListBullet"/>
        <w:numPr>
          <w:ilvl w:val="0"/>
          <w:numId w:val="0"/>
        </w:numPr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Note: Some submissions reflected views on skills shortages across more than one industry. As a result</w:t>
      </w:r>
      <w:r w:rsidR="0051546D">
        <w:rPr>
          <w:i/>
          <w:iCs/>
          <w:color w:val="auto"/>
          <w:sz w:val="18"/>
          <w:szCs w:val="18"/>
        </w:rPr>
        <w:t>,</w:t>
      </w:r>
      <w:r>
        <w:rPr>
          <w:i/>
          <w:iCs/>
          <w:color w:val="auto"/>
          <w:sz w:val="18"/>
          <w:szCs w:val="18"/>
        </w:rPr>
        <w:t xml:space="preserve"> the number of submissions noted in Table 2 will add to more than the 80 submissions received in total.</w:t>
      </w:r>
    </w:p>
    <w:p w14:paraId="4C681B7D" w14:textId="4242DDD1" w:rsidR="00E8019E" w:rsidRPr="00586279" w:rsidRDefault="00E8019E" w:rsidP="00E8019E">
      <w:pPr>
        <w:rPr>
          <w:sz w:val="8"/>
          <w:szCs w:val="8"/>
        </w:rPr>
      </w:pPr>
    </w:p>
    <w:p w14:paraId="50F36213" w14:textId="77777777" w:rsidR="00E8019E" w:rsidRPr="002423E1" w:rsidRDefault="6C133E8A" w:rsidP="00A0474E">
      <w:pPr>
        <w:pStyle w:val="Heading1"/>
      </w:pPr>
      <w:r>
        <w:t>Occupation coverage</w:t>
      </w:r>
    </w:p>
    <w:p w14:paraId="464D6F90" w14:textId="3A7F2D2D" w:rsidR="004754E6" w:rsidRDefault="6C133E8A" w:rsidP="5F022A79">
      <w:pPr>
        <w:pStyle w:val="ListBullet"/>
      </w:pPr>
      <w:r>
        <w:t xml:space="preserve">The most common occupations raised in submissions were Electrician (General), Civil Engineer, </w:t>
      </w:r>
      <w:r w:rsidR="001211C5">
        <w:t>Carpenter</w:t>
      </w:r>
      <w:r w:rsidR="0068600D">
        <w:t>,</w:t>
      </w:r>
      <w:r>
        <w:t xml:space="preserve"> and Truck Driver (General). Professionals </w:t>
      </w:r>
      <w:r w:rsidR="6990A9CF">
        <w:t xml:space="preserve">and Technicians and Trades Workers made up seven of the top 10 occupations </w:t>
      </w:r>
      <w:r>
        <w:t xml:space="preserve">(Table </w:t>
      </w:r>
      <w:r w:rsidR="032FFA88">
        <w:t>3</w:t>
      </w:r>
      <w:r>
        <w:t>)</w:t>
      </w:r>
      <w:r w:rsidR="004754E6">
        <w:t>.</w:t>
      </w:r>
    </w:p>
    <w:p w14:paraId="2A856B51" w14:textId="2D7395FA" w:rsidR="00240C56" w:rsidRDefault="00240C56" w:rsidP="00240C56">
      <w:pPr>
        <w:pStyle w:val="ListBullet"/>
      </w:pPr>
      <w:r>
        <w:t>Submissions encompassed 51% (465 of 916 occupations) of the occupations that were assessed for the 2023 SPL.</w:t>
      </w:r>
    </w:p>
    <w:p w14:paraId="5B72DE96" w14:textId="1065C8D3" w:rsidR="00240C56" w:rsidRDefault="00240C56" w:rsidP="00240C56">
      <w:pPr>
        <w:pStyle w:val="ListBullet2"/>
      </w:pPr>
      <w:r>
        <w:t>In the 2023 SPL</w:t>
      </w:r>
      <w:r w:rsidR="0068600D">
        <w:t>,</w:t>
      </w:r>
      <w:r>
        <w:t xml:space="preserve"> there were 332 occupations in shortage and 584 not in shortage.</w:t>
      </w:r>
    </w:p>
    <w:p w14:paraId="60D20A5D" w14:textId="546DF030" w:rsidR="00240C56" w:rsidRDefault="00240C56" w:rsidP="00240C56">
      <w:pPr>
        <w:pStyle w:val="ListBullet2"/>
      </w:pPr>
      <w:r>
        <w:t>Of the occupations in shortage in the 2023 SPL</w:t>
      </w:r>
      <w:r w:rsidR="0068600D">
        <w:t>,</w:t>
      </w:r>
      <w:r>
        <w:t xml:space="preserve"> 70% (234 of 332 occupations) were covered in submissions.</w:t>
      </w:r>
    </w:p>
    <w:p w14:paraId="74E484DF" w14:textId="67CC6474" w:rsidR="00240C56" w:rsidRDefault="00240C56" w:rsidP="00240C56">
      <w:pPr>
        <w:pStyle w:val="ListBullet2"/>
      </w:pPr>
      <w:r>
        <w:t>Of the occupations not in shortage in the 2023 SPL</w:t>
      </w:r>
      <w:r w:rsidR="0068600D">
        <w:t>,</w:t>
      </w:r>
      <w:r>
        <w:t xml:space="preserve"> 40% (231 of 584 occupations) were covered in submissions.</w:t>
      </w:r>
    </w:p>
    <w:p w14:paraId="3FEFFAA1" w14:textId="77777777" w:rsidR="004754E6" w:rsidRDefault="00240C56" w:rsidP="00240C56">
      <w:pPr>
        <w:pStyle w:val="ListBullet"/>
      </w:pPr>
      <w:r>
        <w:t>Occupations in the Technicians and Trades Workers major group were most likely to have been mentioned by stakeholders, with 62% of the occupations in the 2023 SPL receiving feedback from stakeholders (Figure 1)</w:t>
      </w:r>
      <w:r w:rsidR="004754E6">
        <w:t>.</w:t>
      </w:r>
    </w:p>
    <w:p w14:paraId="47F4AF23" w14:textId="23BDB5B1" w:rsidR="00240C56" w:rsidRDefault="00240C56" w:rsidP="00240C56">
      <w:pPr>
        <w:pStyle w:val="ListBullet"/>
      </w:pPr>
      <w:r>
        <w:t>This was followed by Professionals and Machinery Operators and Drivers, both which had 55% coverage.</w:t>
      </w:r>
    </w:p>
    <w:p w14:paraId="5A54AF8C" w14:textId="77777777" w:rsidR="003B7DAC" w:rsidRDefault="003B7DAC" w:rsidP="00693A53">
      <w:pPr>
        <w:pStyle w:val="ListBullet"/>
        <w:sectPr w:rsidR="003B7DAC" w:rsidSect="00C755E5">
          <w:headerReference w:type="default" r:id="rId12"/>
          <w:footerReference w:type="default" r:id="rId13"/>
          <w:footerReference w:type="first" r:id="rId14"/>
          <w:pgSz w:w="11906" w:h="16838"/>
          <w:pgMar w:top="1418" w:right="1440" w:bottom="1440" w:left="1440" w:header="0" w:footer="708" w:gutter="0"/>
          <w:pgNumType w:start="1"/>
          <w:cols w:space="708"/>
          <w:docGrid w:linePitch="360"/>
        </w:sectPr>
      </w:pPr>
    </w:p>
    <w:p w14:paraId="46D024CC" w14:textId="752C15DC" w:rsidR="00CA07A1" w:rsidRPr="00240C56" w:rsidRDefault="1F91920F" w:rsidP="00693A53">
      <w:pPr>
        <w:pStyle w:val="Caption"/>
      </w:pPr>
      <w:r w:rsidRPr="000C3A13">
        <w:lastRenderedPageBreak/>
        <w:t xml:space="preserve">Table </w:t>
      </w:r>
      <w:r w:rsidR="069FCCB2">
        <w:fldChar w:fldCharType="begin"/>
      </w:r>
      <w:r w:rsidR="069FCCB2">
        <w:instrText>SEQ Table \* ARABIC</w:instrText>
      </w:r>
      <w:r w:rsidR="069FCCB2">
        <w:fldChar w:fldCharType="separate"/>
      </w:r>
      <w:r w:rsidR="008E1B6B">
        <w:rPr>
          <w:noProof/>
        </w:rPr>
        <w:t>3</w:t>
      </w:r>
      <w:r w:rsidR="069FCCB2">
        <w:fldChar w:fldCharType="end"/>
      </w:r>
      <w:r w:rsidR="542810C5">
        <w:t xml:space="preserve">: </w:t>
      </w:r>
      <w:r w:rsidRPr="00240C56">
        <w:t>Top occupations raised by stakeholders in submissions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4361"/>
        <w:gridCol w:w="3127"/>
        <w:gridCol w:w="1586"/>
        <w:gridCol w:w="2014"/>
        <w:gridCol w:w="1219"/>
      </w:tblGrid>
      <w:tr w:rsidR="0070205A" w:rsidRPr="00D17C04" w14:paraId="4868120F" w14:textId="77777777" w:rsidTr="00240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</w:tcPr>
          <w:p w14:paraId="3CCC1BD7" w14:textId="496429E7" w:rsidR="00CA07A1" w:rsidRPr="00240C56" w:rsidRDefault="630BCDC2" w:rsidP="00240C56">
            <w:pPr>
              <w:pStyle w:val="ListBullet"/>
              <w:numPr>
                <w:ilvl w:val="0"/>
                <w:numId w:val="0"/>
              </w:numPr>
              <w:ind w:left="340" w:hanging="340"/>
              <w:rPr>
                <w:rFonts w:cs="Arial"/>
                <w:color w:val="E7E6E6" w:themeColor="background2"/>
                <w:szCs w:val="22"/>
              </w:rPr>
            </w:pPr>
            <w:r w:rsidRPr="00240C56">
              <w:rPr>
                <w:rFonts w:eastAsia="Times New Roman" w:cs="Arial"/>
                <w:color w:val="E7E6E6" w:themeColor="background2"/>
                <w:lang w:eastAsia="en-AU"/>
              </w:rPr>
              <w:t>ANZSCO</w:t>
            </w:r>
          </w:p>
        </w:tc>
        <w:tc>
          <w:tcPr>
            <w:tcW w:w="0" w:type="auto"/>
            <w:vAlign w:val="center"/>
          </w:tcPr>
          <w:p w14:paraId="7D54D447" w14:textId="0601D397" w:rsidR="00CA07A1" w:rsidRPr="00240C56" w:rsidRDefault="00CA07A1" w:rsidP="00240C56">
            <w:pPr>
              <w:rPr>
                <w:rFonts w:cs="Arial"/>
                <w:color w:val="E7E6E6" w:themeColor="background2"/>
              </w:rPr>
            </w:pPr>
            <w:r w:rsidRPr="00240C56">
              <w:rPr>
                <w:rFonts w:cs="Arial"/>
                <w:color w:val="E7E6E6" w:themeColor="background2"/>
              </w:rPr>
              <w:t>Major Group</w:t>
            </w:r>
          </w:p>
        </w:tc>
        <w:tc>
          <w:tcPr>
            <w:tcW w:w="0" w:type="auto"/>
            <w:noWrap/>
            <w:vAlign w:val="center"/>
          </w:tcPr>
          <w:p w14:paraId="3A60AB71" w14:textId="3B009A0B" w:rsidR="00CA07A1" w:rsidRPr="00240C56" w:rsidRDefault="00CA07A1" w:rsidP="00240C56">
            <w:pPr>
              <w:rPr>
                <w:rFonts w:cs="Arial"/>
                <w:color w:val="E7E6E6" w:themeColor="background2"/>
              </w:rPr>
            </w:pPr>
            <w:r w:rsidRPr="00240C56">
              <w:rPr>
                <w:rFonts w:cs="Arial"/>
                <w:color w:val="E7E6E6" w:themeColor="background2"/>
              </w:rPr>
              <w:t>Occupation title</w:t>
            </w:r>
          </w:p>
        </w:tc>
        <w:tc>
          <w:tcPr>
            <w:tcW w:w="0" w:type="auto"/>
            <w:noWrap/>
            <w:vAlign w:val="center"/>
          </w:tcPr>
          <w:p w14:paraId="299DED70" w14:textId="36CADBC0" w:rsidR="00CA07A1" w:rsidRPr="00240C56" w:rsidRDefault="00CA07A1" w:rsidP="00240C56">
            <w:pPr>
              <w:rPr>
                <w:rFonts w:cs="Arial"/>
                <w:color w:val="E7E6E6" w:themeColor="background2"/>
              </w:rPr>
            </w:pPr>
            <w:r w:rsidRPr="00240C56">
              <w:rPr>
                <w:rFonts w:cs="Arial"/>
                <w:color w:val="E7E6E6" w:themeColor="background2"/>
              </w:rPr>
              <w:t xml:space="preserve">Submissions </w:t>
            </w:r>
            <w:r w:rsidR="0070205A">
              <w:rPr>
                <w:rFonts w:cs="Arial"/>
                <w:color w:val="E7E6E6" w:themeColor="background2"/>
              </w:rPr>
              <w:br/>
            </w:r>
            <w:r w:rsidRPr="00240C56">
              <w:rPr>
                <w:rFonts w:cs="Arial"/>
                <w:color w:val="E7E6E6" w:themeColor="background2"/>
              </w:rPr>
              <w:t>(</w:t>
            </w:r>
            <w:r w:rsidRPr="00240C56">
              <w:rPr>
                <w:rFonts w:cs="Arial"/>
                <w:i/>
                <w:iCs/>
                <w:color w:val="E7E6E6" w:themeColor="background2"/>
              </w:rPr>
              <w:t>n</w:t>
            </w:r>
            <w:r w:rsidRPr="00240C56">
              <w:rPr>
                <w:rFonts w:cs="Arial"/>
                <w:color w:val="E7E6E6" w:themeColor="background2"/>
              </w:rPr>
              <w:t>)</w:t>
            </w:r>
          </w:p>
        </w:tc>
        <w:tc>
          <w:tcPr>
            <w:tcW w:w="0" w:type="auto"/>
            <w:vAlign w:val="center"/>
          </w:tcPr>
          <w:p w14:paraId="2AAA9DEE" w14:textId="030D4ADD" w:rsidR="00CA07A1" w:rsidRPr="00240C56" w:rsidRDefault="00CA07A1" w:rsidP="00240C56">
            <w:pPr>
              <w:rPr>
                <w:rFonts w:cs="Arial"/>
                <w:color w:val="E7E6E6" w:themeColor="background2"/>
              </w:rPr>
            </w:pPr>
            <w:r w:rsidRPr="00240C56">
              <w:rPr>
                <w:rFonts w:cs="Arial"/>
                <w:color w:val="E7E6E6" w:themeColor="background2"/>
              </w:rPr>
              <w:t xml:space="preserve">Employment size </w:t>
            </w:r>
            <w:r w:rsidR="0070205A">
              <w:rPr>
                <w:rFonts w:cs="Arial"/>
                <w:color w:val="E7E6E6" w:themeColor="background2"/>
              </w:rPr>
              <w:br/>
            </w:r>
            <w:r w:rsidRPr="00240C56">
              <w:rPr>
                <w:rFonts w:cs="Arial"/>
                <w:color w:val="E7E6E6" w:themeColor="background2"/>
              </w:rPr>
              <w:t>(2021 census)</w:t>
            </w:r>
          </w:p>
        </w:tc>
        <w:tc>
          <w:tcPr>
            <w:tcW w:w="0" w:type="auto"/>
            <w:vAlign w:val="center"/>
          </w:tcPr>
          <w:p w14:paraId="6E798ECC" w14:textId="4C2B9618" w:rsidR="00CA07A1" w:rsidRPr="00240C56" w:rsidRDefault="00CA07A1" w:rsidP="00240C56">
            <w:pPr>
              <w:rPr>
                <w:rFonts w:cs="Arial"/>
                <w:color w:val="E7E6E6" w:themeColor="background2"/>
              </w:rPr>
            </w:pPr>
            <w:r w:rsidRPr="00240C56">
              <w:rPr>
                <w:rFonts w:cs="Arial"/>
                <w:color w:val="E7E6E6" w:themeColor="background2"/>
              </w:rPr>
              <w:t>Skill level</w:t>
            </w:r>
          </w:p>
        </w:tc>
      </w:tr>
      <w:tr w:rsidR="0070205A" w:rsidRPr="00D17C04" w14:paraId="2D9CC0B4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</w:tcPr>
          <w:p w14:paraId="107066A8" w14:textId="77777777" w:rsidR="00CA07A1" w:rsidRPr="00240C56" w:rsidRDefault="00CA07A1" w:rsidP="00CA07A1">
            <w:pPr>
              <w:pStyle w:val="ListBullet"/>
              <w:numPr>
                <w:ilvl w:val="0"/>
                <w:numId w:val="0"/>
              </w:numPr>
              <w:ind w:left="340" w:hanging="340"/>
              <w:rPr>
                <w:rFonts w:cs="Arial"/>
                <w:szCs w:val="22"/>
              </w:rPr>
            </w:pPr>
            <w:r w:rsidRPr="00240C56">
              <w:rPr>
                <w:rFonts w:cs="Arial"/>
                <w:szCs w:val="22"/>
              </w:rPr>
              <w:t>341111</w:t>
            </w:r>
          </w:p>
        </w:tc>
        <w:tc>
          <w:tcPr>
            <w:tcW w:w="0" w:type="auto"/>
            <w:vAlign w:val="center"/>
          </w:tcPr>
          <w:p w14:paraId="431EFBD8" w14:textId="4128898F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Technicians and </w:t>
            </w:r>
            <w:r w:rsidR="00CD4325">
              <w:rPr>
                <w:rFonts w:cs="Arial"/>
              </w:rPr>
              <w:t>T</w:t>
            </w:r>
            <w:r w:rsidRPr="00240C56">
              <w:rPr>
                <w:rFonts w:cs="Arial"/>
              </w:rPr>
              <w:t xml:space="preserve">rades </w:t>
            </w:r>
            <w:r w:rsidR="00CD4325">
              <w:rPr>
                <w:rFonts w:cs="Arial"/>
              </w:rPr>
              <w:t>W</w:t>
            </w:r>
            <w:r w:rsidRPr="00240C56">
              <w:rPr>
                <w:rFonts w:cs="Arial"/>
              </w:rPr>
              <w:t>orkers</w:t>
            </w:r>
          </w:p>
        </w:tc>
        <w:tc>
          <w:tcPr>
            <w:tcW w:w="0" w:type="auto"/>
            <w:noWrap/>
            <w:vAlign w:val="center"/>
          </w:tcPr>
          <w:p w14:paraId="16B06BE2" w14:textId="4B3210D6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>Electrician (</w:t>
            </w:r>
            <w:r w:rsidR="00947369">
              <w:rPr>
                <w:rFonts w:cs="Arial"/>
              </w:rPr>
              <w:t>G</w:t>
            </w:r>
            <w:r w:rsidRPr="00240C56">
              <w:rPr>
                <w:rFonts w:cs="Arial"/>
              </w:rPr>
              <w:t>eneral)</w:t>
            </w:r>
          </w:p>
        </w:tc>
        <w:tc>
          <w:tcPr>
            <w:tcW w:w="0" w:type="auto"/>
            <w:noWrap/>
            <w:vAlign w:val="center"/>
          </w:tcPr>
          <w:p w14:paraId="09276B7C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4853383B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128,300</w:t>
            </w:r>
          </w:p>
        </w:tc>
        <w:tc>
          <w:tcPr>
            <w:tcW w:w="0" w:type="auto"/>
            <w:vAlign w:val="center"/>
          </w:tcPr>
          <w:p w14:paraId="3BA11483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3</w:t>
            </w:r>
          </w:p>
        </w:tc>
      </w:tr>
      <w:tr w:rsidR="0070205A" w:rsidRPr="00D17C04" w14:paraId="552AFDDC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71998E6E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233211</w:t>
            </w:r>
          </w:p>
        </w:tc>
        <w:tc>
          <w:tcPr>
            <w:tcW w:w="0" w:type="auto"/>
            <w:vAlign w:val="center"/>
          </w:tcPr>
          <w:p w14:paraId="2AFA1862" w14:textId="77777777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Professionals</w:t>
            </w:r>
          </w:p>
        </w:tc>
        <w:tc>
          <w:tcPr>
            <w:tcW w:w="0" w:type="auto"/>
            <w:noWrap/>
            <w:vAlign w:val="center"/>
            <w:hideMark/>
          </w:tcPr>
          <w:p w14:paraId="57863C58" w14:textId="5ABCAC12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 xml:space="preserve">Civil </w:t>
            </w:r>
            <w:r w:rsidR="00497343">
              <w:rPr>
                <w:rFonts w:cs="Arial"/>
              </w:rPr>
              <w:t>E</w:t>
            </w:r>
            <w:r w:rsidRPr="00240C56">
              <w:rPr>
                <w:rFonts w:cs="Arial"/>
              </w:rPr>
              <w:t>ngineer</w:t>
            </w:r>
          </w:p>
        </w:tc>
        <w:tc>
          <w:tcPr>
            <w:tcW w:w="0" w:type="auto"/>
            <w:noWrap/>
            <w:vAlign w:val="center"/>
            <w:hideMark/>
          </w:tcPr>
          <w:p w14:paraId="53C5E684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6A293B07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29,400</w:t>
            </w:r>
          </w:p>
        </w:tc>
        <w:tc>
          <w:tcPr>
            <w:tcW w:w="0" w:type="auto"/>
            <w:vAlign w:val="center"/>
          </w:tcPr>
          <w:p w14:paraId="4ACA7D05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</w:t>
            </w:r>
          </w:p>
        </w:tc>
      </w:tr>
      <w:tr w:rsidR="0070205A" w:rsidRPr="00D17C04" w14:paraId="1AFED97B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</w:tcPr>
          <w:p w14:paraId="6D59C0FA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331212</w:t>
            </w:r>
          </w:p>
        </w:tc>
        <w:tc>
          <w:tcPr>
            <w:tcW w:w="0" w:type="auto"/>
            <w:vAlign w:val="center"/>
          </w:tcPr>
          <w:p w14:paraId="274D31C8" w14:textId="1CBC367F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Technicians and </w:t>
            </w:r>
            <w:r w:rsidR="00497343">
              <w:rPr>
                <w:rFonts w:cs="Arial"/>
              </w:rPr>
              <w:t>T</w:t>
            </w:r>
            <w:r w:rsidRPr="00240C56">
              <w:rPr>
                <w:rFonts w:cs="Arial"/>
              </w:rPr>
              <w:t xml:space="preserve">rades </w:t>
            </w:r>
            <w:r w:rsidR="00CD4325">
              <w:rPr>
                <w:rFonts w:cs="Arial"/>
              </w:rPr>
              <w:t>W</w:t>
            </w:r>
            <w:r w:rsidRPr="00240C56">
              <w:rPr>
                <w:rFonts w:cs="Arial"/>
              </w:rPr>
              <w:t>orkers</w:t>
            </w:r>
          </w:p>
        </w:tc>
        <w:tc>
          <w:tcPr>
            <w:tcW w:w="0" w:type="auto"/>
            <w:noWrap/>
            <w:vAlign w:val="center"/>
          </w:tcPr>
          <w:p w14:paraId="577B7BFA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>Carpenter</w:t>
            </w:r>
          </w:p>
        </w:tc>
        <w:tc>
          <w:tcPr>
            <w:tcW w:w="0" w:type="auto"/>
            <w:noWrap/>
            <w:vAlign w:val="center"/>
          </w:tcPr>
          <w:p w14:paraId="37501A1C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17067A6B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104,900</w:t>
            </w:r>
          </w:p>
        </w:tc>
        <w:tc>
          <w:tcPr>
            <w:tcW w:w="0" w:type="auto"/>
            <w:vAlign w:val="center"/>
          </w:tcPr>
          <w:p w14:paraId="6E9310F8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3</w:t>
            </w:r>
          </w:p>
        </w:tc>
      </w:tr>
      <w:tr w:rsidR="0070205A" w:rsidRPr="00D17C04" w14:paraId="205DED59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</w:tcPr>
          <w:p w14:paraId="3DEA0000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733111</w:t>
            </w:r>
          </w:p>
        </w:tc>
        <w:tc>
          <w:tcPr>
            <w:tcW w:w="0" w:type="auto"/>
            <w:vAlign w:val="center"/>
          </w:tcPr>
          <w:p w14:paraId="550EE24E" w14:textId="7CF440F5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Machinery </w:t>
            </w:r>
            <w:r w:rsidR="00497343">
              <w:rPr>
                <w:rFonts w:cs="Arial"/>
              </w:rPr>
              <w:t>O</w:t>
            </w:r>
            <w:r w:rsidRPr="00240C56">
              <w:rPr>
                <w:rFonts w:cs="Arial"/>
              </w:rPr>
              <w:t xml:space="preserve">perators and </w:t>
            </w:r>
            <w:r w:rsidR="00497343">
              <w:rPr>
                <w:rFonts w:cs="Arial"/>
              </w:rPr>
              <w:t>D</w:t>
            </w:r>
            <w:r w:rsidRPr="00240C56">
              <w:rPr>
                <w:rFonts w:cs="Arial"/>
              </w:rPr>
              <w:t>rivers</w:t>
            </w:r>
          </w:p>
        </w:tc>
        <w:tc>
          <w:tcPr>
            <w:tcW w:w="0" w:type="auto"/>
            <w:noWrap/>
            <w:vAlign w:val="center"/>
          </w:tcPr>
          <w:p w14:paraId="370CB02A" w14:textId="0B4C09E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 xml:space="preserve">Truck </w:t>
            </w:r>
            <w:r w:rsidR="00497343">
              <w:rPr>
                <w:rFonts w:cs="Arial"/>
              </w:rPr>
              <w:t>D</w:t>
            </w:r>
            <w:r w:rsidRPr="00240C56">
              <w:rPr>
                <w:rFonts w:cs="Arial"/>
              </w:rPr>
              <w:t>river (</w:t>
            </w:r>
            <w:r w:rsidR="00497343">
              <w:rPr>
                <w:rFonts w:cs="Arial"/>
              </w:rPr>
              <w:t>G</w:t>
            </w:r>
            <w:r w:rsidRPr="00240C56">
              <w:rPr>
                <w:rFonts w:cs="Arial"/>
              </w:rPr>
              <w:t>eneral)</w:t>
            </w:r>
          </w:p>
        </w:tc>
        <w:tc>
          <w:tcPr>
            <w:tcW w:w="0" w:type="auto"/>
            <w:noWrap/>
            <w:vAlign w:val="center"/>
          </w:tcPr>
          <w:p w14:paraId="7CCF0F53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2E8BDBB7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148,400</w:t>
            </w:r>
          </w:p>
        </w:tc>
        <w:tc>
          <w:tcPr>
            <w:tcW w:w="0" w:type="auto"/>
            <w:vAlign w:val="center"/>
          </w:tcPr>
          <w:p w14:paraId="4678B8FF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4</w:t>
            </w:r>
          </w:p>
        </w:tc>
      </w:tr>
      <w:tr w:rsidR="0070205A" w:rsidRPr="00D17C04" w14:paraId="541499A1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4E673996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233214</w:t>
            </w:r>
          </w:p>
        </w:tc>
        <w:tc>
          <w:tcPr>
            <w:tcW w:w="0" w:type="auto"/>
            <w:vAlign w:val="center"/>
          </w:tcPr>
          <w:p w14:paraId="6919098E" w14:textId="77777777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Professionals</w:t>
            </w:r>
          </w:p>
        </w:tc>
        <w:tc>
          <w:tcPr>
            <w:tcW w:w="0" w:type="auto"/>
            <w:noWrap/>
            <w:vAlign w:val="center"/>
            <w:hideMark/>
          </w:tcPr>
          <w:p w14:paraId="0090732B" w14:textId="7F24986A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 xml:space="preserve">Structural </w:t>
            </w:r>
            <w:r w:rsidR="00497343">
              <w:rPr>
                <w:rFonts w:cs="Arial"/>
              </w:rPr>
              <w:t>E</w:t>
            </w:r>
            <w:r w:rsidRPr="00240C56">
              <w:rPr>
                <w:rFonts w:cs="Arial"/>
              </w:rPr>
              <w:t>ngineer</w:t>
            </w:r>
          </w:p>
        </w:tc>
        <w:tc>
          <w:tcPr>
            <w:tcW w:w="0" w:type="auto"/>
            <w:noWrap/>
            <w:vAlign w:val="center"/>
            <w:hideMark/>
          </w:tcPr>
          <w:p w14:paraId="409EDF49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29E8C2DF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9,000</w:t>
            </w:r>
          </w:p>
        </w:tc>
        <w:tc>
          <w:tcPr>
            <w:tcW w:w="0" w:type="auto"/>
            <w:vAlign w:val="center"/>
          </w:tcPr>
          <w:p w14:paraId="6188B1A9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</w:t>
            </w:r>
          </w:p>
        </w:tc>
      </w:tr>
      <w:tr w:rsidR="0070205A" w:rsidRPr="00D17C04" w14:paraId="028B92E5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35568B48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233512</w:t>
            </w:r>
          </w:p>
        </w:tc>
        <w:tc>
          <w:tcPr>
            <w:tcW w:w="0" w:type="auto"/>
            <w:vAlign w:val="center"/>
          </w:tcPr>
          <w:p w14:paraId="542A222C" w14:textId="77777777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Professionals</w:t>
            </w:r>
          </w:p>
        </w:tc>
        <w:tc>
          <w:tcPr>
            <w:tcW w:w="0" w:type="auto"/>
            <w:noWrap/>
            <w:vAlign w:val="center"/>
            <w:hideMark/>
          </w:tcPr>
          <w:p w14:paraId="6F6DC3BB" w14:textId="39F80EDF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 xml:space="preserve">Mechanical </w:t>
            </w:r>
            <w:r w:rsidR="00497343">
              <w:rPr>
                <w:rFonts w:cs="Arial"/>
              </w:rPr>
              <w:t>E</w:t>
            </w:r>
            <w:r w:rsidRPr="00240C56">
              <w:rPr>
                <w:rFonts w:cs="Arial"/>
              </w:rPr>
              <w:t>ngineer</w:t>
            </w:r>
          </w:p>
        </w:tc>
        <w:tc>
          <w:tcPr>
            <w:tcW w:w="0" w:type="auto"/>
            <w:noWrap/>
            <w:vAlign w:val="center"/>
            <w:hideMark/>
          </w:tcPr>
          <w:p w14:paraId="60FABD4A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0E3CB081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22,900</w:t>
            </w:r>
          </w:p>
        </w:tc>
        <w:tc>
          <w:tcPr>
            <w:tcW w:w="0" w:type="auto"/>
            <w:vAlign w:val="center"/>
          </w:tcPr>
          <w:p w14:paraId="494BF890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</w:t>
            </w:r>
          </w:p>
        </w:tc>
      </w:tr>
      <w:tr w:rsidR="0070205A" w:rsidRPr="00D17C04" w14:paraId="2D260CE9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3F8F01DB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251912</w:t>
            </w:r>
          </w:p>
        </w:tc>
        <w:tc>
          <w:tcPr>
            <w:tcW w:w="0" w:type="auto"/>
            <w:vAlign w:val="center"/>
          </w:tcPr>
          <w:p w14:paraId="6C46FDE8" w14:textId="77777777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Professionals</w:t>
            </w:r>
          </w:p>
        </w:tc>
        <w:tc>
          <w:tcPr>
            <w:tcW w:w="0" w:type="auto"/>
            <w:noWrap/>
            <w:vAlign w:val="center"/>
            <w:hideMark/>
          </w:tcPr>
          <w:p w14:paraId="7A87ABD5" w14:textId="7C5F5E4B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 xml:space="preserve">Orthotist or </w:t>
            </w:r>
            <w:r w:rsidR="00497343">
              <w:rPr>
                <w:rFonts w:cs="Arial"/>
              </w:rPr>
              <w:t>P</w:t>
            </w:r>
            <w:r w:rsidRPr="00240C56">
              <w:rPr>
                <w:rFonts w:cs="Arial"/>
              </w:rPr>
              <w:t>rosthetist</w:t>
            </w:r>
          </w:p>
        </w:tc>
        <w:tc>
          <w:tcPr>
            <w:tcW w:w="0" w:type="auto"/>
            <w:noWrap/>
            <w:vAlign w:val="center"/>
            <w:hideMark/>
          </w:tcPr>
          <w:p w14:paraId="41D802A4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16EA1596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600</w:t>
            </w:r>
          </w:p>
        </w:tc>
        <w:tc>
          <w:tcPr>
            <w:tcW w:w="0" w:type="auto"/>
            <w:vAlign w:val="center"/>
          </w:tcPr>
          <w:p w14:paraId="2D4AE453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</w:t>
            </w:r>
          </w:p>
        </w:tc>
      </w:tr>
      <w:tr w:rsidR="0070205A" w:rsidRPr="00D17C04" w14:paraId="2461C285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27CA086F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331111</w:t>
            </w:r>
          </w:p>
        </w:tc>
        <w:tc>
          <w:tcPr>
            <w:tcW w:w="0" w:type="auto"/>
            <w:vAlign w:val="center"/>
          </w:tcPr>
          <w:p w14:paraId="0CB2503C" w14:textId="3E12DB02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Technicians and </w:t>
            </w:r>
            <w:r w:rsidR="00497343">
              <w:rPr>
                <w:rFonts w:cs="Arial"/>
              </w:rPr>
              <w:t>T</w:t>
            </w:r>
            <w:r w:rsidRPr="00240C56">
              <w:rPr>
                <w:rFonts w:cs="Arial"/>
              </w:rPr>
              <w:t xml:space="preserve">rades </w:t>
            </w:r>
            <w:r w:rsidR="00497343">
              <w:rPr>
                <w:rFonts w:cs="Arial"/>
              </w:rPr>
              <w:t>W</w:t>
            </w:r>
            <w:r w:rsidRPr="00240C56">
              <w:rPr>
                <w:rFonts w:cs="Arial"/>
              </w:rPr>
              <w:t>orkers</w:t>
            </w:r>
          </w:p>
        </w:tc>
        <w:tc>
          <w:tcPr>
            <w:tcW w:w="0" w:type="auto"/>
            <w:noWrap/>
            <w:vAlign w:val="center"/>
            <w:hideMark/>
          </w:tcPr>
          <w:p w14:paraId="2FBCD355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</w:rPr>
              <w:t>Bricklayer</w:t>
            </w:r>
          </w:p>
        </w:tc>
        <w:tc>
          <w:tcPr>
            <w:tcW w:w="0" w:type="auto"/>
            <w:noWrap/>
            <w:vAlign w:val="center"/>
            <w:hideMark/>
          </w:tcPr>
          <w:p w14:paraId="7A042CEE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0D3CAA7D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16,700</w:t>
            </w:r>
          </w:p>
        </w:tc>
        <w:tc>
          <w:tcPr>
            <w:tcW w:w="0" w:type="auto"/>
            <w:vAlign w:val="center"/>
          </w:tcPr>
          <w:p w14:paraId="6B6532FB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3</w:t>
            </w:r>
          </w:p>
        </w:tc>
      </w:tr>
      <w:tr w:rsidR="0070205A" w:rsidRPr="00D17C04" w14:paraId="762BADD5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  <w:hideMark/>
          </w:tcPr>
          <w:p w14:paraId="55701B31" w14:textId="77777777" w:rsidR="00CA07A1" w:rsidRPr="00240C56" w:rsidRDefault="00CA07A1">
            <w:pPr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421111</w:t>
            </w:r>
          </w:p>
        </w:tc>
        <w:tc>
          <w:tcPr>
            <w:tcW w:w="0" w:type="auto"/>
            <w:vAlign w:val="center"/>
          </w:tcPr>
          <w:p w14:paraId="48D00D74" w14:textId="132D9891" w:rsidR="00CA07A1" w:rsidRPr="00240C56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Community and </w:t>
            </w:r>
            <w:r w:rsidR="00497343">
              <w:rPr>
                <w:rFonts w:cs="Arial"/>
              </w:rPr>
              <w:t>P</w:t>
            </w:r>
            <w:r w:rsidRPr="00240C56">
              <w:rPr>
                <w:rFonts w:cs="Arial"/>
              </w:rPr>
              <w:t xml:space="preserve">ersonal </w:t>
            </w:r>
            <w:r w:rsidR="00497343">
              <w:rPr>
                <w:rFonts w:cs="Arial"/>
              </w:rPr>
              <w:t>S</w:t>
            </w:r>
            <w:r w:rsidRPr="00240C56">
              <w:rPr>
                <w:rFonts w:cs="Arial"/>
              </w:rPr>
              <w:t xml:space="preserve">ervice </w:t>
            </w:r>
            <w:r w:rsidR="00497343">
              <w:rPr>
                <w:rFonts w:cs="Arial"/>
              </w:rPr>
              <w:t>W</w:t>
            </w:r>
            <w:r w:rsidRPr="00240C56">
              <w:rPr>
                <w:rFonts w:cs="Arial"/>
              </w:rPr>
              <w:t>orkers</w:t>
            </w:r>
          </w:p>
        </w:tc>
        <w:tc>
          <w:tcPr>
            <w:tcW w:w="0" w:type="auto"/>
            <w:noWrap/>
            <w:vAlign w:val="center"/>
            <w:hideMark/>
          </w:tcPr>
          <w:p w14:paraId="70A0EF22" w14:textId="57429EA8" w:rsidR="00CA07A1" w:rsidRPr="00240C56" w:rsidRDefault="006869DC">
            <w:pPr>
              <w:rPr>
                <w:rFonts w:cs="Arial"/>
              </w:rPr>
            </w:pPr>
            <w:r w:rsidRPr="00240C56">
              <w:rPr>
                <w:rFonts w:cs="Arial"/>
              </w:rPr>
              <w:t>Childcare</w:t>
            </w:r>
            <w:r w:rsidR="00CA07A1" w:rsidRPr="00240C56">
              <w:rPr>
                <w:rFonts w:cs="Arial"/>
              </w:rPr>
              <w:t xml:space="preserve"> </w:t>
            </w:r>
            <w:r w:rsidR="00497343">
              <w:rPr>
                <w:rFonts w:cs="Arial"/>
              </w:rPr>
              <w:t>W</w:t>
            </w:r>
            <w:r w:rsidR="00CA07A1" w:rsidRPr="00240C56">
              <w:rPr>
                <w:rFonts w:cs="Arial"/>
              </w:rPr>
              <w:t>orker</w:t>
            </w:r>
          </w:p>
        </w:tc>
        <w:tc>
          <w:tcPr>
            <w:tcW w:w="0" w:type="auto"/>
            <w:noWrap/>
            <w:vAlign w:val="center"/>
            <w:hideMark/>
          </w:tcPr>
          <w:p w14:paraId="6902DCF1" w14:textId="77777777" w:rsidR="00CA07A1" w:rsidRPr="00240C56" w:rsidRDefault="00CA07A1">
            <w:pPr>
              <w:jc w:val="right"/>
              <w:rPr>
                <w:rFonts w:cs="Arial"/>
              </w:rPr>
            </w:pPr>
            <w:r w:rsidRPr="00240C56">
              <w:rPr>
                <w:rFonts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2DE2F17A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123,800</w:t>
            </w:r>
          </w:p>
        </w:tc>
        <w:tc>
          <w:tcPr>
            <w:tcW w:w="0" w:type="auto"/>
            <w:vAlign w:val="center"/>
          </w:tcPr>
          <w:p w14:paraId="7656ACAF" w14:textId="77777777" w:rsidR="00CA07A1" w:rsidRPr="00240C56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  <w:color w:val="000000"/>
              </w:rPr>
              <w:t>3</w:t>
            </w:r>
          </w:p>
        </w:tc>
      </w:tr>
      <w:tr w:rsidR="0070205A" w:rsidRPr="00D17C04" w:rsidDel="00E45867" w14:paraId="7D8E613D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0" w:type="auto"/>
            <w:noWrap/>
            <w:vAlign w:val="center"/>
          </w:tcPr>
          <w:p w14:paraId="04B8B2C1" w14:textId="77777777" w:rsidR="00CA07A1" w:rsidRPr="00240C56" w:rsidDel="00E45867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133111</w:t>
            </w:r>
          </w:p>
        </w:tc>
        <w:tc>
          <w:tcPr>
            <w:tcW w:w="0" w:type="auto"/>
            <w:vAlign w:val="center"/>
          </w:tcPr>
          <w:p w14:paraId="3CAE38A8" w14:textId="77777777" w:rsidR="00CA07A1" w:rsidRPr="00240C56" w:rsidDel="00E45867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Managers</w:t>
            </w:r>
          </w:p>
        </w:tc>
        <w:tc>
          <w:tcPr>
            <w:tcW w:w="0" w:type="auto"/>
            <w:noWrap/>
            <w:vAlign w:val="center"/>
          </w:tcPr>
          <w:p w14:paraId="02C054C2" w14:textId="346B6F6E" w:rsidR="00CA07A1" w:rsidRPr="00240C56" w:rsidDel="00E45867" w:rsidRDefault="00CA07A1">
            <w:pPr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 xml:space="preserve">Construction </w:t>
            </w:r>
            <w:r w:rsidR="00497343">
              <w:rPr>
                <w:rFonts w:cs="Arial"/>
              </w:rPr>
              <w:t>P</w:t>
            </w:r>
            <w:r w:rsidRPr="00240C56">
              <w:rPr>
                <w:rFonts w:cs="Arial"/>
              </w:rPr>
              <w:t xml:space="preserve">roject </w:t>
            </w:r>
            <w:r w:rsidR="00497343">
              <w:rPr>
                <w:rFonts w:cs="Arial"/>
              </w:rPr>
              <w:t>M</w:t>
            </w:r>
            <w:r w:rsidRPr="00240C56">
              <w:rPr>
                <w:rFonts w:cs="Arial"/>
              </w:rPr>
              <w:t>anager</w:t>
            </w:r>
          </w:p>
        </w:tc>
        <w:tc>
          <w:tcPr>
            <w:tcW w:w="0" w:type="auto"/>
            <w:noWrap/>
            <w:vAlign w:val="center"/>
          </w:tcPr>
          <w:p w14:paraId="27805425" w14:textId="77777777" w:rsidR="00CA07A1" w:rsidRPr="00240C56" w:rsidDel="00E45867" w:rsidRDefault="069FCCB2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128D5BB" w14:textId="77777777" w:rsidR="00CA07A1" w:rsidRPr="00240C56" w:rsidDel="00E45867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64,900</w:t>
            </w:r>
          </w:p>
        </w:tc>
        <w:tc>
          <w:tcPr>
            <w:tcW w:w="0" w:type="auto"/>
            <w:vAlign w:val="center"/>
          </w:tcPr>
          <w:p w14:paraId="169C1997" w14:textId="77777777" w:rsidR="00CA07A1" w:rsidRPr="00240C56" w:rsidDel="00E45867" w:rsidRDefault="00CA07A1">
            <w:pPr>
              <w:jc w:val="right"/>
              <w:rPr>
                <w:rFonts w:cs="Arial"/>
                <w:color w:val="000000"/>
              </w:rPr>
            </w:pPr>
            <w:r w:rsidRPr="00240C56">
              <w:rPr>
                <w:rFonts w:cs="Arial"/>
              </w:rPr>
              <w:t>1</w:t>
            </w:r>
          </w:p>
        </w:tc>
      </w:tr>
    </w:tbl>
    <w:p w14:paraId="4AD9BC61" w14:textId="4CA77478" w:rsidR="003017CD" w:rsidRPr="00F643FE" w:rsidRDefault="003017CD" w:rsidP="00240C56">
      <w:pPr>
        <w:pStyle w:val="ListBullet"/>
        <w:numPr>
          <w:ilvl w:val="0"/>
          <w:numId w:val="0"/>
        </w:numPr>
        <w:ind w:left="340" w:hanging="340"/>
        <w:rPr>
          <w:color w:val="auto"/>
          <w:sz w:val="18"/>
          <w:szCs w:val="18"/>
        </w:rPr>
      </w:pPr>
      <w:r w:rsidRPr="00F643FE">
        <w:rPr>
          <w:color w:val="auto"/>
          <w:sz w:val="18"/>
          <w:szCs w:val="18"/>
        </w:rPr>
        <w:t xml:space="preserve">Source: </w:t>
      </w:r>
      <w:r w:rsidR="41D7CA77" w:rsidRPr="00F643FE">
        <w:rPr>
          <w:color w:val="auto"/>
          <w:sz w:val="18"/>
          <w:szCs w:val="18"/>
        </w:rPr>
        <w:t>Jobs and Skills Australia</w:t>
      </w:r>
      <w:r w:rsidRPr="00F643FE">
        <w:rPr>
          <w:color w:val="auto"/>
          <w:sz w:val="18"/>
          <w:szCs w:val="18"/>
        </w:rPr>
        <w:t>; Stakeholder submissions 2022</w:t>
      </w:r>
      <w:r w:rsidR="004754E6">
        <w:rPr>
          <w:color w:val="auto"/>
          <w:sz w:val="18"/>
          <w:szCs w:val="18"/>
        </w:rPr>
        <w:t>–</w:t>
      </w:r>
      <w:r w:rsidRPr="00F643FE">
        <w:rPr>
          <w:color w:val="auto"/>
          <w:sz w:val="18"/>
          <w:szCs w:val="18"/>
        </w:rPr>
        <w:t>23</w:t>
      </w:r>
      <w:r w:rsidR="00183CBD">
        <w:rPr>
          <w:color w:val="auto"/>
          <w:sz w:val="18"/>
          <w:szCs w:val="18"/>
        </w:rPr>
        <w:t>;</w:t>
      </w:r>
      <w:r w:rsidRPr="00F643FE">
        <w:rPr>
          <w:color w:val="auto"/>
          <w:sz w:val="18"/>
          <w:szCs w:val="18"/>
        </w:rPr>
        <w:t xml:space="preserve"> ABS,</w:t>
      </w:r>
      <w:r w:rsidR="00215C8C" w:rsidRPr="00F643FE">
        <w:rPr>
          <w:color w:val="auto"/>
          <w:sz w:val="18"/>
          <w:szCs w:val="18"/>
        </w:rPr>
        <w:t xml:space="preserve"> </w:t>
      </w:r>
      <w:r w:rsidR="00215C8C" w:rsidRPr="009E1823">
        <w:rPr>
          <w:i/>
          <w:iCs/>
          <w:color w:val="auto"/>
          <w:sz w:val="18"/>
          <w:szCs w:val="18"/>
        </w:rPr>
        <w:t>2021 Census of Population and Housing</w:t>
      </w:r>
      <w:r w:rsidR="004754E6">
        <w:rPr>
          <w:color w:val="auto"/>
          <w:sz w:val="18"/>
          <w:szCs w:val="18"/>
        </w:rPr>
        <w:t>.</w:t>
      </w:r>
    </w:p>
    <w:p w14:paraId="1D4B6BAB" w14:textId="77777777" w:rsidR="003B7DAC" w:rsidRDefault="003B7DAC" w:rsidP="00240C56">
      <w:pPr>
        <w:pStyle w:val="ListBullet"/>
        <w:numPr>
          <w:ilvl w:val="0"/>
          <w:numId w:val="0"/>
        </w:numPr>
        <w:sectPr w:rsidR="003B7DAC" w:rsidSect="000C3A13">
          <w:headerReference w:type="default" r:id="rId15"/>
          <w:pgSz w:w="16838" w:h="11906" w:orient="landscape"/>
          <w:pgMar w:top="1440" w:right="1418" w:bottom="1440" w:left="1440" w:header="0" w:footer="708" w:gutter="0"/>
          <w:pgNumType w:start="3"/>
          <w:cols w:space="708"/>
          <w:docGrid w:linePitch="360"/>
        </w:sectPr>
      </w:pPr>
    </w:p>
    <w:p w14:paraId="30737E60" w14:textId="55D37C79" w:rsidR="2D4BB3E7" w:rsidRDefault="2D4BB3E7" w:rsidP="5F022A79">
      <w:pPr>
        <w:pStyle w:val="ListBullet"/>
      </w:pPr>
      <w:r>
        <w:lastRenderedPageBreak/>
        <w:t>The group with the least coverage was Clerical and Administrative Workers (22</w:t>
      </w:r>
      <w:r w:rsidR="314A5098">
        <w:t>%</w:t>
      </w:r>
      <w:r>
        <w:t xml:space="preserve"> of occupations received feedback), followed by Sales Workers (29</w:t>
      </w:r>
      <w:r w:rsidR="2FA6CB7E">
        <w:t>%</w:t>
      </w:r>
      <w:r>
        <w:t>).</w:t>
      </w:r>
    </w:p>
    <w:p w14:paraId="55243BAA" w14:textId="497A36B0" w:rsidR="00E8019E" w:rsidRDefault="6C133E8A" w:rsidP="00E8019E">
      <w:pPr>
        <w:pStyle w:val="ListBullet"/>
      </w:pPr>
      <w:r>
        <w:t xml:space="preserve">Occupations found to be in shortage </w:t>
      </w:r>
      <w:r w:rsidR="00B92FAB">
        <w:t xml:space="preserve">in the 2023 SPL </w:t>
      </w:r>
      <w:r>
        <w:t xml:space="preserve">were </w:t>
      </w:r>
      <w:r w:rsidR="00990291">
        <w:t>more</w:t>
      </w:r>
      <w:r>
        <w:t xml:space="preserve"> likely to have received coverage in the 2023 stakeholder engagement.</w:t>
      </w:r>
    </w:p>
    <w:p w14:paraId="1134F929" w14:textId="2FC68FB5" w:rsidR="004754E6" w:rsidRDefault="6C133E8A" w:rsidP="00E8019E">
      <w:pPr>
        <w:pStyle w:val="ListBullet2"/>
      </w:pPr>
      <w:r>
        <w:t xml:space="preserve">This was particularly apparent for </w:t>
      </w:r>
      <w:r w:rsidRPr="001A38FA">
        <w:t>the</w:t>
      </w:r>
      <w:r>
        <w:t xml:space="preserve"> Labourers major group</w:t>
      </w:r>
      <w:r w:rsidR="00346C6F">
        <w:t>,</w:t>
      </w:r>
      <w:r>
        <w:t xml:space="preserve"> where 71</w:t>
      </w:r>
      <w:r w:rsidR="27C275A1">
        <w:t>%</w:t>
      </w:r>
      <w:r w:rsidR="0C5DD32E">
        <w:t xml:space="preserve"> </w:t>
      </w:r>
      <w:r>
        <w:t>of occupations in shortage received occupation assessments from stakeholders</w:t>
      </w:r>
      <w:r w:rsidR="00346C6F">
        <w:t xml:space="preserve">. </w:t>
      </w:r>
      <w:r w:rsidR="0073299E">
        <w:t>Whereas</w:t>
      </w:r>
      <w:r w:rsidR="00346C6F">
        <w:t xml:space="preserve"> </w:t>
      </w:r>
      <w:r>
        <w:t>only 16</w:t>
      </w:r>
      <w:r w:rsidR="27C275A1">
        <w:t>%</w:t>
      </w:r>
      <w:r w:rsidR="79294B81">
        <w:t xml:space="preserve"> </w:t>
      </w:r>
      <w:r>
        <w:t>of occupations not in shortage received assessments</w:t>
      </w:r>
      <w:r w:rsidR="004754E6">
        <w:t>.</w:t>
      </w:r>
    </w:p>
    <w:p w14:paraId="226D2751" w14:textId="77777777" w:rsidR="004754E6" w:rsidRDefault="68E5CD51" w:rsidP="00E8019E">
      <w:pPr>
        <w:pStyle w:val="ListBullet2"/>
      </w:pPr>
      <w:r>
        <w:t>A</w:t>
      </w:r>
      <w:r w:rsidR="6C133E8A">
        <w:t>ssessments were received for 88</w:t>
      </w:r>
      <w:r w:rsidR="27C275A1">
        <w:t>%</w:t>
      </w:r>
      <w:r w:rsidR="62C3EF89">
        <w:t xml:space="preserve"> </w:t>
      </w:r>
      <w:r w:rsidR="6C133E8A">
        <w:t>of occupations in shortage in the Managers major group, but only 38</w:t>
      </w:r>
      <w:r w:rsidR="274DC4E9">
        <w:t>%</w:t>
      </w:r>
      <w:r w:rsidR="00236CE4">
        <w:t xml:space="preserve"> </w:t>
      </w:r>
      <w:r w:rsidR="6C133E8A">
        <w:t>for occupations not in shortage</w:t>
      </w:r>
      <w:r w:rsidR="004754E6">
        <w:t>.</w:t>
      </w:r>
    </w:p>
    <w:p w14:paraId="5A04A640" w14:textId="22CB6769" w:rsidR="004754E6" w:rsidRDefault="6C133E8A" w:rsidP="00E8019E">
      <w:pPr>
        <w:pStyle w:val="ListBullet2"/>
      </w:pPr>
      <w:r>
        <w:t>In contrast the Sales Worker</w:t>
      </w:r>
      <w:r w:rsidR="0068600D">
        <w:t>s</w:t>
      </w:r>
      <w:r>
        <w:t xml:space="preserve"> major group received feedback for 29</w:t>
      </w:r>
      <w:r w:rsidR="274DC4E9">
        <w:t>%</w:t>
      </w:r>
      <w:r w:rsidR="4EBA7330">
        <w:t xml:space="preserve"> </w:t>
      </w:r>
      <w:r>
        <w:t>of occupations</w:t>
      </w:r>
      <w:r w:rsidR="00841322">
        <w:t xml:space="preserve">, but none were </w:t>
      </w:r>
      <w:r w:rsidR="00643F94">
        <w:t>in shortage in the 2023 SPL</w:t>
      </w:r>
      <w:r w:rsidR="004754E6">
        <w:t>.</w:t>
      </w:r>
    </w:p>
    <w:p w14:paraId="5CA8BA9C" w14:textId="12AD913D" w:rsidR="00A45FB6" w:rsidRPr="00240C56" w:rsidRDefault="63EF2313" w:rsidP="00693A53">
      <w:pPr>
        <w:pStyle w:val="Caption"/>
      </w:pPr>
      <w:r w:rsidRPr="00693A53">
        <w:t xml:space="preserve">Figure </w:t>
      </w:r>
      <w:r w:rsidRPr="00693A53">
        <w:fldChar w:fldCharType="begin"/>
      </w:r>
      <w:r w:rsidRPr="00693A53">
        <w:instrText>SEQ Figure \* ARABIC</w:instrText>
      </w:r>
      <w:r w:rsidRPr="00693A53">
        <w:fldChar w:fldCharType="separate"/>
      </w:r>
      <w:r w:rsidR="008E1B6B">
        <w:rPr>
          <w:noProof/>
        </w:rPr>
        <w:t>1</w:t>
      </w:r>
      <w:r w:rsidRPr="00693A53">
        <w:fldChar w:fldCharType="end"/>
      </w:r>
      <w:r w:rsidR="1F19BEC0" w:rsidRPr="00693A53">
        <w:t xml:space="preserve">: </w:t>
      </w:r>
      <w:r w:rsidR="0063009A">
        <w:t>Proportion</w:t>
      </w:r>
      <w:r w:rsidR="0063009A" w:rsidRPr="00693A53">
        <w:t xml:space="preserve"> </w:t>
      </w:r>
      <w:r w:rsidRPr="00693A53">
        <w:t>of submissions received, by shortage rating, by major group</w:t>
      </w:r>
    </w:p>
    <w:p w14:paraId="1F708B23" w14:textId="7C8E8DE0" w:rsidR="00026A5B" w:rsidRDefault="00353CD2" w:rsidP="00D23741">
      <w:pPr>
        <w:pStyle w:val="ListBullet"/>
        <w:numPr>
          <w:ilvl w:val="0"/>
          <w:numId w:val="0"/>
        </w:numPr>
        <w:rPr>
          <w:noProof/>
        </w:rPr>
      </w:pPr>
      <w:r>
        <w:rPr>
          <w:noProof/>
        </w:rPr>
        <w:drawing>
          <wp:inline distT="0" distB="0" distL="0" distR="0" wp14:anchorId="03E5C6EA" wp14:editId="05C417DC">
            <wp:extent cx="5904000" cy="2818800"/>
            <wp:effectExtent l="0" t="0" r="1905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64506A7-9FA7-FEC7-C8E3-D4022AC06A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1CA21E" w14:textId="1B45AA1C" w:rsidR="003017CD" w:rsidRPr="00F643FE" w:rsidRDefault="003017CD" w:rsidP="00D23741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color w:val="auto"/>
          <w:sz w:val="18"/>
          <w:szCs w:val="18"/>
        </w:rPr>
        <w:t xml:space="preserve">Source: </w:t>
      </w:r>
      <w:r w:rsidR="3DD9710D" w:rsidRPr="00F643FE">
        <w:rPr>
          <w:color w:val="auto"/>
          <w:sz w:val="18"/>
          <w:szCs w:val="18"/>
        </w:rPr>
        <w:t>Jobs and Skills Australia</w:t>
      </w:r>
      <w:r w:rsidR="00215C8C" w:rsidRPr="00F643FE">
        <w:rPr>
          <w:color w:val="auto"/>
          <w:sz w:val="18"/>
          <w:szCs w:val="18"/>
        </w:rPr>
        <w:t xml:space="preserve">, </w:t>
      </w:r>
      <w:r w:rsidRPr="00E01D2F">
        <w:rPr>
          <w:color w:val="auto"/>
          <w:sz w:val="18"/>
          <w:szCs w:val="18"/>
        </w:rPr>
        <w:t>Stakeholder submissions 2022</w:t>
      </w:r>
      <w:r w:rsidR="004754E6" w:rsidRPr="00E01D2F">
        <w:rPr>
          <w:color w:val="auto"/>
          <w:sz w:val="18"/>
          <w:szCs w:val="18"/>
        </w:rPr>
        <w:t>–</w:t>
      </w:r>
      <w:r w:rsidRPr="00E01D2F">
        <w:rPr>
          <w:color w:val="auto"/>
          <w:sz w:val="18"/>
          <w:szCs w:val="18"/>
        </w:rPr>
        <w:t>23</w:t>
      </w:r>
      <w:r w:rsidRPr="00F643FE">
        <w:rPr>
          <w:color w:val="auto"/>
          <w:sz w:val="18"/>
          <w:szCs w:val="18"/>
        </w:rPr>
        <w:t xml:space="preserve">, </w:t>
      </w:r>
      <w:r w:rsidRPr="009E1823">
        <w:rPr>
          <w:i/>
          <w:iCs/>
          <w:color w:val="auto"/>
          <w:sz w:val="18"/>
          <w:szCs w:val="18"/>
        </w:rPr>
        <w:t>Skills Priority List</w:t>
      </w:r>
      <w:r w:rsidR="009E1823" w:rsidRPr="009E1823">
        <w:rPr>
          <w:color w:val="auto"/>
          <w:sz w:val="18"/>
          <w:szCs w:val="18"/>
        </w:rPr>
        <w:t>,</w:t>
      </w:r>
      <w:r w:rsidRPr="009E1823">
        <w:rPr>
          <w:color w:val="auto"/>
          <w:sz w:val="18"/>
          <w:szCs w:val="18"/>
        </w:rPr>
        <w:t xml:space="preserve"> 2023</w:t>
      </w:r>
      <w:r w:rsidR="004754E6">
        <w:rPr>
          <w:color w:val="auto"/>
          <w:sz w:val="18"/>
          <w:szCs w:val="18"/>
        </w:rPr>
        <w:t>.</w:t>
      </w:r>
    </w:p>
    <w:p w14:paraId="0E3655C7" w14:textId="77777777" w:rsidR="00240C56" w:rsidRDefault="00240C56">
      <w:pPr>
        <w:rPr>
          <w:rFonts w:eastAsiaTheme="majorEastAsia" w:cstheme="majorBidi"/>
          <w:sz w:val="28"/>
          <w:szCs w:val="26"/>
        </w:rPr>
      </w:pPr>
      <w:r>
        <w:br w:type="page"/>
      </w:r>
    </w:p>
    <w:p w14:paraId="44112F83" w14:textId="6400CFF2" w:rsidR="00E8019E" w:rsidRPr="007F743C" w:rsidRDefault="00E8019E" w:rsidP="00595DDB">
      <w:pPr>
        <w:pStyle w:val="Heading1"/>
      </w:pPr>
      <w:r w:rsidRPr="007F743C">
        <w:lastRenderedPageBreak/>
        <w:t xml:space="preserve">Submission quality </w:t>
      </w:r>
    </w:p>
    <w:p w14:paraId="415C170C" w14:textId="4BBB7B6B" w:rsidR="004754E6" w:rsidRDefault="6C133E8A" w:rsidP="00E8019E">
      <w:pPr>
        <w:pStyle w:val="ListBullet"/>
      </w:pPr>
      <w:r>
        <w:t xml:space="preserve">The quality and depth of evidence provided in these submissions varied. </w:t>
      </w:r>
      <w:r w:rsidR="7A4B87D1">
        <w:t xml:space="preserve">About three in five </w:t>
      </w:r>
      <w:r>
        <w:t>(59</w:t>
      </w:r>
      <w:r w:rsidR="37324B25">
        <w:t>%</w:t>
      </w:r>
      <w:r>
        <w:t xml:space="preserve">) of the submissions that met the minimum evidence standards were </w:t>
      </w:r>
      <w:r w:rsidR="00314199">
        <w:t xml:space="preserve">of </w:t>
      </w:r>
      <w:r>
        <w:t>high quality</w:t>
      </w:r>
      <w:r w:rsidR="577E01EE">
        <w:t xml:space="preserve">. </w:t>
      </w:r>
      <w:r w:rsidR="48383FEA">
        <w:t>In these cases</w:t>
      </w:r>
      <w:r w:rsidR="0068600D">
        <w:t>,</w:t>
      </w:r>
      <w:r w:rsidR="577E01EE">
        <w:t xml:space="preserve"> </w:t>
      </w:r>
      <w:r>
        <w:t>stakeholders made a compelling case, which was then verified with other available information</w:t>
      </w:r>
      <w:r w:rsidR="004754E6">
        <w:t>.</w:t>
      </w:r>
    </w:p>
    <w:p w14:paraId="5CD8DCAA" w14:textId="7CF1C187" w:rsidR="00A45FB6" w:rsidRPr="00240C56" w:rsidRDefault="64992C61" w:rsidP="00693A53">
      <w:pPr>
        <w:pStyle w:val="Caption"/>
      </w:pPr>
      <w:r>
        <w:t xml:space="preserve">Table </w:t>
      </w:r>
      <w:r w:rsidR="63EF2313">
        <w:fldChar w:fldCharType="begin"/>
      </w:r>
      <w:r w:rsidR="63EF2313">
        <w:instrText>SEQ Table \* ARABIC</w:instrText>
      </w:r>
      <w:r w:rsidR="63EF2313">
        <w:fldChar w:fldCharType="separate"/>
      </w:r>
      <w:r w:rsidR="008E1B6B">
        <w:rPr>
          <w:noProof/>
        </w:rPr>
        <w:t>4</w:t>
      </w:r>
      <w:r w:rsidR="63EF2313">
        <w:fldChar w:fldCharType="end"/>
      </w:r>
      <w:r w:rsidR="789B5E5F">
        <w:t xml:space="preserve">: </w:t>
      </w:r>
      <w:r>
        <w:t>Quality of evidence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011"/>
        <w:gridCol w:w="1586"/>
        <w:gridCol w:w="1586"/>
      </w:tblGrid>
      <w:tr w:rsidR="00A45FB6" w:rsidRPr="000E4E9B" w14:paraId="5BAE629D" w14:textId="77777777" w:rsidTr="00240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vAlign w:val="center"/>
          </w:tcPr>
          <w:p w14:paraId="1DBDDEB3" w14:textId="0A6E6679" w:rsidR="00A45FB6" w:rsidRPr="00240C56" w:rsidRDefault="00A45FB6" w:rsidP="000E4E9B">
            <w:pPr>
              <w:rPr>
                <w:b w:val="0"/>
                <w:bCs/>
                <w:color w:val="FFFFFF" w:themeColor="background1"/>
                <w:lang w:val="en-US"/>
              </w:rPr>
            </w:pPr>
            <w:r w:rsidRPr="00240C56">
              <w:rPr>
                <w:bCs/>
                <w:color w:val="FFFFFF" w:themeColor="background1"/>
                <w:lang w:val="en-US"/>
              </w:rPr>
              <w:t xml:space="preserve">Submission </w:t>
            </w:r>
            <w:r w:rsidR="00E3575E">
              <w:rPr>
                <w:bCs/>
                <w:color w:val="FFFFFF" w:themeColor="background1"/>
                <w:lang w:val="en-US"/>
              </w:rPr>
              <w:br/>
            </w:r>
            <w:r w:rsidRPr="00240C56">
              <w:rPr>
                <w:bCs/>
                <w:color w:val="FFFFFF" w:themeColor="background1"/>
                <w:lang w:val="en-US"/>
              </w:rPr>
              <w:t>rating</w:t>
            </w:r>
          </w:p>
        </w:tc>
        <w:tc>
          <w:tcPr>
            <w:tcW w:w="4011" w:type="dxa"/>
            <w:vAlign w:val="center"/>
          </w:tcPr>
          <w:p w14:paraId="412128B3" w14:textId="43C4595B" w:rsidR="00A45FB6" w:rsidRPr="00240C56" w:rsidRDefault="00A45FB6" w:rsidP="000E4E9B">
            <w:pPr>
              <w:rPr>
                <w:bCs/>
                <w:color w:val="FFFFFF" w:themeColor="background1"/>
                <w:lang w:val="en-US"/>
              </w:rPr>
            </w:pPr>
            <w:r w:rsidRPr="00240C56">
              <w:rPr>
                <w:bCs/>
                <w:color w:val="FFFFFF" w:themeColor="background1"/>
                <w:lang w:val="en-US"/>
              </w:rPr>
              <w:t>Quality description</w:t>
            </w:r>
          </w:p>
        </w:tc>
        <w:tc>
          <w:tcPr>
            <w:tcW w:w="0" w:type="auto"/>
            <w:vAlign w:val="center"/>
          </w:tcPr>
          <w:p w14:paraId="18154DC6" w14:textId="78E9CE6F" w:rsidR="00A45FB6" w:rsidRPr="00240C56" w:rsidRDefault="00A45FB6" w:rsidP="000E4E9B">
            <w:pPr>
              <w:rPr>
                <w:b w:val="0"/>
                <w:bCs/>
                <w:color w:val="FFFFFF" w:themeColor="background1"/>
                <w:lang w:val="en-US"/>
              </w:rPr>
            </w:pPr>
            <w:r w:rsidRPr="00240C56">
              <w:rPr>
                <w:bCs/>
                <w:color w:val="FFFFFF" w:themeColor="background1"/>
                <w:lang w:val="en-US"/>
              </w:rPr>
              <w:t xml:space="preserve">Submissions </w:t>
            </w:r>
            <w:r w:rsidR="00E3575E">
              <w:rPr>
                <w:bCs/>
                <w:color w:val="FFFFFF" w:themeColor="background1"/>
                <w:lang w:val="en-US"/>
              </w:rPr>
              <w:br/>
            </w:r>
            <w:r w:rsidRPr="00240C56">
              <w:rPr>
                <w:bCs/>
                <w:color w:val="FFFFFF" w:themeColor="background1"/>
                <w:lang w:val="en-US"/>
              </w:rPr>
              <w:t>(</w:t>
            </w:r>
            <w:r w:rsidRPr="00240C56">
              <w:rPr>
                <w:bCs/>
                <w:i/>
                <w:iCs/>
                <w:color w:val="FFFFFF" w:themeColor="background1"/>
                <w:lang w:val="en-US"/>
              </w:rPr>
              <w:t>n</w:t>
            </w:r>
            <w:r w:rsidRPr="00240C56">
              <w:rPr>
                <w:bCs/>
                <w:color w:val="FFFFFF" w:themeColor="background1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0455691E" w14:textId="5EAEA858" w:rsidR="00A45FB6" w:rsidRPr="00240C56" w:rsidRDefault="00A45FB6" w:rsidP="000E4E9B">
            <w:pPr>
              <w:rPr>
                <w:b w:val="0"/>
                <w:bCs/>
                <w:color w:val="FFFFFF" w:themeColor="background1"/>
                <w:lang w:val="en-US"/>
              </w:rPr>
            </w:pPr>
            <w:r w:rsidRPr="00240C56">
              <w:rPr>
                <w:bCs/>
                <w:color w:val="FFFFFF" w:themeColor="background1"/>
                <w:lang w:val="en-US"/>
              </w:rPr>
              <w:t xml:space="preserve">Submissions </w:t>
            </w:r>
            <w:r w:rsidR="00E3575E">
              <w:rPr>
                <w:bCs/>
                <w:color w:val="FFFFFF" w:themeColor="background1"/>
                <w:lang w:val="en-US"/>
              </w:rPr>
              <w:br/>
            </w:r>
            <w:r w:rsidRPr="00240C56">
              <w:rPr>
                <w:bCs/>
                <w:color w:val="FFFFFF" w:themeColor="background1"/>
                <w:lang w:val="en-US"/>
              </w:rPr>
              <w:t>(%)</w:t>
            </w:r>
          </w:p>
        </w:tc>
      </w:tr>
      <w:tr w:rsidR="00A45FB6" w:rsidRPr="000E4E9B" w14:paraId="1D0F756D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43" w:type="dxa"/>
            <w:vAlign w:val="center"/>
          </w:tcPr>
          <w:p w14:paraId="4C09FC26" w14:textId="1F836787" w:rsidR="00A45FB6" w:rsidRPr="00240C56" w:rsidRDefault="00A45FB6" w:rsidP="000E4E9B">
            <w:pPr>
              <w:rPr>
                <w:lang w:val="en-US"/>
              </w:rPr>
            </w:pPr>
            <w:r w:rsidRPr="00240C56">
              <w:rPr>
                <w:lang w:val="en-US"/>
              </w:rPr>
              <w:t xml:space="preserve">High quality </w:t>
            </w:r>
          </w:p>
        </w:tc>
        <w:tc>
          <w:tcPr>
            <w:tcW w:w="4011" w:type="dxa"/>
            <w:vAlign w:val="center"/>
          </w:tcPr>
          <w:p w14:paraId="5381A55E" w14:textId="1DD6A817" w:rsidR="00A45FB6" w:rsidRPr="00240C56" w:rsidRDefault="007E716D" w:rsidP="000E4E9B">
            <w:pPr>
              <w:rPr>
                <w:lang w:val="en-US"/>
              </w:rPr>
            </w:pPr>
            <w:r w:rsidRPr="00240C56">
              <w:rPr>
                <w:lang w:val="en-US"/>
              </w:rPr>
              <w:t>Evidence should be considered and weighed in conjunction with other available information.</w:t>
            </w:r>
          </w:p>
        </w:tc>
        <w:tc>
          <w:tcPr>
            <w:tcW w:w="0" w:type="auto"/>
            <w:vAlign w:val="center"/>
          </w:tcPr>
          <w:p w14:paraId="361B12D9" w14:textId="30234102" w:rsidR="00A45FB6" w:rsidRPr="00240C56" w:rsidRDefault="00A45FB6" w:rsidP="000E4E9B">
            <w:pPr>
              <w:jc w:val="right"/>
              <w:rPr>
                <w:lang w:val="en-US"/>
              </w:rPr>
            </w:pPr>
            <w:r w:rsidRPr="00240C56">
              <w:rPr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14:paraId="47AEEEE4" w14:textId="77777777" w:rsidR="00A45FB6" w:rsidRPr="00240C56" w:rsidRDefault="00A45FB6" w:rsidP="000E4E9B">
            <w:pPr>
              <w:jc w:val="right"/>
              <w:rPr>
                <w:lang w:val="en-US"/>
              </w:rPr>
            </w:pPr>
            <w:r w:rsidRPr="00240C56">
              <w:rPr>
                <w:lang w:val="en-US"/>
              </w:rPr>
              <w:t>59%</w:t>
            </w:r>
          </w:p>
        </w:tc>
      </w:tr>
      <w:tr w:rsidR="00A45FB6" w:rsidRPr="000E4E9B" w14:paraId="773A3D57" w14:textId="77777777" w:rsidTr="00240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1843" w:type="dxa"/>
            <w:vAlign w:val="center"/>
          </w:tcPr>
          <w:p w14:paraId="75188CD8" w14:textId="21EAE0F9" w:rsidR="00A45FB6" w:rsidRPr="00240C56" w:rsidRDefault="007E716D" w:rsidP="000E4E9B">
            <w:pPr>
              <w:rPr>
                <w:lang w:val="en-US"/>
              </w:rPr>
            </w:pPr>
            <w:r w:rsidRPr="00240C56">
              <w:rPr>
                <w:lang w:val="en-US"/>
              </w:rPr>
              <w:t>Moderate</w:t>
            </w:r>
            <w:r w:rsidR="00A45FB6" w:rsidRPr="00240C56">
              <w:rPr>
                <w:lang w:val="en-US"/>
              </w:rPr>
              <w:t xml:space="preserve"> quality</w:t>
            </w:r>
          </w:p>
        </w:tc>
        <w:tc>
          <w:tcPr>
            <w:tcW w:w="4011" w:type="dxa"/>
            <w:vAlign w:val="center"/>
          </w:tcPr>
          <w:p w14:paraId="596F74C8" w14:textId="68B5B466" w:rsidR="00A45FB6" w:rsidRPr="00240C56" w:rsidRDefault="007E716D" w:rsidP="000E4E9B">
            <w:pPr>
              <w:rPr>
                <w:lang w:val="en-US"/>
              </w:rPr>
            </w:pPr>
            <w:r w:rsidRPr="00240C56">
              <w:rPr>
                <w:lang w:val="en-US"/>
              </w:rPr>
              <w:t>Evidence is considered, but more weight should be given to the model and other information for assessment.</w:t>
            </w:r>
          </w:p>
        </w:tc>
        <w:tc>
          <w:tcPr>
            <w:tcW w:w="0" w:type="auto"/>
            <w:vAlign w:val="center"/>
          </w:tcPr>
          <w:p w14:paraId="49E027CA" w14:textId="2FB1F778" w:rsidR="00A45FB6" w:rsidRPr="00240C56" w:rsidRDefault="00A45FB6" w:rsidP="000E4E9B">
            <w:pPr>
              <w:jc w:val="right"/>
              <w:rPr>
                <w:lang w:val="en-US"/>
              </w:rPr>
            </w:pPr>
            <w:r w:rsidRPr="00240C56">
              <w:rPr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14:paraId="37634AD2" w14:textId="77777777" w:rsidR="00A45FB6" w:rsidRPr="00240C56" w:rsidRDefault="00A45FB6" w:rsidP="000E4E9B">
            <w:pPr>
              <w:jc w:val="right"/>
              <w:rPr>
                <w:lang w:val="en-US"/>
              </w:rPr>
            </w:pPr>
            <w:r w:rsidRPr="00240C56">
              <w:rPr>
                <w:lang w:val="en-US"/>
              </w:rPr>
              <w:t>41%</w:t>
            </w:r>
          </w:p>
        </w:tc>
      </w:tr>
      <w:tr w:rsidR="00A45FB6" w:rsidRPr="000E4E9B" w14:paraId="2C0008EB" w14:textId="77777777" w:rsidTr="00240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vAlign w:val="center"/>
          </w:tcPr>
          <w:p w14:paraId="105037C2" w14:textId="77777777" w:rsidR="00A45FB6" w:rsidRPr="00240C56" w:rsidRDefault="00A45FB6" w:rsidP="000E4E9B">
            <w:pPr>
              <w:rPr>
                <w:b/>
                <w:bCs/>
                <w:lang w:val="en-US"/>
              </w:rPr>
            </w:pPr>
            <w:r w:rsidRPr="00240C56">
              <w:rPr>
                <w:b/>
                <w:bCs/>
                <w:lang w:val="en-US"/>
              </w:rPr>
              <w:t>Total</w:t>
            </w:r>
          </w:p>
        </w:tc>
        <w:tc>
          <w:tcPr>
            <w:tcW w:w="4011" w:type="dxa"/>
            <w:vAlign w:val="center"/>
          </w:tcPr>
          <w:p w14:paraId="6661455F" w14:textId="77777777" w:rsidR="00A45FB6" w:rsidRPr="00240C56" w:rsidRDefault="00A45FB6" w:rsidP="000E4E9B">
            <w:pPr>
              <w:tabs>
                <w:tab w:val="center" w:pos="1394"/>
              </w:tabs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77B868" w14:textId="23E013B8" w:rsidR="00A45FB6" w:rsidRPr="00240C56" w:rsidRDefault="00A45FB6" w:rsidP="000E4E9B">
            <w:pPr>
              <w:tabs>
                <w:tab w:val="center" w:pos="1394"/>
              </w:tabs>
              <w:jc w:val="right"/>
              <w:rPr>
                <w:b/>
                <w:bCs/>
                <w:lang w:val="en-US"/>
              </w:rPr>
            </w:pPr>
            <w:r w:rsidRPr="00240C56">
              <w:rPr>
                <w:b/>
                <w:bCs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3BEA710E" w14:textId="77777777" w:rsidR="00A45FB6" w:rsidRPr="00240C56" w:rsidRDefault="00A45FB6" w:rsidP="000E4E9B">
            <w:pPr>
              <w:jc w:val="right"/>
              <w:rPr>
                <w:b/>
                <w:bCs/>
                <w:lang w:val="en-US"/>
              </w:rPr>
            </w:pPr>
            <w:r w:rsidRPr="00240C56">
              <w:rPr>
                <w:b/>
                <w:bCs/>
                <w:lang w:val="en-US"/>
              </w:rPr>
              <w:t>100%</w:t>
            </w:r>
          </w:p>
        </w:tc>
      </w:tr>
    </w:tbl>
    <w:p w14:paraId="4FAC16E0" w14:textId="465B0491" w:rsidR="003017CD" w:rsidRPr="00F643FE" w:rsidRDefault="003017CD" w:rsidP="003017CD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color w:val="auto"/>
          <w:sz w:val="18"/>
          <w:szCs w:val="18"/>
        </w:rPr>
        <w:t xml:space="preserve">Source: </w:t>
      </w:r>
      <w:r w:rsidR="2FAC6B8F" w:rsidRPr="00F643FE">
        <w:rPr>
          <w:color w:val="auto"/>
          <w:sz w:val="18"/>
          <w:szCs w:val="18"/>
        </w:rPr>
        <w:t>Jobs and Skills Australia</w:t>
      </w:r>
      <w:r w:rsidRPr="00F643FE">
        <w:rPr>
          <w:color w:val="auto"/>
          <w:sz w:val="18"/>
          <w:szCs w:val="18"/>
        </w:rPr>
        <w:t>, Stakeholder submissions data 2022</w:t>
      </w:r>
      <w:r w:rsidR="004754E6">
        <w:rPr>
          <w:color w:val="auto"/>
          <w:sz w:val="18"/>
          <w:szCs w:val="18"/>
        </w:rPr>
        <w:t>–</w:t>
      </w:r>
      <w:r w:rsidRPr="00F643FE">
        <w:rPr>
          <w:color w:val="auto"/>
          <w:sz w:val="18"/>
          <w:szCs w:val="18"/>
        </w:rPr>
        <w:t>23</w:t>
      </w:r>
      <w:r w:rsidR="004754E6">
        <w:rPr>
          <w:color w:val="auto"/>
          <w:sz w:val="18"/>
          <w:szCs w:val="18"/>
        </w:rPr>
        <w:t>.</w:t>
      </w:r>
    </w:p>
    <w:p w14:paraId="1862E941" w14:textId="77777777" w:rsidR="00E8019E" w:rsidRDefault="00E8019E" w:rsidP="00E8019E"/>
    <w:p w14:paraId="259B19D6" w14:textId="5F5CB636" w:rsidR="00E8019E" w:rsidRPr="00765E76" w:rsidRDefault="00E8019E" w:rsidP="00A0474E">
      <w:pPr>
        <w:pStyle w:val="Heading1"/>
        <w:rPr>
          <w:bCs/>
        </w:rPr>
      </w:pPr>
      <w:r>
        <w:t>Submission data highlights</w:t>
      </w:r>
    </w:p>
    <w:p w14:paraId="4A3AFB90" w14:textId="3DD61913" w:rsidR="00E8019E" w:rsidRDefault="6C133E8A" w:rsidP="00E8019E">
      <w:pPr>
        <w:pStyle w:val="ListBullet"/>
      </w:pPr>
      <w:r>
        <w:t>The vast majority (92</w:t>
      </w:r>
      <w:r w:rsidR="4CFBDE91">
        <w:t>%</w:t>
      </w:r>
      <w:r>
        <w:t xml:space="preserve">) of </w:t>
      </w:r>
      <w:r w:rsidR="1D0E4013">
        <w:t xml:space="preserve">submissions </w:t>
      </w:r>
      <w:r>
        <w:t>recommended shortage ratings</w:t>
      </w:r>
      <w:r w:rsidR="63A768F4">
        <w:t xml:space="preserve"> for occupations listed in the submissions</w:t>
      </w:r>
      <w:r w:rsidR="6E4FA517">
        <w:t xml:space="preserve"> (Figure 2). This was</w:t>
      </w:r>
      <w:r w:rsidR="08969C1B">
        <w:t xml:space="preserve"> up from 2022</w:t>
      </w:r>
      <w:r w:rsidR="00B4667A">
        <w:t xml:space="preserve"> stakeholder survey submissions</w:t>
      </w:r>
      <w:r w:rsidR="08969C1B">
        <w:t>, where 88</w:t>
      </w:r>
      <w:r w:rsidR="4CFBDE91">
        <w:t>%</w:t>
      </w:r>
      <w:r w:rsidR="08969C1B">
        <w:t xml:space="preserve"> recommended shortage ratings</w:t>
      </w:r>
      <w:r>
        <w:t>.</w:t>
      </w:r>
    </w:p>
    <w:p w14:paraId="53D18E77" w14:textId="017EC3A7" w:rsidR="00E8019E" w:rsidRDefault="6C133E8A" w:rsidP="00E8019E">
      <w:pPr>
        <w:pStyle w:val="ListBullet2"/>
      </w:pPr>
      <w:r>
        <w:t>This was highest for the Managers (98</w:t>
      </w:r>
      <w:r w:rsidR="4CFBDE91">
        <w:t>%</w:t>
      </w:r>
      <w:r>
        <w:t>), Machinery Operators and Drivers (96</w:t>
      </w:r>
      <w:r w:rsidR="4CFBDE91">
        <w:t>%</w:t>
      </w:r>
      <w:r>
        <w:t>) and Technicians and Trades Workers (94</w:t>
      </w:r>
      <w:r w:rsidR="138D842F">
        <w:t>%</w:t>
      </w:r>
      <w:r>
        <w:t>) occupation groups.</w:t>
      </w:r>
    </w:p>
    <w:p w14:paraId="7B9EA8EC" w14:textId="26460798" w:rsidR="00E8019E" w:rsidRDefault="6C133E8A" w:rsidP="5F022A79">
      <w:pPr>
        <w:pStyle w:val="ListBullet2"/>
      </w:pPr>
      <w:r>
        <w:t>Only the Clerical and Administrative Workers (70</w:t>
      </w:r>
      <w:r w:rsidR="138D842F">
        <w:t>%</w:t>
      </w:r>
      <w:r>
        <w:t>) and Community and Personal Service Workers (85</w:t>
      </w:r>
      <w:r w:rsidR="138D842F">
        <w:t>%</w:t>
      </w:r>
      <w:r>
        <w:t>) groups had fewer than 90</w:t>
      </w:r>
      <w:r w:rsidR="6E2EA96C">
        <w:t>%</w:t>
      </w:r>
      <w:r>
        <w:t xml:space="preserve"> of occupation assessments recommending a shortage rating.</w:t>
      </w:r>
      <w:r w:rsidR="00E8019E">
        <w:br/>
      </w:r>
    </w:p>
    <w:p w14:paraId="31EB6837" w14:textId="701526E7" w:rsidR="00E8019E" w:rsidRPr="00240C56" w:rsidRDefault="34F868E8" w:rsidP="00693A53">
      <w:pPr>
        <w:pStyle w:val="Caption"/>
      </w:pPr>
      <w:r w:rsidRPr="00693A53">
        <w:lastRenderedPageBreak/>
        <w:t xml:space="preserve">Figure </w:t>
      </w:r>
      <w:r w:rsidRPr="00693A53">
        <w:fldChar w:fldCharType="begin"/>
      </w:r>
      <w:r w:rsidRPr="00693A53">
        <w:instrText>SEQ Figure \* ARABIC</w:instrText>
      </w:r>
      <w:r w:rsidRPr="00693A53">
        <w:fldChar w:fldCharType="separate"/>
      </w:r>
      <w:r w:rsidR="008E1B6B">
        <w:rPr>
          <w:noProof/>
        </w:rPr>
        <w:t>2</w:t>
      </w:r>
      <w:r w:rsidRPr="00693A53">
        <w:fldChar w:fldCharType="end"/>
      </w:r>
      <w:r w:rsidR="00240C56">
        <w:t>:</w:t>
      </w:r>
      <w:r w:rsidRPr="00693A53">
        <w:t xml:space="preserve"> Proportion of occupation assessments which identify a shortage, by occupation group</w:t>
      </w:r>
    </w:p>
    <w:p w14:paraId="0A2F57C8" w14:textId="25A44878" w:rsidR="00215C8C" w:rsidRPr="003017CD" w:rsidRDefault="0051032A" w:rsidP="00215C8C">
      <w:pPr>
        <w:pStyle w:val="ListBullet"/>
        <w:numPr>
          <w:ilvl w:val="0"/>
          <w:numId w:val="0"/>
        </w:numPr>
        <w:rPr>
          <w:i/>
          <w:iCs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69725DB" wp14:editId="158AE351">
            <wp:extent cx="5886450" cy="2819400"/>
            <wp:effectExtent l="0" t="0" r="0" b="0"/>
            <wp:docPr id="2" name="Chart 2" descr="Proportion of stakeholder submissions suggesting shortages by major occupation group. The vast majority of submissions suggested shortages rather than no shortage.">
              <a:extLst xmlns:a="http://schemas.openxmlformats.org/drawingml/2006/main">
                <a:ext uri="{FF2B5EF4-FFF2-40B4-BE49-F238E27FC236}">
                  <a16:creationId xmlns:a16="http://schemas.microsoft.com/office/drawing/2014/main" id="{40056C30-951F-4AA3-804C-9550F5642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15C8C">
        <w:rPr>
          <w:lang w:val="en-US"/>
        </w:rPr>
        <w:br/>
      </w:r>
      <w:r w:rsidR="00215C8C" w:rsidRPr="00F643FE">
        <w:rPr>
          <w:color w:val="auto"/>
          <w:sz w:val="18"/>
          <w:szCs w:val="18"/>
        </w:rPr>
        <w:t xml:space="preserve">Source: </w:t>
      </w:r>
      <w:r w:rsidR="3DAA1E9C" w:rsidRPr="00F643FE">
        <w:rPr>
          <w:color w:val="auto"/>
          <w:sz w:val="18"/>
          <w:szCs w:val="18"/>
        </w:rPr>
        <w:t>Jobs and Skills Australia</w:t>
      </w:r>
      <w:r w:rsidR="00215C8C" w:rsidRPr="00F643FE">
        <w:rPr>
          <w:color w:val="auto"/>
          <w:sz w:val="18"/>
          <w:szCs w:val="18"/>
        </w:rPr>
        <w:t>, Stakeholder submissions data 2022</w:t>
      </w:r>
      <w:r w:rsidR="004754E6">
        <w:rPr>
          <w:color w:val="auto"/>
          <w:sz w:val="18"/>
          <w:szCs w:val="18"/>
        </w:rPr>
        <w:t>–</w:t>
      </w:r>
      <w:r w:rsidR="00215C8C" w:rsidRPr="00F643FE">
        <w:rPr>
          <w:color w:val="auto"/>
          <w:sz w:val="18"/>
          <w:szCs w:val="18"/>
        </w:rPr>
        <w:t>23</w:t>
      </w:r>
      <w:r w:rsidR="005B7C7B" w:rsidRPr="00F643FE">
        <w:rPr>
          <w:color w:val="auto"/>
          <w:sz w:val="18"/>
          <w:szCs w:val="18"/>
        </w:rPr>
        <w:t>,</w:t>
      </w:r>
      <w:r w:rsidRPr="00F643FE">
        <w:rPr>
          <w:color w:val="auto"/>
          <w:sz w:val="18"/>
          <w:szCs w:val="18"/>
        </w:rPr>
        <w:t xml:space="preserve"> </w:t>
      </w:r>
      <w:r w:rsidR="00E01D2F" w:rsidRPr="001E38B1">
        <w:rPr>
          <w:i/>
          <w:iCs/>
          <w:color w:val="auto"/>
          <w:sz w:val="18"/>
          <w:szCs w:val="18"/>
        </w:rPr>
        <w:t>Skills Priority List</w:t>
      </w:r>
      <w:r w:rsidR="0051546D" w:rsidRPr="009E1823">
        <w:rPr>
          <w:color w:val="auto"/>
          <w:sz w:val="18"/>
          <w:szCs w:val="18"/>
        </w:rPr>
        <w:t>,</w:t>
      </w:r>
      <w:r w:rsidR="00E01D2F" w:rsidRPr="009E1823">
        <w:rPr>
          <w:color w:val="auto"/>
          <w:sz w:val="18"/>
          <w:szCs w:val="18"/>
        </w:rPr>
        <w:t xml:space="preserve"> 2023</w:t>
      </w:r>
      <w:r w:rsidR="00E01D2F">
        <w:rPr>
          <w:i/>
          <w:iCs/>
          <w:color w:val="auto"/>
          <w:sz w:val="18"/>
          <w:szCs w:val="18"/>
        </w:rPr>
        <w:t>.</w:t>
      </w:r>
    </w:p>
    <w:p w14:paraId="285AF2C8" w14:textId="5A39547D" w:rsidR="00E8019E" w:rsidRDefault="009071A3" w:rsidP="00E8019E">
      <w:pPr>
        <w:pStyle w:val="ListBullet"/>
      </w:pPr>
      <w:r>
        <w:t>For occupations covered in the submissions 61</w:t>
      </w:r>
      <w:r w:rsidR="6E2EA96C">
        <w:t>%</w:t>
      </w:r>
      <w:r>
        <w:t xml:space="preserve"> of s</w:t>
      </w:r>
      <w:r w:rsidR="6C133E8A">
        <w:t xml:space="preserve">takeholders advised of national shortage, </w:t>
      </w:r>
      <w:r>
        <w:t>31</w:t>
      </w:r>
      <w:r w:rsidR="01C7860A">
        <w:t>%</w:t>
      </w:r>
      <w:r>
        <w:t xml:space="preserve"> </w:t>
      </w:r>
      <w:r w:rsidR="00AC1102">
        <w:t xml:space="preserve">indicated </w:t>
      </w:r>
      <w:r w:rsidR="6C133E8A">
        <w:t xml:space="preserve">shortage in a specific location and </w:t>
      </w:r>
      <w:r w:rsidR="006B1478">
        <w:t>8</w:t>
      </w:r>
      <w:r w:rsidR="01C7860A">
        <w:t>%</w:t>
      </w:r>
      <w:r w:rsidR="006B1478">
        <w:t xml:space="preserve"> </w:t>
      </w:r>
      <w:r w:rsidR="00C7524E">
        <w:t xml:space="preserve">suggested </w:t>
      </w:r>
      <w:r w:rsidR="6C133E8A">
        <w:t xml:space="preserve">no shortage </w:t>
      </w:r>
      <w:r w:rsidR="607FDB73">
        <w:t>(Figure 3).</w:t>
      </w:r>
    </w:p>
    <w:p w14:paraId="141D0A26" w14:textId="77777777" w:rsidR="004754E6" w:rsidRDefault="6C133E8A" w:rsidP="00E8019E">
      <w:pPr>
        <w:pStyle w:val="ListBullet2"/>
      </w:pPr>
      <w:r>
        <w:t>Submissions for the Sales Workers and Managers groups had the strongest national shortage recommendations with 82 and 81</w:t>
      </w:r>
      <w:r w:rsidR="6B8F60CF">
        <w:t>%</w:t>
      </w:r>
      <w:r>
        <w:t>, respectively</w:t>
      </w:r>
      <w:r w:rsidR="004754E6">
        <w:t>.</w:t>
      </w:r>
    </w:p>
    <w:p w14:paraId="5FA507CA" w14:textId="77777777" w:rsidR="004754E6" w:rsidRDefault="6C133E8A" w:rsidP="00E8019E">
      <w:pPr>
        <w:pStyle w:val="ListBullet2"/>
      </w:pPr>
      <w:r>
        <w:t xml:space="preserve">Submissions for the Clerical and Administrative Workers group recommended </w:t>
      </w:r>
      <w:r w:rsidR="004235D1">
        <w:t xml:space="preserve">a greater percentage of </w:t>
      </w:r>
      <w:r>
        <w:t>shortages in specific locations (40</w:t>
      </w:r>
      <w:r w:rsidR="6B8F60CF">
        <w:t>%</w:t>
      </w:r>
      <w:r w:rsidR="2CF48A49">
        <w:t xml:space="preserve">) </w:t>
      </w:r>
      <w:r w:rsidR="006F3EA3">
        <w:t xml:space="preserve">than </w:t>
      </w:r>
      <w:r>
        <w:t>national shortage (30</w:t>
      </w:r>
      <w:r w:rsidR="6B8F60CF">
        <w:t>%</w:t>
      </w:r>
      <w:r>
        <w:t>). Clerical and Administrative Workers group also had the strongest no shortage recommendations with 30</w:t>
      </w:r>
      <w:r w:rsidR="24337409">
        <w:t>%</w:t>
      </w:r>
      <w:r w:rsidR="2DE34FCB">
        <w:t xml:space="preserve"> </w:t>
      </w:r>
      <w:r>
        <w:t>of submissions</w:t>
      </w:r>
      <w:r w:rsidR="004754E6">
        <w:t>.</w:t>
      </w:r>
    </w:p>
    <w:p w14:paraId="3758B7D1" w14:textId="2C329F61" w:rsidR="00610C3A" w:rsidRPr="00240C56" w:rsidRDefault="34F868E8" w:rsidP="00693A53">
      <w:pPr>
        <w:pStyle w:val="Caption"/>
      </w:pPr>
      <w:r w:rsidRPr="00693A53">
        <w:lastRenderedPageBreak/>
        <w:t xml:space="preserve">Figure </w:t>
      </w:r>
      <w:r w:rsidRPr="00693A53">
        <w:fldChar w:fldCharType="begin"/>
      </w:r>
      <w:r w:rsidRPr="00693A53">
        <w:instrText>SEQ Figure \* ARABIC</w:instrText>
      </w:r>
      <w:r w:rsidRPr="00693A53">
        <w:fldChar w:fldCharType="separate"/>
      </w:r>
      <w:r w:rsidR="008E1B6B">
        <w:rPr>
          <w:noProof/>
        </w:rPr>
        <w:t>3</w:t>
      </w:r>
      <w:r w:rsidRPr="00693A53">
        <w:fldChar w:fldCharType="end"/>
      </w:r>
      <w:r w:rsidR="000D09BF">
        <w:t>:</w:t>
      </w:r>
      <w:r w:rsidRPr="00693A53">
        <w:t xml:space="preserve"> Proportion of recommended ratings from stakeholders, by occupation group</w:t>
      </w:r>
    </w:p>
    <w:p w14:paraId="37DCB4E3" w14:textId="140E4B4C" w:rsidR="00215C8C" w:rsidRPr="00F643FE" w:rsidRDefault="0051032A" w:rsidP="00215C8C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noProof/>
        </w:rPr>
        <w:drawing>
          <wp:inline distT="0" distB="0" distL="0" distR="0" wp14:anchorId="050B7A4B" wp14:editId="49E0560A">
            <wp:extent cx="5896563" cy="3562350"/>
            <wp:effectExtent l="0" t="0" r="0" b="0"/>
            <wp:docPr id="3" name="Chart 3" descr="Breakdown of suggested ratings by major occupation group.">
              <a:extLst xmlns:a="http://schemas.openxmlformats.org/drawingml/2006/main">
                <a:ext uri="{FF2B5EF4-FFF2-40B4-BE49-F238E27FC236}">
                  <a16:creationId xmlns:a16="http://schemas.microsoft.com/office/drawing/2014/main" id="{DAC70DBF-D21C-4E4D-9B2E-F6E083F2A5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15C8C" w:rsidRPr="00F643FE">
        <w:rPr>
          <w:lang w:val="en-US"/>
        </w:rPr>
        <w:br/>
      </w:r>
      <w:r w:rsidR="00215C8C" w:rsidRPr="00F643FE">
        <w:rPr>
          <w:color w:val="auto"/>
          <w:sz w:val="18"/>
          <w:szCs w:val="18"/>
        </w:rPr>
        <w:t xml:space="preserve">Source: </w:t>
      </w:r>
      <w:r w:rsidR="0A6F012A" w:rsidRPr="00F643FE">
        <w:rPr>
          <w:color w:val="auto"/>
          <w:sz w:val="18"/>
          <w:szCs w:val="18"/>
        </w:rPr>
        <w:t>Jobs and Skills Australia</w:t>
      </w:r>
      <w:r w:rsidR="00215C8C" w:rsidRPr="00F643FE">
        <w:rPr>
          <w:color w:val="auto"/>
          <w:sz w:val="18"/>
          <w:szCs w:val="18"/>
        </w:rPr>
        <w:t>, Stakeholder submissions data 2022</w:t>
      </w:r>
      <w:r w:rsidR="004754E6">
        <w:rPr>
          <w:color w:val="auto"/>
          <w:sz w:val="18"/>
          <w:szCs w:val="18"/>
        </w:rPr>
        <w:t>–</w:t>
      </w:r>
      <w:r w:rsidR="00215C8C" w:rsidRPr="00F643FE">
        <w:rPr>
          <w:color w:val="auto"/>
          <w:sz w:val="18"/>
          <w:szCs w:val="18"/>
        </w:rPr>
        <w:t>23</w:t>
      </w:r>
      <w:r w:rsidR="005B7C7B" w:rsidRPr="00F643FE">
        <w:rPr>
          <w:color w:val="auto"/>
          <w:sz w:val="18"/>
          <w:szCs w:val="18"/>
        </w:rPr>
        <w:t xml:space="preserve">, </w:t>
      </w:r>
      <w:r w:rsidR="00E01D2F" w:rsidRPr="001E38B1">
        <w:rPr>
          <w:i/>
          <w:iCs/>
          <w:color w:val="auto"/>
          <w:sz w:val="18"/>
          <w:szCs w:val="18"/>
        </w:rPr>
        <w:t>Skills Priority List</w:t>
      </w:r>
      <w:r w:rsidR="0051546D">
        <w:rPr>
          <w:i/>
          <w:iCs/>
          <w:color w:val="auto"/>
          <w:sz w:val="18"/>
          <w:szCs w:val="18"/>
        </w:rPr>
        <w:t>,</w:t>
      </w:r>
      <w:r w:rsidR="00E01D2F" w:rsidRPr="009E1823">
        <w:rPr>
          <w:iCs/>
          <w:color w:val="auto"/>
          <w:sz w:val="18"/>
          <w:szCs w:val="18"/>
        </w:rPr>
        <w:t xml:space="preserve"> 2023</w:t>
      </w:r>
      <w:r w:rsidR="004754E6">
        <w:rPr>
          <w:color w:val="auto"/>
          <w:sz w:val="18"/>
          <w:szCs w:val="18"/>
        </w:rPr>
        <w:t>.</w:t>
      </w:r>
    </w:p>
    <w:p w14:paraId="62A09FA1" w14:textId="71D2D71D" w:rsidR="00E8019E" w:rsidRDefault="6C133E8A" w:rsidP="00E8019E">
      <w:pPr>
        <w:pStyle w:val="ListBullet"/>
      </w:pPr>
      <w:r>
        <w:t>Over nine in ten (96</w:t>
      </w:r>
      <w:r w:rsidR="24337409">
        <w:t>%</w:t>
      </w:r>
      <w:r>
        <w:t>) submissions advised there is currently an undersupply in the occupation</w:t>
      </w:r>
      <w:r w:rsidR="3E1EB54B">
        <w:t xml:space="preserve"> (Figure 4)</w:t>
      </w:r>
      <w:r>
        <w:t>.</w:t>
      </w:r>
    </w:p>
    <w:p w14:paraId="4EE19940" w14:textId="685DFB75" w:rsidR="00610C3A" w:rsidRPr="00610C3A" w:rsidRDefault="6C133E8A" w:rsidP="00610C3A">
      <w:pPr>
        <w:pStyle w:val="ListBullet2"/>
        <w:rPr>
          <w:b/>
          <w:bCs/>
          <w:sz w:val="18"/>
          <w:szCs w:val="18"/>
        </w:rPr>
      </w:pPr>
      <w:r>
        <w:t>This was highest for the Clerical and Administrative Workers, Machinery Operators and Drivers and Labourers major groups, where 100</w:t>
      </w:r>
      <w:r w:rsidR="109BD831">
        <w:t>%</w:t>
      </w:r>
      <w:r>
        <w:t xml:space="preserve"> of submissions anticipated an undersupply.</w:t>
      </w:r>
    </w:p>
    <w:p w14:paraId="581DFBAA" w14:textId="0079C757" w:rsidR="00610C3A" w:rsidRPr="00240C56" w:rsidRDefault="34F868E8" w:rsidP="00693A53">
      <w:pPr>
        <w:pStyle w:val="Caption"/>
      </w:pPr>
      <w:r w:rsidRPr="00693A53">
        <w:t xml:space="preserve">Figure </w:t>
      </w:r>
      <w:r w:rsidRPr="00693A53">
        <w:fldChar w:fldCharType="begin"/>
      </w:r>
      <w:r w:rsidRPr="00693A53">
        <w:instrText>SEQ Figure \* ARABIC</w:instrText>
      </w:r>
      <w:r w:rsidRPr="00693A53">
        <w:fldChar w:fldCharType="separate"/>
      </w:r>
      <w:r w:rsidR="008E1B6B">
        <w:rPr>
          <w:noProof/>
        </w:rPr>
        <w:t>4</w:t>
      </w:r>
      <w:r w:rsidRPr="00693A53">
        <w:fldChar w:fldCharType="end"/>
      </w:r>
      <w:r w:rsidR="000D09BF">
        <w:t>:</w:t>
      </w:r>
      <w:r w:rsidRPr="00693A53">
        <w:t xml:space="preserve"> Proportion of occupation assessments that say there is an undersupply in the occupation, by occupation group</w:t>
      </w:r>
    </w:p>
    <w:p w14:paraId="7A4DBA48" w14:textId="036B672C" w:rsidR="00215C8C" w:rsidRPr="00F643FE" w:rsidRDefault="00E8019E" w:rsidP="00215C8C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noProof/>
        </w:rPr>
        <w:drawing>
          <wp:inline distT="0" distB="0" distL="0" distR="0" wp14:anchorId="068682D2" wp14:editId="6EB15672">
            <wp:extent cx="5857875" cy="3171825"/>
            <wp:effectExtent l="0" t="0" r="0" b="0"/>
            <wp:docPr id="11" name="Chart 11" descr="Proportion of submissions suggesting undersupply by major occupation group.">
              <a:extLst xmlns:a="http://schemas.openxmlformats.org/drawingml/2006/main">
                <a:ext uri="{FF2B5EF4-FFF2-40B4-BE49-F238E27FC236}">
                  <a16:creationId xmlns:a16="http://schemas.microsoft.com/office/drawing/2014/main" id="{08A4DB13-64BA-403F-AE52-798ECA63C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15C8C" w:rsidRPr="00F643FE">
        <w:rPr>
          <w:color w:val="auto"/>
          <w:sz w:val="18"/>
          <w:szCs w:val="18"/>
        </w:rPr>
        <w:t xml:space="preserve">Source: </w:t>
      </w:r>
      <w:r w:rsidR="42B8416D" w:rsidRPr="00F643FE">
        <w:rPr>
          <w:color w:val="auto"/>
          <w:sz w:val="18"/>
          <w:szCs w:val="18"/>
        </w:rPr>
        <w:t>Jobs and Skills Australia</w:t>
      </w:r>
      <w:r w:rsidR="00215C8C" w:rsidRPr="00F643FE">
        <w:rPr>
          <w:color w:val="auto"/>
          <w:sz w:val="18"/>
          <w:szCs w:val="18"/>
        </w:rPr>
        <w:t>, Stakeholder submissions data 2022</w:t>
      </w:r>
      <w:r w:rsidR="004754E6">
        <w:rPr>
          <w:color w:val="auto"/>
          <w:sz w:val="18"/>
          <w:szCs w:val="18"/>
        </w:rPr>
        <w:t>–</w:t>
      </w:r>
      <w:r w:rsidR="00215C8C" w:rsidRPr="00F643FE">
        <w:rPr>
          <w:color w:val="auto"/>
          <w:sz w:val="18"/>
          <w:szCs w:val="18"/>
        </w:rPr>
        <w:t>23</w:t>
      </w:r>
      <w:r w:rsidR="005B7C7B" w:rsidRPr="00F643FE">
        <w:rPr>
          <w:color w:val="auto"/>
          <w:sz w:val="18"/>
          <w:szCs w:val="18"/>
        </w:rPr>
        <w:t xml:space="preserve">, </w:t>
      </w:r>
      <w:r w:rsidR="00E01D2F" w:rsidRPr="001E38B1">
        <w:rPr>
          <w:i/>
          <w:iCs/>
          <w:color w:val="auto"/>
          <w:sz w:val="18"/>
          <w:szCs w:val="18"/>
        </w:rPr>
        <w:t>Skills Priority List</w:t>
      </w:r>
      <w:r w:rsidR="0051546D">
        <w:rPr>
          <w:i/>
          <w:iCs/>
          <w:color w:val="auto"/>
          <w:sz w:val="18"/>
          <w:szCs w:val="18"/>
        </w:rPr>
        <w:t>,</w:t>
      </w:r>
      <w:r w:rsidR="005B7C7B" w:rsidRPr="00F643FE">
        <w:rPr>
          <w:color w:val="auto"/>
          <w:sz w:val="18"/>
          <w:szCs w:val="18"/>
        </w:rPr>
        <w:t xml:space="preserve"> 2023</w:t>
      </w:r>
      <w:r w:rsidR="004754E6">
        <w:rPr>
          <w:color w:val="auto"/>
          <w:sz w:val="18"/>
          <w:szCs w:val="18"/>
        </w:rPr>
        <w:t>.</w:t>
      </w:r>
    </w:p>
    <w:p w14:paraId="72B85CD2" w14:textId="53E390FA" w:rsidR="00E8019E" w:rsidRDefault="6B996F7A" w:rsidP="00E8019E">
      <w:pPr>
        <w:pStyle w:val="ListBullet"/>
      </w:pPr>
      <w:r>
        <w:lastRenderedPageBreak/>
        <w:t xml:space="preserve">Most submissions </w:t>
      </w:r>
      <w:r w:rsidR="00851D52">
        <w:t>(85</w:t>
      </w:r>
      <w:r w:rsidR="109BD831">
        <w:t>%</w:t>
      </w:r>
      <w:r w:rsidR="00851D52">
        <w:t xml:space="preserve">) indicated </w:t>
      </w:r>
      <w:r w:rsidR="6C133E8A">
        <w:t>demand for the occupation to increase 5 years in the future</w:t>
      </w:r>
      <w:r w:rsidR="1DF55A06">
        <w:t xml:space="preserve"> (Figure 5).</w:t>
      </w:r>
    </w:p>
    <w:p w14:paraId="25CDC8B2" w14:textId="2438A858" w:rsidR="00E8019E" w:rsidRDefault="6C133E8A" w:rsidP="00E8019E">
      <w:pPr>
        <w:pStyle w:val="ListBullet2"/>
      </w:pPr>
      <w:r>
        <w:t>This was highest for the Machinery Operators and Drivers occupation group (91</w:t>
      </w:r>
      <w:r w:rsidR="0B1BF214">
        <w:t>%</w:t>
      </w:r>
      <w:r>
        <w:t>) and lowest for Managers (59</w:t>
      </w:r>
      <w:r w:rsidR="0B1BF214">
        <w:t>%</w:t>
      </w:r>
      <w:r>
        <w:t>).</w:t>
      </w:r>
    </w:p>
    <w:p w14:paraId="7153EF2B" w14:textId="15D62056" w:rsidR="00610C3A" w:rsidRPr="00240C56" w:rsidRDefault="34F868E8" w:rsidP="00693A53">
      <w:pPr>
        <w:pStyle w:val="Caption"/>
      </w:pPr>
      <w:r w:rsidRPr="00693A53">
        <w:t xml:space="preserve">Figure </w:t>
      </w:r>
      <w:r w:rsidRPr="00693A53">
        <w:fldChar w:fldCharType="begin"/>
      </w:r>
      <w:r w:rsidRPr="00693A53">
        <w:instrText>SEQ Figure \* ARABIC</w:instrText>
      </w:r>
      <w:r w:rsidRPr="00693A53">
        <w:fldChar w:fldCharType="separate"/>
      </w:r>
      <w:r w:rsidR="008E1B6B">
        <w:rPr>
          <w:noProof/>
        </w:rPr>
        <w:t>5</w:t>
      </w:r>
      <w:r w:rsidRPr="00693A53">
        <w:fldChar w:fldCharType="end"/>
      </w:r>
      <w:r w:rsidR="000D09BF">
        <w:t>:</w:t>
      </w:r>
      <w:r w:rsidRPr="00693A53">
        <w:t xml:space="preserve"> Proportion of occupation assessments expecting increased future demand in the occupation, by occupation group</w:t>
      </w:r>
    </w:p>
    <w:p w14:paraId="77C7FF74" w14:textId="5F9840CA" w:rsidR="00215C8C" w:rsidRPr="00F643FE" w:rsidRDefault="00E8019E" w:rsidP="0051032A">
      <w:pPr>
        <w:pStyle w:val="ListBullet"/>
        <w:numPr>
          <w:ilvl w:val="0"/>
          <w:numId w:val="0"/>
        </w:numPr>
        <w:rPr>
          <w:color w:val="auto"/>
          <w:sz w:val="18"/>
          <w:szCs w:val="18"/>
        </w:rPr>
      </w:pPr>
      <w:r w:rsidRPr="00F643FE">
        <w:rPr>
          <w:noProof/>
        </w:rPr>
        <w:drawing>
          <wp:inline distT="0" distB="0" distL="0" distR="0" wp14:anchorId="7544B554" wp14:editId="2B9B2441">
            <wp:extent cx="5731510" cy="2822575"/>
            <wp:effectExtent l="0" t="0" r="2540" b="0"/>
            <wp:docPr id="12" name="Chart 12" descr="Proportion of submissions expecting demand for the occupation in question to increase in the future by major occupation group.">
              <a:extLst xmlns:a="http://schemas.openxmlformats.org/drawingml/2006/main">
                <a:ext uri="{FF2B5EF4-FFF2-40B4-BE49-F238E27FC236}">
                  <a16:creationId xmlns:a16="http://schemas.microsoft.com/office/drawing/2014/main" id="{76B2B168-16F3-42CD-A015-4BC99C8949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0"/>
      <w:r w:rsidR="00215C8C" w:rsidRPr="00F643FE">
        <w:rPr>
          <w:color w:val="auto"/>
          <w:sz w:val="18"/>
          <w:szCs w:val="18"/>
        </w:rPr>
        <w:t xml:space="preserve">Source: </w:t>
      </w:r>
      <w:r w:rsidR="00693A53" w:rsidRPr="00F643FE">
        <w:rPr>
          <w:color w:val="auto"/>
          <w:sz w:val="18"/>
          <w:szCs w:val="18"/>
        </w:rPr>
        <w:t xml:space="preserve">Jobs </w:t>
      </w:r>
      <w:r w:rsidR="002E5073" w:rsidRPr="00F643FE">
        <w:rPr>
          <w:color w:val="auto"/>
          <w:sz w:val="18"/>
          <w:szCs w:val="18"/>
        </w:rPr>
        <w:t xml:space="preserve">and </w:t>
      </w:r>
      <w:r w:rsidR="00693A53" w:rsidRPr="00F643FE">
        <w:rPr>
          <w:color w:val="auto"/>
          <w:sz w:val="18"/>
          <w:szCs w:val="18"/>
        </w:rPr>
        <w:t>Skills Australia</w:t>
      </w:r>
      <w:r w:rsidR="00215C8C" w:rsidRPr="00F643FE">
        <w:rPr>
          <w:color w:val="auto"/>
          <w:sz w:val="18"/>
          <w:szCs w:val="18"/>
        </w:rPr>
        <w:t>, Stakeholder submissions data 2022</w:t>
      </w:r>
      <w:r w:rsidR="004754E6">
        <w:rPr>
          <w:color w:val="auto"/>
          <w:sz w:val="18"/>
          <w:szCs w:val="18"/>
        </w:rPr>
        <w:t>–</w:t>
      </w:r>
      <w:r w:rsidR="00215C8C" w:rsidRPr="00F643FE">
        <w:rPr>
          <w:color w:val="auto"/>
          <w:sz w:val="18"/>
          <w:szCs w:val="18"/>
        </w:rPr>
        <w:t>23</w:t>
      </w:r>
      <w:r w:rsidR="005B7C7B" w:rsidRPr="00F643FE">
        <w:rPr>
          <w:color w:val="auto"/>
          <w:sz w:val="18"/>
          <w:szCs w:val="18"/>
        </w:rPr>
        <w:t xml:space="preserve">, </w:t>
      </w:r>
      <w:r w:rsidR="00E01D2F" w:rsidRPr="001E38B1">
        <w:rPr>
          <w:i/>
          <w:iCs/>
          <w:color w:val="auto"/>
          <w:sz w:val="18"/>
          <w:szCs w:val="18"/>
        </w:rPr>
        <w:t>Skills Priority List</w:t>
      </w:r>
      <w:r w:rsidR="0051546D">
        <w:rPr>
          <w:i/>
          <w:iCs/>
          <w:color w:val="auto"/>
          <w:sz w:val="18"/>
          <w:szCs w:val="18"/>
        </w:rPr>
        <w:t>,</w:t>
      </w:r>
      <w:r w:rsidR="005B7C7B" w:rsidRPr="00F643FE">
        <w:rPr>
          <w:color w:val="auto"/>
          <w:sz w:val="18"/>
          <w:szCs w:val="18"/>
        </w:rPr>
        <w:t xml:space="preserve"> 2023</w:t>
      </w:r>
      <w:r w:rsidR="004754E6">
        <w:rPr>
          <w:color w:val="auto"/>
          <w:sz w:val="18"/>
          <w:szCs w:val="18"/>
        </w:rPr>
        <w:t>.</w:t>
      </w:r>
    </w:p>
    <w:sectPr w:rsidR="00215C8C" w:rsidRPr="00F643FE" w:rsidSect="00B7530D">
      <w:headerReference w:type="default" r:id="rId21"/>
      <w:pgSz w:w="11906" w:h="16838"/>
      <w:pgMar w:top="1418" w:right="1440" w:bottom="1440" w:left="1440" w:header="0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B0DE" w14:textId="77777777" w:rsidR="00892F14" w:rsidRDefault="00892F14" w:rsidP="00E8019E">
      <w:pPr>
        <w:spacing w:after="0" w:line="240" w:lineRule="auto"/>
      </w:pPr>
      <w:r>
        <w:separator/>
      </w:r>
    </w:p>
  </w:endnote>
  <w:endnote w:type="continuationSeparator" w:id="0">
    <w:p w14:paraId="4F540EE8" w14:textId="77777777" w:rsidR="00892F14" w:rsidRDefault="00892F14" w:rsidP="00E8019E">
      <w:pPr>
        <w:spacing w:after="0" w:line="240" w:lineRule="auto"/>
      </w:pPr>
      <w:r>
        <w:continuationSeparator/>
      </w:r>
    </w:p>
  </w:endnote>
  <w:endnote w:type="continuationNotice" w:id="1">
    <w:p w14:paraId="577A0BAC" w14:textId="77777777" w:rsidR="00892F14" w:rsidRDefault="00892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DC74" w14:textId="36D92043" w:rsidR="00C755E5" w:rsidRPr="00C40E20" w:rsidRDefault="0C435053">
    <w:pPr>
      <w:pStyle w:val="Footer"/>
    </w:pPr>
    <w:r>
      <w:t xml:space="preserve">2023 SPL Stakeholder Snapshot | </w:t>
    </w:r>
    <w:r w:rsidR="00610C3A" w:rsidRPr="0C435053">
      <w:rPr>
        <w:noProof/>
      </w:rPr>
      <w:fldChar w:fldCharType="begin"/>
    </w:r>
    <w:r w:rsidR="00610C3A">
      <w:instrText xml:space="preserve"> PAGE   \* MERGEFORMAT </w:instrText>
    </w:r>
    <w:r w:rsidR="00610C3A" w:rsidRPr="0C435053">
      <w:fldChar w:fldCharType="separate"/>
    </w:r>
    <w:r w:rsidRPr="0C435053">
      <w:rPr>
        <w:noProof/>
      </w:rPr>
      <w:t>1</w:t>
    </w:r>
    <w:r w:rsidR="00610C3A" w:rsidRPr="0C4350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FFE" w14:textId="77777777" w:rsidR="00C755E5" w:rsidRDefault="00610C3A">
    <w:pPr>
      <w:pStyle w:val="Footer"/>
    </w:pPr>
    <w:r>
      <w:t xml:space="preserve">2023 SPL stakeholder snapshot </w:t>
    </w:r>
    <w:r w:rsidRPr="007B237E">
      <w:t xml:space="preserve">| </w:t>
    </w:r>
    <w:sdt>
      <w:sdtPr>
        <w:id w:val="-1650194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99B" w14:textId="77777777" w:rsidR="00892F14" w:rsidRDefault="00892F14" w:rsidP="00E8019E">
      <w:pPr>
        <w:spacing w:after="0" w:line="240" w:lineRule="auto"/>
      </w:pPr>
      <w:r>
        <w:separator/>
      </w:r>
    </w:p>
  </w:footnote>
  <w:footnote w:type="continuationSeparator" w:id="0">
    <w:p w14:paraId="4E491ACE" w14:textId="77777777" w:rsidR="00892F14" w:rsidRDefault="00892F14" w:rsidP="00E8019E">
      <w:pPr>
        <w:spacing w:after="0" w:line="240" w:lineRule="auto"/>
      </w:pPr>
      <w:r>
        <w:continuationSeparator/>
      </w:r>
    </w:p>
  </w:footnote>
  <w:footnote w:type="continuationNotice" w:id="1">
    <w:p w14:paraId="4C7D05B1" w14:textId="77777777" w:rsidR="00892F14" w:rsidRDefault="00892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435053" w14:paraId="5A33BFB9" w14:textId="77777777" w:rsidTr="00240C56">
      <w:trPr>
        <w:trHeight w:val="300"/>
      </w:trPr>
      <w:tc>
        <w:tcPr>
          <w:tcW w:w="3005" w:type="dxa"/>
        </w:tcPr>
        <w:p w14:paraId="77F1DB66" w14:textId="4A2620D0" w:rsidR="0C435053" w:rsidRDefault="0C435053" w:rsidP="00240C56">
          <w:pPr>
            <w:pStyle w:val="Header"/>
            <w:ind w:left="-115"/>
          </w:pPr>
        </w:p>
      </w:tc>
      <w:tc>
        <w:tcPr>
          <w:tcW w:w="3005" w:type="dxa"/>
        </w:tcPr>
        <w:p w14:paraId="0DF9B82A" w14:textId="42C36D39" w:rsidR="0C435053" w:rsidRDefault="0C435053" w:rsidP="00240C56">
          <w:pPr>
            <w:pStyle w:val="Header"/>
            <w:jc w:val="center"/>
          </w:pPr>
        </w:p>
      </w:tc>
      <w:tc>
        <w:tcPr>
          <w:tcW w:w="3005" w:type="dxa"/>
        </w:tcPr>
        <w:p w14:paraId="09916B3D" w14:textId="2B807EEF" w:rsidR="0C435053" w:rsidRDefault="0C435053" w:rsidP="00240C56">
          <w:pPr>
            <w:pStyle w:val="Header"/>
            <w:ind w:right="-115"/>
            <w:jc w:val="right"/>
          </w:pPr>
        </w:p>
      </w:tc>
    </w:tr>
  </w:tbl>
  <w:p w14:paraId="2EA87C12" w14:textId="33949B23" w:rsidR="0C435053" w:rsidRDefault="0C435053" w:rsidP="00240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0C435053" w14:paraId="14C57F4D" w14:textId="77777777" w:rsidTr="00240C56">
      <w:trPr>
        <w:trHeight w:val="300"/>
      </w:trPr>
      <w:tc>
        <w:tcPr>
          <w:tcW w:w="4660" w:type="dxa"/>
        </w:tcPr>
        <w:p w14:paraId="0AFA963F" w14:textId="60A2F1FD" w:rsidR="0C435053" w:rsidRDefault="0C435053" w:rsidP="00240C56">
          <w:pPr>
            <w:pStyle w:val="Header"/>
            <w:ind w:left="-115"/>
          </w:pPr>
        </w:p>
      </w:tc>
      <w:tc>
        <w:tcPr>
          <w:tcW w:w="4660" w:type="dxa"/>
        </w:tcPr>
        <w:p w14:paraId="4AEECEA6" w14:textId="0AC4EB73" w:rsidR="0C435053" w:rsidRDefault="0C435053" w:rsidP="00240C56">
          <w:pPr>
            <w:pStyle w:val="Header"/>
            <w:jc w:val="center"/>
          </w:pPr>
        </w:p>
      </w:tc>
      <w:tc>
        <w:tcPr>
          <w:tcW w:w="4660" w:type="dxa"/>
        </w:tcPr>
        <w:p w14:paraId="01A2C941" w14:textId="480258C4" w:rsidR="0C435053" w:rsidRDefault="0C435053" w:rsidP="00240C56">
          <w:pPr>
            <w:pStyle w:val="Header"/>
            <w:ind w:right="-115"/>
            <w:jc w:val="right"/>
          </w:pPr>
        </w:p>
      </w:tc>
    </w:tr>
  </w:tbl>
  <w:p w14:paraId="037D14A1" w14:textId="57A478A0" w:rsidR="0C435053" w:rsidRDefault="0C435053" w:rsidP="00240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435053" w14:paraId="0BF0AA28" w14:textId="77777777" w:rsidTr="00240C56">
      <w:trPr>
        <w:trHeight w:val="300"/>
      </w:trPr>
      <w:tc>
        <w:tcPr>
          <w:tcW w:w="3005" w:type="dxa"/>
        </w:tcPr>
        <w:p w14:paraId="1DA292B4" w14:textId="245F4B64" w:rsidR="0C435053" w:rsidRDefault="0C435053" w:rsidP="00240C56">
          <w:pPr>
            <w:pStyle w:val="Header"/>
            <w:ind w:left="-115"/>
          </w:pPr>
        </w:p>
      </w:tc>
      <w:tc>
        <w:tcPr>
          <w:tcW w:w="3005" w:type="dxa"/>
        </w:tcPr>
        <w:p w14:paraId="451F8DA9" w14:textId="39286494" w:rsidR="0C435053" w:rsidRDefault="0C435053" w:rsidP="00240C56">
          <w:pPr>
            <w:pStyle w:val="Header"/>
            <w:jc w:val="center"/>
          </w:pPr>
        </w:p>
      </w:tc>
      <w:tc>
        <w:tcPr>
          <w:tcW w:w="3005" w:type="dxa"/>
        </w:tcPr>
        <w:p w14:paraId="4E9C7632" w14:textId="68456890" w:rsidR="0C435053" w:rsidRDefault="0C435053" w:rsidP="00240C56">
          <w:pPr>
            <w:pStyle w:val="Header"/>
            <w:ind w:right="-115"/>
            <w:jc w:val="right"/>
          </w:pPr>
        </w:p>
      </w:tc>
    </w:tr>
  </w:tbl>
  <w:p w14:paraId="05E29093" w14:textId="7D23C7B8" w:rsidR="0C435053" w:rsidRDefault="0C435053" w:rsidP="0024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5F53"/>
    <w:multiLevelType w:val="multilevel"/>
    <w:tmpl w:val="3DD44284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num w:numId="1" w16cid:durableId="63367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9E"/>
    <w:rsid w:val="00026A5B"/>
    <w:rsid w:val="00027AD5"/>
    <w:rsid w:val="000933D0"/>
    <w:rsid w:val="000C3A13"/>
    <w:rsid w:val="000D09BF"/>
    <w:rsid w:val="000E4E9B"/>
    <w:rsid w:val="00117278"/>
    <w:rsid w:val="001211C5"/>
    <w:rsid w:val="001575AC"/>
    <w:rsid w:val="00167E09"/>
    <w:rsid w:val="00172F7F"/>
    <w:rsid w:val="0018193A"/>
    <w:rsid w:val="00183CBD"/>
    <w:rsid w:val="0019127B"/>
    <w:rsid w:val="001A0EB9"/>
    <w:rsid w:val="001A38FA"/>
    <w:rsid w:val="002054FD"/>
    <w:rsid w:val="00215C8C"/>
    <w:rsid w:val="00234AAE"/>
    <w:rsid w:val="00236CE4"/>
    <w:rsid w:val="00240C56"/>
    <w:rsid w:val="002458B0"/>
    <w:rsid w:val="00267280"/>
    <w:rsid w:val="002A0F4F"/>
    <w:rsid w:val="002A370A"/>
    <w:rsid w:val="002D6CCE"/>
    <w:rsid w:val="002E5073"/>
    <w:rsid w:val="002E7081"/>
    <w:rsid w:val="002F1339"/>
    <w:rsid w:val="003017CD"/>
    <w:rsid w:val="00314199"/>
    <w:rsid w:val="00325859"/>
    <w:rsid w:val="00345450"/>
    <w:rsid w:val="00346C6F"/>
    <w:rsid w:val="00353CD2"/>
    <w:rsid w:val="00371D00"/>
    <w:rsid w:val="00380473"/>
    <w:rsid w:val="00394F3C"/>
    <w:rsid w:val="003B3513"/>
    <w:rsid w:val="003B7DAC"/>
    <w:rsid w:val="00404C92"/>
    <w:rsid w:val="004067BC"/>
    <w:rsid w:val="004223F8"/>
    <w:rsid w:val="004235A9"/>
    <w:rsid w:val="004235D1"/>
    <w:rsid w:val="00444598"/>
    <w:rsid w:val="0045151C"/>
    <w:rsid w:val="004700CD"/>
    <w:rsid w:val="00471632"/>
    <w:rsid w:val="00473A80"/>
    <w:rsid w:val="004754E6"/>
    <w:rsid w:val="00497343"/>
    <w:rsid w:val="004B70F3"/>
    <w:rsid w:val="004D5665"/>
    <w:rsid w:val="004E1F98"/>
    <w:rsid w:val="004E7CF2"/>
    <w:rsid w:val="005007E6"/>
    <w:rsid w:val="0051032A"/>
    <w:rsid w:val="0051546D"/>
    <w:rsid w:val="00536A84"/>
    <w:rsid w:val="00544379"/>
    <w:rsid w:val="00544CBA"/>
    <w:rsid w:val="00586279"/>
    <w:rsid w:val="00595DDB"/>
    <w:rsid w:val="005B2321"/>
    <w:rsid w:val="005B7C7B"/>
    <w:rsid w:val="005C7FA3"/>
    <w:rsid w:val="00601AC3"/>
    <w:rsid w:val="00610C3A"/>
    <w:rsid w:val="006268E7"/>
    <w:rsid w:val="0063009A"/>
    <w:rsid w:val="0064082D"/>
    <w:rsid w:val="00643F94"/>
    <w:rsid w:val="0066032F"/>
    <w:rsid w:val="0066347A"/>
    <w:rsid w:val="0068600D"/>
    <w:rsid w:val="006869DC"/>
    <w:rsid w:val="00693A53"/>
    <w:rsid w:val="006B1478"/>
    <w:rsid w:val="006B1E46"/>
    <w:rsid w:val="006D7F5C"/>
    <w:rsid w:val="006F3EA3"/>
    <w:rsid w:val="0070205A"/>
    <w:rsid w:val="0071368F"/>
    <w:rsid w:val="007203D8"/>
    <w:rsid w:val="0072640B"/>
    <w:rsid w:val="0073299E"/>
    <w:rsid w:val="0073500D"/>
    <w:rsid w:val="00743B61"/>
    <w:rsid w:val="00747F3E"/>
    <w:rsid w:val="007A65EB"/>
    <w:rsid w:val="007B7514"/>
    <w:rsid w:val="007C1250"/>
    <w:rsid w:val="007C1F37"/>
    <w:rsid w:val="007E716D"/>
    <w:rsid w:val="007F743C"/>
    <w:rsid w:val="00841322"/>
    <w:rsid w:val="00851D52"/>
    <w:rsid w:val="008852F4"/>
    <w:rsid w:val="00892F14"/>
    <w:rsid w:val="008E1B6B"/>
    <w:rsid w:val="008F41F0"/>
    <w:rsid w:val="009071A3"/>
    <w:rsid w:val="009301E5"/>
    <w:rsid w:val="00947369"/>
    <w:rsid w:val="009742AC"/>
    <w:rsid w:val="009800EA"/>
    <w:rsid w:val="00990291"/>
    <w:rsid w:val="009950DB"/>
    <w:rsid w:val="009E1823"/>
    <w:rsid w:val="009F772B"/>
    <w:rsid w:val="00A0474E"/>
    <w:rsid w:val="00A26F78"/>
    <w:rsid w:val="00A2751D"/>
    <w:rsid w:val="00A45FB6"/>
    <w:rsid w:val="00A50665"/>
    <w:rsid w:val="00A86055"/>
    <w:rsid w:val="00AB30E3"/>
    <w:rsid w:val="00AC1102"/>
    <w:rsid w:val="00AC7FDA"/>
    <w:rsid w:val="00AE41F8"/>
    <w:rsid w:val="00AF61ED"/>
    <w:rsid w:val="00B27A92"/>
    <w:rsid w:val="00B3760F"/>
    <w:rsid w:val="00B442CC"/>
    <w:rsid w:val="00B452BC"/>
    <w:rsid w:val="00B4667A"/>
    <w:rsid w:val="00B70164"/>
    <w:rsid w:val="00B732C4"/>
    <w:rsid w:val="00B7530D"/>
    <w:rsid w:val="00B92FAB"/>
    <w:rsid w:val="00BB0FDA"/>
    <w:rsid w:val="00BC31B8"/>
    <w:rsid w:val="00BD5F74"/>
    <w:rsid w:val="00BF38AF"/>
    <w:rsid w:val="00C21777"/>
    <w:rsid w:val="00C279F1"/>
    <w:rsid w:val="00C7524E"/>
    <w:rsid w:val="00C755E5"/>
    <w:rsid w:val="00CA07A1"/>
    <w:rsid w:val="00CA2552"/>
    <w:rsid w:val="00CB42AB"/>
    <w:rsid w:val="00CD4325"/>
    <w:rsid w:val="00D0320A"/>
    <w:rsid w:val="00D161C5"/>
    <w:rsid w:val="00D17C04"/>
    <w:rsid w:val="00D216A7"/>
    <w:rsid w:val="00D23741"/>
    <w:rsid w:val="00D72912"/>
    <w:rsid w:val="00D73E4F"/>
    <w:rsid w:val="00D76CF4"/>
    <w:rsid w:val="00DB4EDD"/>
    <w:rsid w:val="00DE7931"/>
    <w:rsid w:val="00E01D2F"/>
    <w:rsid w:val="00E24AC2"/>
    <w:rsid w:val="00E3575E"/>
    <w:rsid w:val="00E8019E"/>
    <w:rsid w:val="00E84080"/>
    <w:rsid w:val="00E85DC7"/>
    <w:rsid w:val="00EC62BA"/>
    <w:rsid w:val="00EF0964"/>
    <w:rsid w:val="00EF5293"/>
    <w:rsid w:val="00F0303A"/>
    <w:rsid w:val="00F2546D"/>
    <w:rsid w:val="00F314C7"/>
    <w:rsid w:val="00F319D7"/>
    <w:rsid w:val="00F643FE"/>
    <w:rsid w:val="00F65B2C"/>
    <w:rsid w:val="00F67858"/>
    <w:rsid w:val="00F80EDF"/>
    <w:rsid w:val="00F814BC"/>
    <w:rsid w:val="00FF09BE"/>
    <w:rsid w:val="01A4AAEB"/>
    <w:rsid w:val="01C7860A"/>
    <w:rsid w:val="032FFA88"/>
    <w:rsid w:val="069FCCB2"/>
    <w:rsid w:val="081269F9"/>
    <w:rsid w:val="08714F34"/>
    <w:rsid w:val="08969C1B"/>
    <w:rsid w:val="08BD04B9"/>
    <w:rsid w:val="08F0A4CC"/>
    <w:rsid w:val="090C9523"/>
    <w:rsid w:val="0990C745"/>
    <w:rsid w:val="09997BAA"/>
    <w:rsid w:val="0A0A3A1F"/>
    <w:rsid w:val="0A6F012A"/>
    <w:rsid w:val="0B1BF214"/>
    <w:rsid w:val="0C435053"/>
    <w:rsid w:val="0C5DD32E"/>
    <w:rsid w:val="0D64B440"/>
    <w:rsid w:val="0DFF7868"/>
    <w:rsid w:val="0F0084A1"/>
    <w:rsid w:val="0FA1C683"/>
    <w:rsid w:val="0FDD1FB8"/>
    <w:rsid w:val="107C6119"/>
    <w:rsid w:val="109BD831"/>
    <w:rsid w:val="11AEF2D4"/>
    <w:rsid w:val="11B513C5"/>
    <w:rsid w:val="138D842F"/>
    <w:rsid w:val="13D3F5C4"/>
    <w:rsid w:val="14718B64"/>
    <w:rsid w:val="177CAEBF"/>
    <w:rsid w:val="188F6084"/>
    <w:rsid w:val="1B18D643"/>
    <w:rsid w:val="1B3718C3"/>
    <w:rsid w:val="1BC70146"/>
    <w:rsid w:val="1BD05E4B"/>
    <w:rsid w:val="1BD83C1D"/>
    <w:rsid w:val="1D0E4013"/>
    <w:rsid w:val="1D5AE421"/>
    <w:rsid w:val="1DC1C78B"/>
    <w:rsid w:val="1DF55A06"/>
    <w:rsid w:val="1EF6B482"/>
    <w:rsid w:val="1F19BEC0"/>
    <w:rsid w:val="1F91920F"/>
    <w:rsid w:val="209284E3"/>
    <w:rsid w:val="20AFF008"/>
    <w:rsid w:val="222E5544"/>
    <w:rsid w:val="22FC392B"/>
    <w:rsid w:val="24337409"/>
    <w:rsid w:val="2565F606"/>
    <w:rsid w:val="274DC4E9"/>
    <w:rsid w:val="27C275A1"/>
    <w:rsid w:val="2881CCA9"/>
    <w:rsid w:val="2A396729"/>
    <w:rsid w:val="2B4BF084"/>
    <w:rsid w:val="2CF48A49"/>
    <w:rsid w:val="2D4BB3E7"/>
    <w:rsid w:val="2D97BF0D"/>
    <w:rsid w:val="2DE34FCB"/>
    <w:rsid w:val="2E8DAF4A"/>
    <w:rsid w:val="2ECDE39B"/>
    <w:rsid w:val="2FA6CB7E"/>
    <w:rsid w:val="2FAC6B8F"/>
    <w:rsid w:val="314A5098"/>
    <w:rsid w:val="3262A12C"/>
    <w:rsid w:val="339E9ABE"/>
    <w:rsid w:val="34F868E8"/>
    <w:rsid w:val="35861B6C"/>
    <w:rsid w:val="358D2428"/>
    <w:rsid w:val="36F8A957"/>
    <w:rsid w:val="37324B25"/>
    <w:rsid w:val="37FA724D"/>
    <w:rsid w:val="3AC945BB"/>
    <w:rsid w:val="3B4B3B6C"/>
    <w:rsid w:val="3BB760AC"/>
    <w:rsid w:val="3DAA1E9C"/>
    <w:rsid w:val="3DD9710D"/>
    <w:rsid w:val="3E1EB54B"/>
    <w:rsid w:val="3F3A75D4"/>
    <w:rsid w:val="3FEB7F83"/>
    <w:rsid w:val="40C6B9FD"/>
    <w:rsid w:val="40E01EC8"/>
    <w:rsid w:val="41A15493"/>
    <w:rsid w:val="41D7CA77"/>
    <w:rsid w:val="4293F58C"/>
    <w:rsid w:val="42B8416D"/>
    <w:rsid w:val="45F18D44"/>
    <w:rsid w:val="48383FEA"/>
    <w:rsid w:val="499B2BA1"/>
    <w:rsid w:val="49AC6678"/>
    <w:rsid w:val="4A324645"/>
    <w:rsid w:val="4A77423A"/>
    <w:rsid w:val="4B7C9770"/>
    <w:rsid w:val="4C22D16F"/>
    <w:rsid w:val="4CFBDE91"/>
    <w:rsid w:val="4DA217B0"/>
    <w:rsid w:val="4EBA7330"/>
    <w:rsid w:val="50278684"/>
    <w:rsid w:val="521555B1"/>
    <w:rsid w:val="532A5441"/>
    <w:rsid w:val="542810C5"/>
    <w:rsid w:val="55B878DE"/>
    <w:rsid w:val="577E01EE"/>
    <w:rsid w:val="57A88462"/>
    <w:rsid w:val="58291F72"/>
    <w:rsid w:val="5A2BBAFB"/>
    <w:rsid w:val="5A8BEA01"/>
    <w:rsid w:val="5F022A79"/>
    <w:rsid w:val="5F5F5B24"/>
    <w:rsid w:val="6037EBEE"/>
    <w:rsid w:val="607FDB73"/>
    <w:rsid w:val="610C665C"/>
    <w:rsid w:val="61C708AE"/>
    <w:rsid w:val="6203A1C0"/>
    <w:rsid w:val="62615486"/>
    <w:rsid w:val="62C3EF89"/>
    <w:rsid w:val="630BCDC2"/>
    <w:rsid w:val="63579A39"/>
    <w:rsid w:val="63668CB6"/>
    <w:rsid w:val="63A768F4"/>
    <w:rsid w:val="63EF2313"/>
    <w:rsid w:val="63FD24E7"/>
    <w:rsid w:val="64992C61"/>
    <w:rsid w:val="6598F548"/>
    <w:rsid w:val="65CE9CA8"/>
    <w:rsid w:val="66F007D1"/>
    <w:rsid w:val="676A6D09"/>
    <w:rsid w:val="67839566"/>
    <w:rsid w:val="68E5CD51"/>
    <w:rsid w:val="691F65C7"/>
    <w:rsid w:val="6990A9CF"/>
    <w:rsid w:val="6A82E70F"/>
    <w:rsid w:val="6ABB3628"/>
    <w:rsid w:val="6B6AB941"/>
    <w:rsid w:val="6B7CA861"/>
    <w:rsid w:val="6B8F60CF"/>
    <w:rsid w:val="6B996F7A"/>
    <w:rsid w:val="6C133E8A"/>
    <w:rsid w:val="6C45CBB2"/>
    <w:rsid w:val="6DE19C13"/>
    <w:rsid w:val="6E2EA96C"/>
    <w:rsid w:val="6E4FA517"/>
    <w:rsid w:val="6F4DF5EA"/>
    <w:rsid w:val="721D18A5"/>
    <w:rsid w:val="75238AA7"/>
    <w:rsid w:val="7565301E"/>
    <w:rsid w:val="76217BB5"/>
    <w:rsid w:val="76BF5B08"/>
    <w:rsid w:val="770512DC"/>
    <w:rsid w:val="773F048D"/>
    <w:rsid w:val="789B5E5F"/>
    <w:rsid w:val="78F85716"/>
    <w:rsid w:val="79244EBA"/>
    <w:rsid w:val="79294B81"/>
    <w:rsid w:val="7A4B87D1"/>
    <w:rsid w:val="7A8169D2"/>
    <w:rsid w:val="7B2AFD45"/>
    <w:rsid w:val="7B5AA6A8"/>
    <w:rsid w:val="7C7437C0"/>
    <w:rsid w:val="7F906155"/>
    <w:rsid w:val="7FA4C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E65D6D"/>
  <w15:chartTrackingRefBased/>
  <w15:docId w15:val="{47A415AC-F007-4165-A44E-D5B4B19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9E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74E"/>
    <w:pPr>
      <w:keepNext/>
      <w:keepLines/>
      <w:spacing w:after="240"/>
      <w:outlineLvl w:val="0"/>
    </w:pPr>
    <w:rPr>
      <w:rFonts w:eastAsiaTheme="majorEastAsia" w:cstheme="majorBidi"/>
      <w:b/>
      <w:color w:val="4411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3C"/>
    <w:pPr>
      <w:keepNext/>
      <w:keepLines/>
      <w:spacing w:before="240" w:after="240" w:line="400" w:lineRule="exact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7A1"/>
    <w:pPr>
      <w:keepNext/>
      <w:keepLines/>
      <w:spacing w:before="120" w:after="280"/>
      <w:outlineLvl w:val="2"/>
    </w:pPr>
    <w:rPr>
      <w:rFonts w:eastAsiaTheme="majorEastAsia" w:cstheme="majorBidi"/>
      <w:b/>
      <w:color w:val="44117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74E"/>
    <w:rPr>
      <w:rFonts w:ascii="Arial" w:eastAsiaTheme="majorEastAsia" w:hAnsi="Arial" w:cstheme="majorBidi"/>
      <w:b/>
      <w:color w:val="44117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07A1"/>
    <w:rPr>
      <w:rFonts w:ascii="Arial" w:eastAsiaTheme="majorEastAsia" w:hAnsi="Arial" w:cstheme="majorBidi"/>
      <w:b/>
      <w:color w:val="44117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19E"/>
    <w:pPr>
      <w:tabs>
        <w:tab w:val="left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019E"/>
    <w:rPr>
      <w:rFonts w:ascii="Arial" w:hAnsi="Arial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E8019E"/>
    <w:pPr>
      <w:spacing w:before="840" w:after="0" w:line="276" w:lineRule="auto"/>
    </w:pPr>
    <w:rPr>
      <w:rFonts w:eastAsiaTheme="majorEastAsia" w:cstheme="majorBidi"/>
      <w:b/>
      <w:color w:val="44546A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8019E"/>
    <w:rPr>
      <w:rFonts w:ascii="Arial" w:eastAsiaTheme="majorEastAsia" w:hAnsi="Arial" w:cstheme="majorBidi"/>
      <w:b/>
      <w:color w:val="44546A" w:themeColor="text2"/>
      <w:spacing w:val="-10"/>
      <w:kern w:val="28"/>
      <w:sz w:val="60"/>
      <w:szCs w:val="56"/>
    </w:rPr>
  </w:style>
  <w:style w:type="table" w:styleId="TableGrid">
    <w:name w:val="Table Grid"/>
    <w:aliases w:val="JSA"/>
    <w:basedOn w:val="TableNormal"/>
    <w:uiPriority w:val="39"/>
    <w:rsid w:val="004223F8"/>
    <w:pPr>
      <w:spacing w:before="120" w:after="120" w:line="240" w:lineRule="auto"/>
    </w:pPr>
    <w:rPr>
      <w:rFonts w:ascii="Arial" w:hAnsi="Arial"/>
    </w:rPr>
    <w:tblPr>
      <w:tblStyleRowBandSize w:val="1"/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b/>
        <w:color w:val="FFFFFF" w:themeColor="background1"/>
      </w:rPr>
      <w:tblPr/>
      <w:tcPr>
        <w:shd w:val="clear" w:color="auto" w:fill="2C054E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19E"/>
    <w:rPr>
      <w:rFonts w:ascii="Arial" w:hAnsi="Arial"/>
      <w:color w:val="000000" w:themeColor="text1"/>
      <w:sz w:val="20"/>
      <w:szCs w:val="20"/>
    </w:rPr>
  </w:style>
  <w:style w:type="paragraph" w:styleId="ListBullet">
    <w:name w:val="List Bullet"/>
    <w:basedOn w:val="Normal"/>
    <w:qFormat/>
    <w:rsid w:val="00E8019E"/>
    <w:pPr>
      <w:numPr>
        <w:numId w:val="1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019E"/>
    <w:rPr>
      <w:color w:val="0563C1" w:themeColor="hyperlink"/>
      <w:u w:val="single"/>
    </w:rPr>
  </w:style>
  <w:style w:type="paragraph" w:styleId="ListBullet2">
    <w:name w:val="List Bullet 2"/>
    <w:basedOn w:val="Normal"/>
    <w:qFormat/>
    <w:rsid w:val="00E8019E"/>
    <w:pPr>
      <w:numPr>
        <w:ilvl w:val="1"/>
        <w:numId w:val="1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qFormat/>
    <w:rsid w:val="00E8019E"/>
    <w:pPr>
      <w:numPr>
        <w:ilvl w:val="2"/>
        <w:numId w:val="1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E8019E"/>
    <w:pPr>
      <w:numPr>
        <w:ilvl w:val="3"/>
      </w:numPr>
    </w:pPr>
  </w:style>
  <w:style w:type="paragraph" w:customStyle="1" w:styleId="Title-Subtitle">
    <w:name w:val="Title - Subtitle"/>
    <w:basedOn w:val="Normal"/>
    <w:qFormat/>
    <w:rsid w:val="00E8019E"/>
    <w:pPr>
      <w:spacing w:before="120" w:after="400"/>
    </w:pPr>
    <w:rPr>
      <w:b/>
      <w:sz w:val="36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1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19E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019E"/>
    <w:rPr>
      <w:vertAlign w:val="superscript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93A53"/>
    <w:pPr>
      <w:keepNext/>
    </w:pPr>
    <w:rPr>
      <w:b/>
      <w:bCs/>
      <w:sz w:val="20"/>
      <w:szCs w:val="20"/>
    </w:rPr>
  </w:style>
  <w:style w:type="paragraph" w:customStyle="1" w:styleId="Caption2">
    <w:name w:val="Caption 2"/>
    <w:basedOn w:val="Caption"/>
    <w:link w:val="Caption2Char"/>
    <w:rsid w:val="00CA07A1"/>
    <w:rPr>
      <w:b w:val="0"/>
      <w:bCs w:val="0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3A"/>
    <w:rPr>
      <w:b/>
      <w:bCs/>
    </w:rPr>
  </w:style>
  <w:style w:type="character" w:customStyle="1" w:styleId="CaptionChar">
    <w:name w:val="Caption Char"/>
    <w:basedOn w:val="DefaultParagraphFont"/>
    <w:link w:val="Caption"/>
    <w:uiPriority w:val="35"/>
    <w:rsid w:val="00693A53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Caption2Char">
    <w:name w:val="Caption 2 Char"/>
    <w:basedOn w:val="CaptionChar"/>
    <w:link w:val="Caption2"/>
    <w:rsid w:val="00CA07A1"/>
    <w:rPr>
      <w:rFonts w:ascii="Arial" w:hAnsi="Arial"/>
      <w:b w:val="0"/>
      <w:bCs w:val="0"/>
      <w:i/>
      <w:iCs/>
      <w:color w:val="000000" w:themeColor="text1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C3A"/>
    <w:rPr>
      <w:rFonts w:ascii="Arial" w:hAnsi="Arial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A7"/>
    <w:rPr>
      <w:rFonts w:ascii="Arial" w:hAnsi="Arial"/>
      <w:color w:val="000000" w:themeColor="text1"/>
    </w:rPr>
  </w:style>
  <w:style w:type="paragraph" w:styleId="Revision">
    <w:name w:val="Revision"/>
    <w:hidden/>
    <w:uiPriority w:val="99"/>
    <w:semiHidden/>
    <w:rsid w:val="004700CD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F743C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sharedservicescentre-my.sharepoint.com/personal/roy_soliman_jobsandskills_gov_au/Documents/Microsoft%20Teams%20Chat%20Files/Copy%20of%20Stakeholder%20ANZSCO%202023%20-%2020230831%20164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3201\Downloads\Copy%20of%20Stakeholder%20ANZSCO%202023%20-%2020230831%20164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3201\Downloads\Copy%20of%20Stakeholder%20ANZSCO%202023%20-%2020230831%201640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3201\Downloads\Stakeholder%20ANZSCO%202023%20-%202023083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3201\Downloads\Stakeholder%20ANZSCO%202023%20-%202023083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'[Copy of Stakeholder ANZSCO 2023 - 20230831 1640.xlsx]Analysis - ANZSCO'!$AG$22</c:f>
              <c:strCache>
                <c:ptCount val="1"/>
                <c:pt idx="0">
                  <c:v>Shortage in 2023</c:v>
                </c:pt>
              </c:strCache>
            </c:strRef>
          </c:tx>
          <c:spPr>
            <a:solidFill>
              <a:srgbClr val="6929C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Stakeholder ANZSCO 2023 - 20230831 1640.xlsx]Analysis - ANZSCO'!$AE$23:$AE$30</c:f>
              <c:strCache>
                <c:ptCount val="8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</c:strCache>
            </c:strRef>
          </c:cat>
          <c:val>
            <c:numRef>
              <c:f>'[Copy of Stakeholder ANZSCO 2023 - 20230831 1640.xlsx]Analysis - ANZSCO'!$AG$23:$AG$30</c:f>
              <c:numCache>
                <c:formatCode>0%</c:formatCode>
                <c:ptCount val="8"/>
                <c:pt idx="0">
                  <c:v>0.875</c:v>
                </c:pt>
                <c:pt idx="1">
                  <c:v>0.64968152866242035</c:v>
                </c:pt>
                <c:pt idx="2">
                  <c:v>0.78431372549019607</c:v>
                </c:pt>
                <c:pt idx="3">
                  <c:v>0.66666666666666663</c:v>
                </c:pt>
                <c:pt idx="4">
                  <c:v>0.25</c:v>
                </c:pt>
                <c:pt idx="5">
                  <c:v>0</c:v>
                </c:pt>
                <c:pt idx="6">
                  <c:v>0.76923076923076927</c:v>
                </c:pt>
                <c:pt idx="7">
                  <c:v>0.7142857142857143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2F-4C84-8C17-DCB86A17B129}"/>
            </c:ext>
          </c:extLst>
        </c:ser>
        <c:ser>
          <c:idx val="1"/>
          <c:order val="1"/>
          <c:tx>
            <c:strRef>
              <c:f>'[Copy of Stakeholder ANZSCO 2023 - 20230831 1640.xlsx]Analysis - ANZSCO'!$AI$22</c:f>
              <c:strCache>
                <c:ptCount val="1"/>
                <c:pt idx="0">
                  <c:v>No Shortage in 2023</c:v>
                </c:pt>
              </c:strCache>
            </c:strRef>
          </c:tx>
          <c:spPr>
            <a:solidFill>
              <a:srgbClr val="005D5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468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Stakeholder ANZSCO 2023 - 20230831 1640.xlsx]Analysis - ANZSCO'!$AE$23:$AE$30</c:f>
              <c:strCache>
                <c:ptCount val="8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</c:strCache>
            </c:strRef>
          </c:cat>
          <c:val>
            <c:numRef>
              <c:f>'[Copy of Stakeholder ANZSCO 2023 - 20230831 1640.xlsx]Analysis - ANZSCO'!$AI$23:$AI$30</c:f>
              <c:numCache>
                <c:formatCode>0%</c:formatCode>
                <c:ptCount val="8"/>
                <c:pt idx="0">
                  <c:v>0.37931034482758619</c:v>
                </c:pt>
                <c:pt idx="1">
                  <c:v>0.45882352941176469</c:v>
                </c:pt>
                <c:pt idx="2">
                  <c:v>0.46601941747572817</c:v>
                </c:pt>
                <c:pt idx="3">
                  <c:v>0.40909090909090912</c:v>
                </c:pt>
                <c:pt idx="4">
                  <c:v>0.21311475409836064</c:v>
                </c:pt>
                <c:pt idx="5">
                  <c:v>0.2857142857142857</c:v>
                </c:pt>
                <c:pt idx="6">
                  <c:v>0.43137254901960786</c:v>
                </c:pt>
                <c:pt idx="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2F-4C84-8C17-DCB86A17B129}"/>
            </c:ext>
          </c:extLst>
        </c:ser>
        <c:ser>
          <c:idx val="2"/>
          <c:order val="2"/>
          <c:tx>
            <c:strRef>
              <c:f>'[Copy of Stakeholder ANZSCO 2023 - 20230831 1640.xlsx]Analysis - ANZSCO'!$AK$22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1192E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44000" tIns="19050" rIns="38100" bIns="19050" anchor="ctr" anchorCtr="0">
                <a:spAutoFit/>
              </a:bodyPr>
              <a:lstStyle/>
              <a:p>
                <a:pPr algn="just"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'[Copy of Stakeholder ANZSCO 2023 - 20230831 1640.xlsx]Analysis - ANZSCO'!$AE$23:$AE$30</c:f>
              <c:strCache>
                <c:ptCount val="8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</c:strCache>
            </c:strRef>
          </c:cat>
          <c:val>
            <c:numRef>
              <c:f>'[Copy of Stakeholder ANZSCO 2023 - 20230831 1640.xlsx]Analysis - ANZSCO'!$AK$23:$AK$30</c:f>
              <c:numCache>
                <c:formatCode>0%</c:formatCode>
                <c:ptCount val="8"/>
                <c:pt idx="0">
                  <c:v>0.42105263157894735</c:v>
                </c:pt>
                <c:pt idx="1">
                  <c:v>0.55045871559633031</c:v>
                </c:pt>
                <c:pt idx="2">
                  <c:v>0.62439024390243902</c:v>
                </c:pt>
                <c:pt idx="3">
                  <c:v>0.47126436781609193</c:v>
                </c:pt>
                <c:pt idx="4">
                  <c:v>0.2153846153846154</c:v>
                </c:pt>
                <c:pt idx="5">
                  <c:v>0.2857142857142857</c:v>
                </c:pt>
                <c:pt idx="6">
                  <c:v>0.54545454545454541</c:v>
                </c:pt>
                <c:pt idx="7">
                  <c:v>0.35897435897435898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2F-4C84-8C17-DCB86A17B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43840"/>
        <c:axId val="62346720"/>
      </c:barChart>
      <c:catAx>
        <c:axId val="623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346720"/>
        <c:crosses val="autoZero"/>
        <c:auto val="1"/>
        <c:lblAlgn val="ctr"/>
        <c:lblOffset val="100"/>
        <c:noMultiLvlLbl val="0"/>
      </c:catAx>
      <c:valAx>
        <c:axId val="6234672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753359271926652E-2"/>
          <c:y val="9.245213827418429E-2"/>
          <c:w val="0.93459384812757529"/>
          <c:h val="0.77705066759361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'Analysis - submission quali (2)'!$N$8</c:f>
              <c:strCache>
                <c:ptCount val="1"/>
                <c:pt idx="0">
                  <c:v>Proportion S</c:v>
                </c:pt>
              </c:strCache>
            </c:strRef>
          </c:tx>
          <c:spPr>
            <a:solidFill>
              <a:srgbClr val="6929C4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005D5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7C-45DB-9FD2-0C56B2EBDA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'Analysis - submission quali (2)'!$I$9:$I$17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submission quali (2)'!$N$9:$N$17</c:f>
              <c:numCache>
                <c:formatCode>0%</c:formatCode>
                <c:ptCount val="9"/>
                <c:pt idx="0">
                  <c:v>0.98305084745762716</c:v>
                </c:pt>
                <c:pt idx="1">
                  <c:v>0.90340909090909094</c:v>
                </c:pt>
                <c:pt idx="2">
                  <c:v>0.94244604316546765</c:v>
                </c:pt>
                <c:pt idx="3">
                  <c:v>0.85135135135135132</c:v>
                </c:pt>
                <c:pt idx="4">
                  <c:v>0.7</c:v>
                </c:pt>
                <c:pt idx="5">
                  <c:v>0.90909090909090906</c:v>
                </c:pt>
                <c:pt idx="6">
                  <c:v>0.95714285714285718</c:v>
                </c:pt>
                <c:pt idx="7">
                  <c:v>0.91666666666666663</c:v>
                </c:pt>
                <c:pt idx="8">
                  <c:v>0.91666666666666663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7C-45DB-9FD2-0C56B2EBD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43840"/>
        <c:axId val="62346720"/>
      </c:barChart>
      <c:catAx>
        <c:axId val="623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6720"/>
        <c:crosses val="autoZero"/>
        <c:auto val="1"/>
        <c:lblAlgn val="ctr"/>
        <c:lblOffset val="100"/>
        <c:noMultiLvlLbl val="0"/>
      </c:catAx>
      <c:valAx>
        <c:axId val="62346720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38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753359271926652E-2"/>
          <c:y val="9.245213827418429E-2"/>
          <c:w val="0.9243057580765367"/>
          <c:h val="0.6592881103765770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'Analysis - suggested S NSdetail'!$P$8</c:f>
              <c:strCache>
                <c:ptCount val="1"/>
                <c:pt idx="0">
                  <c:v>No shortage</c:v>
                </c:pt>
              </c:strCache>
            </c:strRef>
          </c:tx>
          <c:spPr>
            <a:solidFill>
              <a:srgbClr val="1192E8"/>
            </a:solidFill>
            <a:ln>
              <a:noFill/>
            </a:ln>
            <a:effectLst/>
          </c:spPr>
          <c:invertIfNegative val="0"/>
          <c:cat>
            <c:strRef>
              <c:f>'Analysis - suggested S NSdetail'!$J$9:$J$17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suggested S NSdetail'!$P$9:$P$17</c:f>
              <c:numCache>
                <c:formatCode>0%</c:formatCode>
                <c:ptCount val="9"/>
                <c:pt idx="0">
                  <c:v>1.6949152542372881E-2</c:v>
                </c:pt>
                <c:pt idx="1">
                  <c:v>9.6590909090909088E-2</c:v>
                </c:pt>
                <c:pt idx="2">
                  <c:v>5.7553956834532377E-2</c:v>
                </c:pt>
                <c:pt idx="3">
                  <c:v>0.14864864864864866</c:v>
                </c:pt>
                <c:pt idx="4">
                  <c:v>0.3</c:v>
                </c:pt>
                <c:pt idx="5">
                  <c:v>9.0909090909090912E-2</c:v>
                </c:pt>
                <c:pt idx="6">
                  <c:v>4.2857142857142858E-2</c:v>
                </c:pt>
                <c:pt idx="7">
                  <c:v>8.3333333333333329E-2</c:v>
                </c:pt>
                <c:pt idx="8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F-4DEB-B3DD-92289357BCBA}"/>
            </c:ext>
          </c:extLst>
        </c:ser>
        <c:ser>
          <c:idx val="1"/>
          <c:order val="1"/>
          <c:tx>
            <c:strRef>
              <c:f>'Analysis - suggested S NSdetail'!$Q$8</c:f>
              <c:strCache>
                <c:ptCount val="1"/>
                <c:pt idx="0">
                  <c:v>Shortage in specific location</c:v>
                </c:pt>
              </c:strCache>
            </c:strRef>
          </c:tx>
          <c:spPr>
            <a:solidFill>
              <a:srgbClr val="005D5D"/>
            </a:solidFill>
            <a:ln>
              <a:noFill/>
            </a:ln>
            <a:effectLst/>
          </c:spPr>
          <c:invertIfNegative val="0"/>
          <c:cat>
            <c:strRef>
              <c:f>'Analysis - suggested S NSdetail'!$J$9:$J$17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suggested S NSdetail'!$Q$9:$Q$17</c:f>
              <c:numCache>
                <c:formatCode>0%</c:formatCode>
                <c:ptCount val="9"/>
                <c:pt idx="0">
                  <c:v>0.16949152542372881</c:v>
                </c:pt>
                <c:pt idx="1">
                  <c:v>0.29829545454545453</c:v>
                </c:pt>
                <c:pt idx="2">
                  <c:v>0.35971223021582732</c:v>
                </c:pt>
                <c:pt idx="3">
                  <c:v>0.41891891891891891</c:v>
                </c:pt>
                <c:pt idx="4">
                  <c:v>0.4</c:v>
                </c:pt>
                <c:pt idx="5">
                  <c:v>9.0909090909090912E-2</c:v>
                </c:pt>
                <c:pt idx="6">
                  <c:v>0.2</c:v>
                </c:pt>
                <c:pt idx="7">
                  <c:v>0.16666666666666666</c:v>
                </c:pt>
                <c:pt idx="8">
                  <c:v>0.3093607305936073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8F-4DEB-B3DD-92289357BCBA}"/>
            </c:ext>
          </c:extLst>
        </c:ser>
        <c:ser>
          <c:idx val="2"/>
          <c:order val="2"/>
          <c:tx>
            <c:strRef>
              <c:f>'Analysis - suggested S NSdetail'!$R$8</c:f>
              <c:strCache>
                <c:ptCount val="1"/>
                <c:pt idx="0">
                  <c:v>National shortage</c:v>
                </c:pt>
              </c:strCache>
            </c:strRef>
          </c:tx>
          <c:spPr>
            <a:solidFill>
              <a:srgbClr val="6929C4"/>
            </a:solidFill>
            <a:ln>
              <a:noFill/>
            </a:ln>
            <a:effectLst/>
          </c:spPr>
          <c:invertIfNegative val="0"/>
          <c:cat>
            <c:strRef>
              <c:f>'Analysis - suggested S NSdetail'!$J$9:$J$17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suggested S NSdetail'!$R$9:$R$17</c:f>
              <c:numCache>
                <c:formatCode>0%</c:formatCode>
                <c:ptCount val="9"/>
                <c:pt idx="0">
                  <c:v>0.81355932203389836</c:v>
                </c:pt>
                <c:pt idx="1">
                  <c:v>0.60511363636363635</c:v>
                </c:pt>
                <c:pt idx="2">
                  <c:v>0.58273381294964033</c:v>
                </c:pt>
                <c:pt idx="3">
                  <c:v>0.43243243243243246</c:v>
                </c:pt>
                <c:pt idx="4">
                  <c:v>0.3</c:v>
                </c:pt>
                <c:pt idx="5">
                  <c:v>0.81818181818181823</c:v>
                </c:pt>
                <c:pt idx="6">
                  <c:v>0.75714285714285712</c:v>
                </c:pt>
                <c:pt idx="7">
                  <c:v>0.75</c:v>
                </c:pt>
                <c:pt idx="8">
                  <c:v>0.60730593607305938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8F-4DEB-B3DD-92289357B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62343840"/>
        <c:axId val="62346720"/>
      </c:barChart>
      <c:catAx>
        <c:axId val="623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6720"/>
        <c:crosses val="autoZero"/>
        <c:auto val="1"/>
        <c:lblAlgn val="ctr"/>
        <c:lblOffset val="100"/>
        <c:noMultiLvlLbl val="0"/>
      </c:catAx>
      <c:valAx>
        <c:axId val="62346720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38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753359271926652E-2"/>
          <c:y val="9.245213827418429E-2"/>
          <c:w val="0.93459384812757529"/>
          <c:h val="0.77705066759361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'Analysis - supply'!$O$8</c:f>
              <c:strCache>
                <c:ptCount val="1"/>
                <c:pt idx="0">
                  <c:v>Proportion undersupply</c:v>
                </c:pt>
              </c:strCache>
            </c:strRef>
          </c:tx>
          <c:spPr>
            <a:solidFill>
              <a:srgbClr val="6929C4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005D5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ED-4A56-A5BA-7414DD3A88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'Analysis - supply'!$J$9:$J$17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supply'!$O$9:$O$17</c:f>
              <c:numCache>
                <c:formatCode>0%</c:formatCode>
                <c:ptCount val="9"/>
                <c:pt idx="0">
                  <c:v>0.95918367346938771</c:v>
                </c:pt>
                <c:pt idx="1">
                  <c:v>0.93137254901960786</c:v>
                </c:pt>
                <c:pt idx="2">
                  <c:v>0.98841698841698844</c:v>
                </c:pt>
                <c:pt idx="3">
                  <c:v>0.95</c:v>
                </c:pt>
                <c:pt idx="4">
                  <c:v>1</c:v>
                </c:pt>
                <c:pt idx="5">
                  <c:v>0.8</c:v>
                </c:pt>
                <c:pt idx="6">
                  <c:v>1</c:v>
                </c:pt>
                <c:pt idx="7">
                  <c:v>1</c:v>
                </c:pt>
                <c:pt idx="8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ED-4A56-A5BA-7414DD3A8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43840"/>
        <c:axId val="62346720"/>
      </c:barChart>
      <c:catAx>
        <c:axId val="623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6720"/>
        <c:crosses val="autoZero"/>
        <c:auto val="1"/>
        <c:lblAlgn val="ctr"/>
        <c:lblOffset val="100"/>
        <c:noMultiLvlLbl val="0"/>
      </c:catAx>
      <c:valAx>
        <c:axId val="62346720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38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753359271926652E-2"/>
          <c:y val="9.245213827418429E-2"/>
          <c:w val="0.93459384812757529"/>
          <c:h val="0.77705066759361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'Analysis - future demand'!$O$8</c:f>
              <c:strCache>
                <c:ptCount val="1"/>
                <c:pt idx="0">
                  <c:v>Proportion increase</c:v>
                </c:pt>
              </c:strCache>
            </c:strRef>
          </c:tx>
          <c:spPr>
            <a:solidFill>
              <a:srgbClr val="6929C4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005D5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B1D-47A9-B319-839056BEE1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'Analysis - future demand'!$J$9:$J$17</c:f>
              <c:strCache>
                <c:ptCount val="9"/>
                <c:pt idx="0">
                  <c:v>Managers</c:v>
                </c:pt>
                <c:pt idx="1">
                  <c:v>Professionals</c:v>
                </c:pt>
                <c:pt idx="2">
                  <c:v>Technicians and Trades Workers</c:v>
                </c:pt>
                <c:pt idx="3">
                  <c:v>Community and Personal Service Workers</c:v>
                </c:pt>
                <c:pt idx="4">
                  <c:v>Clerical and Administrative Workers</c:v>
                </c:pt>
                <c:pt idx="5">
                  <c:v>Sales Workers</c:v>
                </c:pt>
                <c:pt idx="6">
                  <c:v>Machinery Operators and Drivers</c:v>
                </c:pt>
                <c:pt idx="7">
                  <c:v>Labourers</c:v>
                </c:pt>
                <c:pt idx="8">
                  <c:v>Total</c:v>
                </c:pt>
              </c:strCache>
            </c:strRef>
          </c:cat>
          <c:val>
            <c:numRef>
              <c:f>'Analysis - future demand'!$O$9:$O$17</c:f>
              <c:numCache>
                <c:formatCode>0%</c:formatCode>
                <c:ptCount val="9"/>
                <c:pt idx="0">
                  <c:v>0.5892857142857143</c:v>
                </c:pt>
                <c:pt idx="1">
                  <c:v>0.89864864864864868</c:v>
                </c:pt>
                <c:pt idx="2">
                  <c:v>0.83858267716535428</c:v>
                </c:pt>
                <c:pt idx="3">
                  <c:v>0.88235294117647056</c:v>
                </c:pt>
                <c:pt idx="4">
                  <c:v>0.75</c:v>
                </c:pt>
                <c:pt idx="5">
                  <c:v>0.63636363636363635</c:v>
                </c:pt>
                <c:pt idx="6">
                  <c:v>0.91044776119402981</c:v>
                </c:pt>
                <c:pt idx="7">
                  <c:v>0.83333333333333337</c:v>
                </c:pt>
                <c:pt idx="8">
                  <c:v>0.84922680412371132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1D-47A9-B319-839056BEE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43840"/>
        <c:axId val="62346720"/>
      </c:barChart>
      <c:catAx>
        <c:axId val="623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6720"/>
        <c:crosses val="autoZero"/>
        <c:auto val="1"/>
        <c:lblAlgn val="ctr"/>
        <c:lblOffset val="100"/>
        <c:noMultiLvlLbl val="0"/>
      </c:catAx>
      <c:valAx>
        <c:axId val="62346720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38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0.91143</cdr:x>
      <cdr:y>0.80792</cdr:y>
    </cdr:from>
    <cdr:to>
      <cdr:x>0.96191</cdr:x>
      <cdr:y>0.86337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400FCC3-734E-313E-9183-8F1CF2404AE0}"/>
            </a:ext>
          </a:extLst>
        </cdr:cNvPr>
        <cdr:cNvSpPr txBox="1"/>
      </cdr:nvSpPr>
      <cdr:spPr>
        <a:xfrm xmlns:a="http://schemas.openxmlformats.org/drawingml/2006/main">
          <a:off x="9801225" y="3886201"/>
          <a:ext cx="542925" cy="266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AU" sz="900">
            <a:solidFill>
              <a:srgbClr val="9F1853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EC4C31997F4DAF6EF5F96F729AC4" ma:contentTypeVersion="17" ma:contentTypeDescription="Create a new document." ma:contentTypeScope="" ma:versionID="d0ded2ecf4d7262572e321209ff92267">
  <xsd:schema xmlns:xsd="http://www.w3.org/2001/XMLSchema" xmlns:xs="http://www.w3.org/2001/XMLSchema" xmlns:p="http://schemas.microsoft.com/office/2006/metadata/properties" xmlns:ns2="88bdf61f-9621-4102-acf0-32ab8de1ada4" xmlns:ns3="2346c79d-bae1-4214-a8f2-95f62bc64ea6" targetNamespace="http://schemas.microsoft.com/office/2006/metadata/properties" ma:root="true" ma:fieldsID="d84980656dc201f8d99a0f429a5a867b" ns2:_="" ns3:_="">
    <xsd:import namespace="88bdf61f-9621-4102-acf0-32ab8de1ada4"/>
    <xsd:import namespace="2346c79d-bae1-4214-a8f2-95f62bc64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f61f-9621-4102-acf0-32ab8de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6c79d-bae1-4214-a8f2-95f62bc64e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12ceef-ae3b-4855-a9a7-3d2a1cbc952b}" ma:internalName="TaxCatchAll" ma:showField="CatchAllData" ma:web="2346c79d-bae1-4214-a8f2-95f62bc64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df61f-9621-4102-acf0-32ab8de1ada4">
      <Terms xmlns="http://schemas.microsoft.com/office/infopath/2007/PartnerControls"/>
    </lcf76f155ced4ddcb4097134ff3c332f>
    <TaxCatchAll xmlns="2346c79d-bae1-4214-a8f2-95f62bc64e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8304D-A61B-4D97-88AD-FDC57FF3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df61f-9621-4102-acf0-32ab8de1ada4"/>
    <ds:schemaRef ds:uri="2346c79d-bae1-4214-a8f2-95f62bc64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70CCA-AF3B-4935-8B87-362084064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60AED-EB08-42BB-8AB6-C3FD50BBE5B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2346c79d-bae1-4214-a8f2-95f62bc64ea6"/>
    <ds:schemaRef ds:uri="88bdf61f-9621-4102-acf0-32ab8de1ada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40AF76-0B42-4801-9BD4-A484E526F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SOLIMAN,Roy</dc:creator>
  <cp:keywords/>
  <dc:description/>
  <cp:lastModifiedBy>WEI,Annie</cp:lastModifiedBy>
  <cp:revision>4</cp:revision>
  <cp:lastPrinted>2023-09-25T09:35:00Z</cp:lastPrinted>
  <dcterms:created xsi:type="dcterms:W3CDTF">2023-10-17T00:20:00Z</dcterms:created>
  <dcterms:modified xsi:type="dcterms:W3CDTF">2023-10-17T01:32:00Z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2023-08-31T10:41:58Z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040d61e9-4b29-466f-9aa0-adea111475b2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0x010100F794EC4C31997F4DAF6EF5F96F729AC4</vt:lpwstr>
  </property>
  <property fmtid="{D5CDD505-2E9C-101B-9397-08002B2CF9AE}" pid="10" name="MediaServiceImageTags">
    <vt:lpwstr/>
  </property>
</Properties>
</file>